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17145</wp:posOffset>
            </wp:positionV>
            <wp:extent cx="6992620" cy="47993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99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Gersh Lisa</w:t>
              </w:r>
            </w:hyperlink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5"/>
          </w:tcPr>
          <w:p>
            <w:pPr>
              <w:spacing w:after="0" w:line="105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HASBRO,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HAS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12/31/2021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C/O HASBRO, INC.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1011 NEWPORT AVENUE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PAWTUCKET   RI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02861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4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593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12/31/2021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593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(3)(4)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(3)(4)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139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101.78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28,735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-2130425</wp:posOffset>
            </wp:positionV>
            <wp:extent cx="29210" cy="21355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35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All of the phantom stock units were acquired pursuant to the Hasbro, Inc. Deferred Compensation Plan for Non-Employee Directors in compliance with Rule 16b-3.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Units correspond 1 for 1 with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Units are settled only in cash and are payable after the reporting person ceases to be a director.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3"/>
        <w:spacing w:after="0" w:line="253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Vesting of 18 units will occur on the earlier of 12/31/2022 (provided the reporting person is still a director as of such date) and the death, disability or retirement (after age 72) of the reporting person. The remainder of the units are immediately vested.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Matthew Gilman, P/O/A for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01/04/2022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7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Lisa Gersh</w:t>
            </w:r>
          </w:p>
        </w:tc>
        <w:tc>
          <w:tcPr>
            <w:tcW w:w="11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7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2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29958" TargetMode="External"/><Relationship Id="rId13" Type="http://schemas.openxmlformats.org/officeDocument/2006/relationships/hyperlink" Target="http://www.sec.gov/cgi-bin/browse-edgar?action=getcompany&amp;CIK=000004608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2022-01-04T15:52:30Z</dcterms:created>
  <dcterms:modified xsi:type="dcterms:W3CDTF">2022-01-04T15:52:30Z</dcterms:modified>
</cp:coreProperties>
</file>