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99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9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Zecher Linda Kay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HASBRO,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HAS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C/O HASBRO,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1011 NEWPORT AVENUE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PAWTUCKET   RI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02861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101.78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8,622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-2130425</wp:posOffset>
            </wp:positionV>
            <wp:extent cx="29210" cy="2135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 phantom stock units were acquired pursuant to the Hasbro, Inc. Deferred Compensation Plan for Non-Employee Directors in compliance with Rule 16b-3.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correspond 1 for 1 with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are settled only in cash and are payable after the reporting person ceases to be a director.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Linda K. Zecher</w:t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5799" TargetMode="External"/><Relationship Id="rId13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2022-01-04T15:53:31Z</dcterms:created>
  <dcterms:modified xsi:type="dcterms:W3CDTF">2022-01-04T15:53:31Z</dcterms:modified>
</cp:coreProperties>
</file>