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17"/>
          <w:szCs w:val="17"/>
          <w:color w:val="auto"/>
        </w:rPr>
        <w:t>January 5, 2022</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Hasbro,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(Exact name of registrant as specified in its charter)</w:t>
      </w:r>
    </w:p>
    <w:p>
      <w:pPr>
        <w:spacing w:after="0" w:line="21" w:lineRule="exact"/>
        <w:rPr>
          <w:sz w:val="24"/>
          <w:szCs w:val="24"/>
          <w:color w:val="auto"/>
        </w:rPr>
      </w:pPr>
    </w:p>
    <w:tbl>
      <w:tblPr>
        <w:tblLayout w:type="fixed"/>
        <w:tblInd w:w="380" w:type="dxa"/>
        <w:tblCellMar>
          <w:top w:w="0" w:type="dxa"/>
          <w:left w:w="0" w:type="dxa"/>
          <w:bottom w:w="0" w:type="dxa"/>
          <w:right w:w="0" w:type="dxa"/>
        </w:tblCellMar>
      </w:tblPr>
      <w:tr>
        <w:trPr>
          <w:trHeight w:val="247"/>
        </w:trPr>
        <w:tc>
          <w:tcPr>
            <w:tcW w:w="37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Rhode Island</w:t>
            </w:r>
          </w:p>
        </w:tc>
        <w:tc>
          <w:tcPr>
            <w:tcW w:w="3020" w:type="dxa"/>
            <w:vAlign w:val="bottom"/>
          </w:tcPr>
          <w:p>
            <w:pPr>
              <w:jc w:val="right"/>
              <w:ind w:right="1190"/>
              <w:spacing w:after="0"/>
              <w:rPr>
                <w:sz w:val="20"/>
                <w:szCs w:val="20"/>
                <w:color w:val="auto"/>
              </w:rPr>
            </w:pPr>
            <w:r>
              <w:rPr>
                <w:rFonts w:ascii="Arial" w:cs="Arial" w:eastAsia="Arial" w:hAnsi="Arial"/>
                <w:sz w:val="18"/>
                <w:szCs w:val="18"/>
                <w:color w:val="auto"/>
              </w:rPr>
              <w:t>1-6682</w:t>
            </w:r>
          </w:p>
        </w:tc>
        <w:tc>
          <w:tcPr>
            <w:tcW w:w="3160" w:type="dxa"/>
            <w:vAlign w:val="bottom"/>
          </w:tcPr>
          <w:p>
            <w:pPr>
              <w:jc w:val="right"/>
              <w:ind w:right="770"/>
              <w:spacing w:after="0"/>
              <w:rPr>
                <w:sz w:val="20"/>
                <w:szCs w:val="20"/>
                <w:color w:val="auto"/>
              </w:rPr>
            </w:pPr>
            <w:r>
              <w:rPr>
                <w:rFonts w:ascii="Arial" w:cs="Arial" w:eastAsia="Arial" w:hAnsi="Arial"/>
                <w:sz w:val="18"/>
                <w:szCs w:val="18"/>
                <w:b w:val="1"/>
                <w:bCs w:val="1"/>
                <w:color w:val="auto"/>
              </w:rPr>
              <w:t>05-0155090</w:t>
            </w:r>
          </w:p>
        </w:tc>
        <w:tc>
          <w:tcPr>
            <w:tcW w:w="0" w:type="dxa"/>
            <w:vAlign w:val="bottom"/>
          </w:tcPr>
          <w:p>
            <w:pPr>
              <w:spacing w:after="0"/>
              <w:rPr>
                <w:sz w:val="1"/>
                <w:szCs w:val="1"/>
                <w:color w:val="auto"/>
              </w:rPr>
            </w:pPr>
          </w:p>
        </w:tc>
      </w:tr>
      <w:tr>
        <w:trPr>
          <w:trHeight w:val="176"/>
        </w:trPr>
        <w:tc>
          <w:tcPr>
            <w:tcW w:w="3740" w:type="dxa"/>
            <w:vAlign w:val="bottom"/>
          </w:tcPr>
          <w:p>
            <w:pPr>
              <w:jc w:val="center"/>
              <w:ind w:right="350"/>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3020" w:type="dxa"/>
            <w:vAlign w:val="bottom"/>
            <w:vMerge w:val="restart"/>
          </w:tcPr>
          <w:p>
            <w:pPr>
              <w:jc w:val="center"/>
              <w:spacing w:after="0"/>
              <w:rPr>
                <w:sz w:val="20"/>
                <w:szCs w:val="20"/>
                <w:color w:val="auto"/>
              </w:rPr>
            </w:pPr>
            <w:r>
              <w:rPr>
                <w:rFonts w:ascii="Arial" w:cs="Arial" w:eastAsia="Arial" w:hAnsi="Arial"/>
                <w:sz w:val="18"/>
                <w:szCs w:val="18"/>
                <w:color w:val="auto"/>
                <w:w w:val="93"/>
              </w:rPr>
              <w:t>(Commission File Number)</w:t>
            </w:r>
          </w:p>
        </w:tc>
        <w:tc>
          <w:tcPr>
            <w:tcW w:w="3160" w:type="dxa"/>
            <w:vAlign w:val="bottom"/>
          </w:tcPr>
          <w:p>
            <w:pPr>
              <w:jc w:val="center"/>
              <w:ind w:left="470"/>
              <w:spacing w:after="0" w:line="176" w:lineRule="exact"/>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374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374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1027 Newport Avenue</w:t>
            </w:r>
          </w:p>
        </w:tc>
        <w:tc>
          <w:tcPr>
            <w:tcW w:w="3020" w:type="dxa"/>
            <w:vAlign w:val="bottom"/>
          </w:tcPr>
          <w:p>
            <w:pPr>
              <w:ind w:left="460"/>
              <w:spacing w:after="0"/>
              <w:rPr>
                <w:sz w:val="20"/>
                <w:szCs w:val="20"/>
                <w:color w:val="auto"/>
              </w:rPr>
            </w:pPr>
            <w:r>
              <w:rPr>
                <w:rFonts w:ascii="Arial" w:cs="Arial" w:eastAsia="Arial" w:hAnsi="Arial"/>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Arial" w:cs="Arial" w:eastAsia="Arial" w:hAnsi="Arial"/>
                <w:sz w:val="18"/>
                <w:szCs w:val="18"/>
                <w:b w:val="1"/>
                <w:bCs w:val="1"/>
                <w:color w:val="auto"/>
              </w:rPr>
              <w:t>02861</w:t>
            </w:r>
          </w:p>
        </w:tc>
        <w:tc>
          <w:tcPr>
            <w:tcW w:w="0" w:type="dxa"/>
            <w:vAlign w:val="bottom"/>
          </w:tcPr>
          <w:p>
            <w:pPr>
              <w:spacing w:after="0"/>
              <w:rPr>
                <w:sz w:val="1"/>
                <w:szCs w:val="1"/>
                <w:color w:val="auto"/>
              </w:rPr>
            </w:pPr>
          </w:p>
        </w:tc>
      </w:tr>
      <w:tr>
        <w:trPr>
          <w:trHeight w:val="243"/>
        </w:trPr>
        <w:tc>
          <w:tcPr>
            <w:tcW w:w="374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1"/>
                <w:szCs w:val="21"/>
                <w:color w:val="auto"/>
              </w:rPr>
            </w:pPr>
          </w:p>
        </w:tc>
        <w:tc>
          <w:tcPr>
            <w:tcW w:w="316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01"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(401) 431-8697</w:t>
      </w:r>
    </w:p>
    <w:p>
      <w:pPr>
        <w:spacing w:after="0" w:line="24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29"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ectPr>
          <w:pgSz w:w="11900" w:h="16838" w:orient="portrait"/>
          <w:cols w:equalWidth="0" w:num="1">
            <w:col w:w="11100"/>
          </w:cols>
          <w:pgMar w:left="320" w:top="985" w:right="479" w:bottom="1440" w:gutter="0" w:footer="0" w:header="0"/>
        </w:sectPr>
      </w:pPr>
    </w:p>
    <w:p>
      <w:pPr>
        <w:spacing w:after="0" w:line="43"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160" w:space="720"/>
            <w:col w:w="1640" w:space="720"/>
            <w:col w:w="3860"/>
          </w:cols>
          <w:pgMar w:left="320" w:top="985" w:right="4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205" w:lineRule="exact"/>
        <w:rPr>
          <w:sz w:val="24"/>
          <w:szCs w:val="24"/>
          <w:color w:val="auto"/>
        </w:rPr>
      </w:pPr>
    </w:p>
    <w:p>
      <w:pPr>
        <w:sectPr>
          <w:pgSz w:w="11900" w:h="16838" w:orient="portrait"/>
          <w:cols w:equalWidth="0" w:num="3">
            <w:col w:w="4660" w:space="720"/>
            <w:col w:w="1540" w:space="720"/>
            <w:col w:w="3460"/>
          </w:cols>
          <w:pgMar w:left="320" w:top="985" w:right="479" w:bottom="1440" w:gutter="0" w:footer="0" w:header="0"/>
          <w:type w:val="continuous"/>
        </w:sectPr>
      </w:pPr>
    </w:p>
    <w:p>
      <w:pPr>
        <w:spacing w:after="0" w:line="263" w:lineRule="exact"/>
        <w:rPr>
          <w:sz w:val="24"/>
          <w:szCs w:val="24"/>
          <w:color w:val="auto"/>
        </w:rPr>
      </w:pPr>
    </w:p>
    <w:p>
      <w:pPr>
        <w:ind w:right="80"/>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or Rule 12b-2 of the Securities Exchange Act of 1934.</w:t>
      </w:r>
    </w:p>
    <w:p>
      <w:pPr>
        <w:spacing w:after="0" w:line="166" w:lineRule="exact"/>
        <w:rPr>
          <w:sz w:val="24"/>
          <w:szCs w:val="24"/>
          <w:color w:val="auto"/>
        </w:rPr>
      </w:pPr>
    </w:p>
    <w:p>
      <w:pPr>
        <w:spacing w:after="0" w:line="230" w:lineRule="exact"/>
        <w:tabs>
          <w:tab w:leader="none" w:pos="2340" w:val="left"/>
        </w:tabs>
        <w:rPr>
          <w:sz w:val="20"/>
          <w:szCs w:val="20"/>
          <w:color w:val="auto"/>
        </w:rPr>
      </w:pPr>
      <w:r>
        <w:rPr>
          <w:rFonts w:ascii="Arial" w:cs="Arial" w:eastAsia="Arial" w:hAnsi="Arial"/>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80" w:lineRule="exact"/>
        <w:rPr>
          <w:sz w:val="24"/>
          <w:szCs w:val="24"/>
          <w:color w:val="auto"/>
        </w:rPr>
      </w:pPr>
    </w:p>
    <w:p>
      <w:pPr>
        <w:ind w:right="460"/>
        <w:spacing w:after="0" w:line="251"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5" w:right="479" w:bottom="1440" w:gutter="0" w:footer="0" w:header="0"/>
          <w:type w:val="continuous"/>
        </w:sectPr>
      </w:pPr>
    </w:p>
    <w:bookmarkStart w:id="1" w:name="page2"/>
    <w:bookmarkEnd w:id="1"/>
    <w:p>
      <w:pPr>
        <w:ind w:right="26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Executive Officer</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On January 5, 2022, Hasbro, Inc. (the “Company” or “Hasbro”) announced the appointment of Chris Cocks as the Company’s Chief Executive Officer and the election of Mr. Cocks to the Company’s Board of Directors (the “Board”), both effective February 25, 2022. Mr. Cocks, age 48, currently serves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President of Hasbro’s Wizards of the Coast and Digital Gaming segment. He will succeed Interim CEO, Richard Stoddart, who was appointed following</w:t>
      </w:r>
    </w:p>
    <w:p>
      <w:pPr>
        <w:spacing w:after="0" w:line="46"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the October 2021 passing of Hasbro’s longtime CEO Brian Goldner. Mr. Stoddart, who has served as a Hasbro independent director since 2014, will become Chair of the Board effective on February 25,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an employment agreement with Mr. Cocks (the “Employment Agreement”) that provides for the following:</w:t>
      </w:r>
    </w:p>
    <w:p>
      <w:pPr>
        <w:spacing w:after="0" w:line="266" w:lineRule="exact"/>
        <w:rPr>
          <w:sz w:val="20"/>
          <w:szCs w:val="20"/>
          <w:color w:val="auto"/>
        </w:rPr>
      </w:pPr>
    </w:p>
    <w:p>
      <w:pPr>
        <w:ind w:left="420" w:right="20" w:hanging="412"/>
        <w:spacing w:after="0" w:line="230"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commence February 25, 2022 (the “Commencement Date”) and extend until December 31, 2024 (“Employment Period”), unless earlier terminated or extended in accordance with the provisions of the Employment Agreement.</w:t>
      </w:r>
    </w:p>
    <w:p>
      <w:pPr>
        <w:spacing w:after="0" w:line="229"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56" w:lineRule="exact"/>
        <w:rPr>
          <w:rFonts w:ascii="Arial" w:cs="Arial" w:eastAsia="Arial" w:hAnsi="Arial"/>
          <w:sz w:val="20"/>
          <w:szCs w:val="20"/>
          <w:color w:val="auto"/>
        </w:rPr>
      </w:pPr>
    </w:p>
    <w:p>
      <w:pPr>
        <w:ind w:left="800" w:hanging="387"/>
        <w:spacing w:after="0"/>
        <w:tabs>
          <w:tab w:leader="none" w:pos="800" w:val="left"/>
        </w:tabs>
        <w:numPr>
          <w:ilvl w:val="1"/>
          <w:numId w:val="2"/>
        </w:numPr>
        <w:rPr>
          <w:rFonts w:ascii="Arial" w:cs="Arial" w:eastAsia="Arial" w:hAnsi="Arial"/>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Mr. Cocks will be paid an annual base salary of $1,500,000.</w:t>
      </w:r>
    </w:p>
    <w:p>
      <w:pPr>
        <w:spacing w:after="0" w:line="4" w:lineRule="exact"/>
        <w:rPr>
          <w:rFonts w:ascii="Arial" w:cs="Arial" w:eastAsia="Arial" w:hAnsi="Arial"/>
          <w:sz w:val="20"/>
          <w:szCs w:val="20"/>
          <w:color w:val="auto"/>
        </w:rPr>
      </w:pPr>
    </w:p>
    <w:p>
      <w:pPr>
        <w:ind w:left="820" w:right="480" w:hanging="407"/>
        <w:spacing w:after="0" w:line="245" w:lineRule="auto"/>
        <w:tabs>
          <w:tab w:leader="none" w:pos="809" w:val="left"/>
        </w:tabs>
        <w:numPr>
          <w:ilvl w:val="1"/>
          <w:numId w:val="2"/>
        </w:numPr>
        <w:rPr>
          <w:rFonts w:ascii="Arial" w:cs="Arial" w:eastAsia="Arial" w:hAnsi="Arial"/>
          <w:sz w:val="20"/>
          <w:szCs w:val="20"/>
          <w:color w:val="auto"/>
        </w:rPr>
      </w:pPr>
      <w:r>
        <w:rPr>
          <w:rFonts w:ascii="Arial" w:cs="Arial" w:eastAsia="Arial" w:hAnsi="Arial"/>
          <w:sz w:val="18"/>
          <w:szCs w:val="18"/>
          <w:i w:val="1"/>
          <w:iCs w:val="1"/>
          <w:color w:val="auto"/>
        </w:rPr>
        <w:t>Management Incentive Plan Bonus</w:t>
      </w:r>
      <w:r>
        <w:rPr>
          <w:rFonts w:ascii="Arial" w:cs="Arial" w:eastAsia="Arial" w:hAnsi="Arial"/>
          <w:sz w:val="18"/>
          <w:szCs w:val="18"/>
          <w:color w:val="auto"/>
        </w:rPr>
        <w:t>. Mr. Cocks will be entitled to receive an annual management incentive plan bonus, beginning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2022 fiscal year, with a target equal to 150% of his earned base salary.</w:t>
      </w:r>
    </w:p>
    <w:p>
      <w:pPr>
        <w:spacing w:after="0" w:line="21" w:lineRule="exact"/>
        <w:rPr>
          <w:rFonts w:ascii="Arial" w:cs="Arial" w:eastAsia="Arial" w:hAnsi="Arial"/>
          <w:sz w:val="20"/>
          <w:szCs w:val="20"/>
          <w:color w:val="auto"/>
        </w:rPr>
      </w:pPr>
    </w:p>
    <w:p>
      <w:pPr>
        <w:ind w:left="820" w:right="320" w:hanging="407"/>
        <w:spacing w:after="0" w:line="250" w:lineRule="auto"/>
        <w:tabs>
          <w:tab w:leader="none" w:pos="809" w:val="left"/>
        </w:tabs>
        <w:numPr>
          <w:ilvl w:val="1"/>
          <w:numId w:val="2"/>
        </w:numPr>
        <w:rPr>
          <w:rFonts w:ascii="Arial" w:cs="Arial" w:eastAsia="Arial" w:hAnsi="Arial"/>
          <w:sz w:val="20"/>
          <w:szCs w:val="20"/>
          <w:color w:val="auto"/>
        </w:rPr>
      </w:pPr>
      <w:r>
        <w:rPr>
          <w:rFonts w:ascii="Arial" w:cs="Arial" w:eastAsia="Arial" w:hAnsi="Arial"/>
          <w:sz w:val="18"/>
          <w:szCs w:val="18"/>
          <w:i w:val="1"/>
          <w:iCs w:val="1"/>
          <w:color w:val="auto"/>
        </w:rPr>
        <w:t>Long-Term Incentive</w:t>
      </w:r>
      <w:r>
        <w:rPr>
          <w:rFonts w:ascii="Arial" w:cs="Arial" w:eastAsia="Arial" w:hAnsi="Arial"/>
          <w:sz w:val="18"/>
          <w:szCs w:val="18"/>
          <w:color w:val="auto"/>
        </w:rPr>
        <w:t>. Mr. Cocks will be eligible to receive awards under the Company’s long-term equity incentive program with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target equal to 500% of his annualized base salary.</w:t>
      </w:r>
    </w:p>
    <w:p>
      <w:pPr>
        <w:spacing w:after="0" w:line="233"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229" w:lineRule="exact"/>
        <w:rPr>
          <w:rFonts w:ascii="Arial" w:cs="Arial" w:eastAsia="Arial" w:hAnsi="Arial"/>
          <w:sz w:val="20"/>
          <w:szCs w:val="20"/>
          <w:color w:val="auto"/>
        </w:rPr>
      </w:pPr>
    </w:p>
    <w:p>
      <w:pPr>
        <w:ind w:left="820" w:hanging="407"/>
        <w:spacing w:after="0" w:line="230" w:lineRule="auto"/>
        <w:tabs>
          <w:tab w:leader="none" w:pos="809" w:val="left"/>
        </w:tabs>
        <w:numPr>
          <w:ilvl w:val="1"/>
          <w:numId w:val="2"/>
        </w:numPr>
        <w:rPr>
          <w:rFonts w:ascii="Arial" w:cs="Arial" w:eastAsia="Arial" w:hAnsi="Arial"/>
          <w:sz w:val="20"/>
          <w:szCs w:val="20"/>
          <w:color w:val="auto"/>
        </w:rPr>
      </w:pPr>
      <w:r>
        <w:rPr>
          <w:rFonts w:ascii="Arial" w:cs="Arial" w:eastAsia="Arial" w:hAnsi="Arial"/>
          <w:sz w:val="18"/>
          <w:szCs w:val="18"/>
          <w:color w:val="auto"/>
        </w:rPr>
        <w:t>Mr. Cocks is eligible for severance in the event Hasbro terminates his employment without Cause (as defined in the Employment Agreement) or if Mr. Cocks resigns for Good Reason (as defined in the Employment Agreement).</w:t>
      </w:r>
    </w:p>
    <w:p>
      <w:pPr>
        <w:spacing w:after="0" w:line="229" w:lineRule="exact"/>
        <w:rPr>
          <w:rFonts w:ascii="Arial" w:cs="Arial" w:eastAsia="Arial" w:hAnsi="Arial"/>
          <w:sz w:val="20"/>
          <w:szCs w:val="20"/>
          <w:color w:val="auto"/>
        </w:rPr>
      </w:pPr>
    </w:p>
    <w:p>
      <w:pPr>
        <w:ind w:left="1540" w:hanging="479"/>
        <w:spacing w:after="0" w:line="252" w:lineRule="auto"/>
        <w:tabs>
          <w:tab w:leader="none" w:pos="1529" w:val="left"/>
        </w:tabs>
        <w:numPr>
          <w:ilvl w:val="2"/>
          <w:numId w:val="2"/>
        </w:numPr>
        <w:rPr>
          <w:rFonts w:ascii="Arial" w:cs="Arial" w:eastAsia="Arial" w:hAnsi="Arial"/>
          <w:sz w:val="18"/>
          <w:szCs w:val="18"/>
          <w:color w:val="auto"/>
        </w:rPr>
      </w:pPr>
      <w:r>
        <w:rPr>
          <w:rFonts w:ascii="Arial" w:cs="Arial" w:eastAsia="Arial" w:hAnsi="Arial"/>
          <w:sz w:val="16"/>
          <w:szCs w:val="16"/>
          <w:i w:val="1"/>
          <w:iCs w:val="1"/>
          <w:color w:val="auto"/>
        </w:rPr>
        <w:t>Upon Termination by Hasbro Without Cause, or by Mr. Cocks for Good Reason, Within 24 Months Following a Change in Control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Mr. Cocks is eligible to receive a lump sum payment equal to two times his then-current base salary, a lump sum payment equal to two times his annual management incentive plan target bonus, certain premium payments by Hasbro for continued medical and dental insurance under COBRA for up to 24 months from the effective date of termination, and accelerated vesting of (and lapse of restrictions on) all unexpired, unvested stock options, performance share awards and time-based restricted stock units, with performance share awards vesting at target for the full performance period and a one-year exercise period for stock options.</w:t>
      </w:r>
    </w:p>
    <w:p>
      <w:pPr>
        <w:spacing w:after="0" w:line="220" w:lineRule="exact"/>
        <w:rPr>
          <w:rFonts w:ascii="Arial" w:cs="Arial" w:eastAsia="Arial" w:hAnsi="Arial"/>
          <w:sz w:val="18"/>
          <w:szCs w:val="18"/>
          <w:color w:val="auto"/>
        </w:rPr>
      </w:pPr>
    </w:p>
    <w:p>
      <w:pPr>
        <w:ind w:left="1540" w:right="40" w:hanging="479"/>
        <w:spacing w:after="0" w:line="239" w:lineRule="auto"/>
        <w:tabs>
          <w:tab w:leader="none" w:pos="1529" w:val="left"/>
        </w:tabs>
        <w:numPr>
          <w:ilvl w:val="2"/>
          <w:numId w:val="2"/>
        </w:numPr>
        <w:rPr>
          <w:rFonts w:ascii="Arial" w:cs="Arial" w:eastAsia="Arial" w:hAnsi="Arial"/>
          <w:sz w:val="19"/>
          <w:szCs w:val="19"/>
          <w:color w:val="auto"/>
        </w:rPr>
      </w:pPr>
      <w:r>
        <w:rPr>
          <w:rFonts w:ascii="Arial" w:cs="Arial" w:eastAsia="Arial" w:hAnsi="Arial"/>
          <w:sz w:val="17"/>
          <w:szCs w:val="17"/>
          <w:i w:val="1"/>
          <w:iCs w:val="1"/>
          <w:color w:val="auto"/>
        </w:rPr>
        <w:t>Upon Termination by Hasbro Without Cause, or by Mr. Cocks for Good Reason, Prior to, or More than 24 Months Following, a Change in Control</w:t>
      </w:r>
      <w:r>
        <w:rPr>
          <w:rFonts w:ascii="Arial" w:cs="Arial" w:eastAsia="Arial" w:hAnsi="Arial"/>
          <w:sz w:val="17"/>
          <w:szCs w:val="17"/>
          <w:color w:val="auto"/>
        </w:rPr>
        <w:t>. Mr. Cocks is eligible to receive (i) payment of an amount equal to his then-current base salary for a period of 24</w:t>
      </w:r>
      <w:r>
        <w:rPr>
          <w:rFonts w:ascii="Arial" w:cs="Arial" w:eastAsia="Arial" w:hAnsi="Arial"/>
          <w:sz w:val="17"/>
          <w:szCs w:val="17"/>
          <w:i w:val="1"/>
          <w:iCs w:val="1"/>
          <w:color w:val="auto"/>
        </w:rPr>
        <w:t xml:space="preserve"> </w:t>
      </w:r>
      <w:r>
        <w:rPr>
          <w:rFonts w:ascii="Arial" w:cs="Arial" w:eastAsia="Arial" w:hAnsi="Arial"/>
          <w:sz w:val="17"/>
          <w:szCs w:val="17"/>
          <w:color w:val="auto"/>
        </w:rPr>
        <w:t>months, (ii) two times his then-current annual management incentive plan target bonus payable in equal installments over a period of 24 months, (iii) a pro-rated annual management incentive plan bonus for the year in which the termination occurs, based on actual company performance (a “Pro-Rata Bonus”), (iv) certain premium payments by Hasbro for continued medical and dental insurance under COBRA for up to 24 months from the effective date of termination, (v) accelerated vesting of (and lapse of restrictions on) all unexpired, unvested stock options and time-based restricted stock units and a one-year exercise period for stock options, and (vi) pro-rata vesting of performance share awards, which will remain outstanding for their performance periods and at the end of the applicable periods Mr. Cocks will receive a pro-rata share (based on the portion of the performance periods that had elapsed as of the date of termination of employment) of the actual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sectPr>
      </w:pPr>
    </w:p>
    <w:bookmarkStart w:id="2" w:name="page3"/>
    <w:bookmarkEnd w:id="2"/>
    <w:p>
      <w:pPr>
        <w:ind w:left="1540" w:right="240"/>
        <w:spacing w:after="0" w:line="246" w:lineRule="auto"/>
        <w:rPr>
          <w:sz w:val="20"/>
          <w:szCs w:val="20"/>
          <w:color w:val="auto"/>
        </w:rPr>
      </w:pPr>
      <w:r>
        <w:rPr>
          <w:rFonts w:ascii="Arial" w:cs="Arial" w:eastAsia="Arial" w:hAnsi="Arial"/>
          <w:sz w:val="18"/>
          <w:szCs w:val="18"/>
          <w:color w:val="auto"/>
        </w:rPr>
        <w:t>shares earned under such awards based on company performance (“Pro-Rata PSA Vesting”), payable at the end of the performance periods (“Pro-Rata PSA Vesting Schedule”).</w:t>
      </w:r>
    </w:p>
    <w:p>
      <w:pPr>
        <w:spacing w:after="0" w:line="197" w:lineRule="exact"/>
        <w:rPr>
          <w:sz w:val="20"/>
          <w:szCs w:val="20"/>
          <w:color w:val="auto"/>
        </w:rPr>
      </w:pPr>
    </w:p>
    <w:p>
      <w:pPr>
        <w:ind w:left="820" w:hanging="407"/>
        <w:spacing w:after="0" w:line="237" w:lineRule="auto"/>
        <w:tabs>
          <w:tab w:leader="none" w:pos="816" w:val="left"/>
        </w:tabs>
        <w:numPr>
          <w:ilvl w:val="1"/>
          <w:numId w:val="3"/>
        </w:numPr>
        <w:rPr>
          <w:rFonts w:ascii="Arial" w:cs="Arial" w:eastAsia="Arial" w:hAnsi="Arial"/>
          <w:sz w:val="17"/>
          <w:szCs w:val="17"/>
          <w:color w:val="auto"/>
        </w:rPr>
      </w:pPr>
      <w:r>
        <w:rPr>
          <w:rFonts w:ascii="Arial" w:cs="Arial" w:eastAsia="Arial" w:hAnsi="Arial"/>
          <w:sz w:val="17"/>
          <w:szCs w:val="17"/>
          <w:color w:val="auto"/>
        </w:rPr>
        <w:t>Following expiration of the term of the Employment Agreement, if Hasbro does not offer to extend the term for at least an additional year on comparable terms and conditions as those set forth in the Employment Agreement or the parties cannot otherwise mutually agree upon the terms of an agreement for Mr. Cocks to remain employed with Hasbro, then Mr. Cocks is eligible to receive (i) payment of his then-current base salary for a period of 18 months following the date of termination of employment, (ii) an amount equal to 1.5 times his target bonus, payable in equal installments over an 18 month period from the effective date of termination, (iii) certain premium payments by Hasbro for continued medical and dental insurance under COBRA for up to 18 months from the effective date of termination, (iv) a Pro-Rata Bonus for the year in which the date of termination occurs, and (v) Pro-Rata PSA Vesting of performance share awards in accordance with the Pro-Rata PSA Vesting Schedule. All outstanding equity awards other than the performance share awards shall be treated in accordance with their terms, without any forward vesting.</w:t>
      </w:r>
    </w:p>
    <w:p>
      <w:pPr>
        <w:spacing w:after="0" w:line="206" w:lineRule="exact"/>
        <w:rPr>
          <w:rFonts w:ascii="Arial" w:cs="Arial" w:eastAsia="Arial" w:hAnsi="Arial"/>
          <w:sz w:val="17"/>
          <w:szCs w:val="17"/>
          <w:color w:val="auto"/>
        </w:rPr>
      </w:pPr>
    </w:p>
    <w:p>
      <w:pPr>
        <w:ind w:left="820" w:right="80" w:hanging="407"/>
        <w:spacing w:after="0" w:line="255" w:lineRule="auto"/>
        <w:tabs>
          <w:tab w:leader="none" w:pos="816" w:val="left"/>
        </w:tabs>
        <w:numPr>
          <w:ilvl w:val="1"/>
          <w:numId w:val="3"/>
        </w:numPr>
        <w:rPr>
          <w:rFonts w:ascii="Arial" w:cs="Arial" w:eastAsia="Arial" w:hAnsi="Arial"/>
          <w:sz w:val="16"/>
          <w:szCs w:val="16"/>
          <w:color w:val="auto"/>
        </w:rPr>
      </w:pPr>
      <w:r>
        <w:rPr>
          <w:rFonts w:ascii="Arial" w:cs="Arial" w:eastAsia="Arial" w:hAnsi="Arial"/>
          <w:sz w:val="16"/>
          <w:szCs w:val="16"/>
          <w:color w:val="auto"/>
        </w:rPr>
        <w:t>If Mr. Cocks’ employment terminates by reason of his death or Disability (as defined in the Employment Agreement), Mr. Cocks (or his estate) is entitled to receive the Pro-Rata Bonus, as well as accelerated vesting of (and lapse of restrictions on) all unexpired, unvested stock options and time-based restricted stock units and a one-year exercise period for stock options. In addition, if the termination of employment is due to Disability, he will be entitled to Pro-Rated PSA vesting pursuant to the Pro-Rata PSA Vesting Schedule based on actual company performance over the periods. If the termination of employment is due to death, Mr. Cocks’ estate or beneficiaries shall be issued the number of shares of common stock that is computed by multiplying: (i) the target number of shares corresponding to 100% achievement of the performance metrics multiplied by (ii) a fraction, the numerator of which is the number of days from the start of the applicable performance period to the date of termination and the denominator of which is the total number of days in the applicable performance period.</w:t>
      </w:r>
    </w:p>
    <w:p>
      <w:pPr>
        <w:spacing w:after="0" w:line="191" w:lineRule="exact"/>
        <w:rPr>
          <w:rFonts w:ascii="Arial" w:cs="Arial" w:eastAsia="Arial" w:hAnsi="Arial"/>
          <w:sz w:val="16"/>
          <w:szCs w:val="16"/>
          <w:color w:val="auto"/>
        </w:rPr>
      </w:pPr>
    </w:p>
    <w:p>
      <w:pPr>
        <w:ind w:left="420" w:right="60" w:hanging="412"/>
        <w:spacing w:after="0" w:line="246" w:lineRule="auto"/>
        <w:tabs>
          <w:tab w:leader="none" w:pos="41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Post-Employment Restrictions</w:t>
      </w:r>
      <w:r>
        <w:rPr>
          <w:rFonts w:ascii="Arial" w:cs="Arial" w:eastAsia="Arial" w:hAnsi="Arial"/>
          <w:sz w:val="18"/>
          <w:szCs w:val="18"/>
          <w:color w:val="auto"/>
        </w:rPr>
        <w:t>. The Employment Agreement contains certain post-employment restrictions on Mr. Cocks, including non-competition and non-solicitation provisions.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appointment of Mr. Cocks is filed herewith as Exhibit 99.1.</w:t>
      </w:r>
    </w:p>
    <w:p>
      <w:pPr>
        <w:jc w:val="both"/>
        <w:ind w:right="40"/>
        <w:spacing w:after="0" w:line="243" w:lineRule="auto"/>
        <w:rPr>
          <w:sz w:val="20"/>
          <w:szCs w:val="20"/>
          <w:color w:val="auto"/>
        </w:rPr>
      </w:pPr>
      <w:r>
        <w:rPr>
          <w:rFonts w:ascii="Arial" w:cs="Arial" w:eastAsia="Arial" w:hAnsi="Arial"/>
          <w:sz w:val="17"/>
          <w:szCs w:val="17"/>
          <w:color w:val="auto"/>
        </w:rPr>
        <w:t>There are no family relationships between Mr. Cocks and any of the directors or executive officers of the Company, and there are no transactions in which Mr. Cocks has an interest requiring disclosure under Item 404(a) of Regulation S-K. There is no arrangement or understanding between Mr. Cocks and any other person pursuant to which Mr. Cocks was appointed as an officer or director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President and Chief Operating Officer</w:t>
      </w:r>
      <w:r>
        <w:rPr>
          <w:rFonts w:ascii="Arial" w:cs="Arial" w:eastAsia="Arial" w:hAnsi="Arial"/>
          <w:sz w:val="18"/>
          <w:szCs w:val="18"/>
          <w:color w:val="auto"/>
        </w:rPr>
        <w:t>.</w:t>
      </w:r>
    </w:p>
    <w:p>
      <w:pPr>
        <w:spacing w:after="0" w:line="225" w:lineRule="exact"/>
        <w:rPr>
          <w:sz w:val="20"/>
          <w:szCs w:val="20"/>
          <w:color w:val="auto"/>
        </w:rPr>
      </w:pPr>
    </w:p>
    <w:p>
      <w:pPr>
        <w:jc w:val="both"/>
        <w:ind w:right="160"/>
        <w:spacing w:after="0" w:line="231" w:lineRule="auto"/>
        <w:rPr>
          <w:sz w:val="20"/>
          <w:szCs w:val="20"/>
          <w:color w:val="auto"/>
        </w:rPr>
      </w:pPr>
      <w:r>
        <w:rPr>
          <w:rFonts w:ascii="Arial" w:cs="Arial" w:eastAsia="Arial" w:hAnsi="Arial"/>
          <w:sz w:val="18"/>
          <w:szCs w:val="18"/>
          <w:color w:val="auto"/>
        </w:rPr>
        <w:t>On January 5, 2022, the Company also announced the appointment of Eric Nyman as President and Chief Operating Officer, effective February 25, 2022. Mr. Nyman, 49, joined Hasbro in 2003 and currently serves as Chief Consumer Officer and Chief Operating Officer, Hasbro Consumer Products. Prior to his current role, he has held a number of senior positions at Hasbro, including President of Hasbro North America and General Manager and Senior Vice President of Marketing.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an employment agreement with Mr. Nyman (the “Letter Agreement”) that provides for the following:</w:t>
      </w:r>
    </w:p>
    <w:p>
      <w:pPr>
        <w:spacing w:after="0" w:line="266" w:lineRule="exact"/>
        <w:rPr>
          <w:sz w:val="20"/>
          <w:szCs w:val="20"/>
          <w:color w:val="auto"/>
        </w:rPr>
      </w:pPr>
    </w:p>
    <w:p>
      <w:pPr>
        <w:ind w:left="420" w:right="120" w:hanging="412"/>
        <w:spacing w:after="0" w:line="277" w:lineRule="auto"/>
        <w:tabs>
          <w:tab w:leader="none" w:pos="408" w:val="left"/>
        </w:tabs>
        <w:numPr>
          <w:ilvl w:val="0"/>
          <w:numId w:val="4"/>
        </w:numPr>
        <w:rPr>
          <w:rFonts w:ascii="Arial" w:cs="Arial" w:eastAsia="Arial" w:hAnsi="Arial"/>
          <w:sz w:val="18"/>
          <w:szCs w:val="18"/>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Mr. Nyman’s employment as President and Chief Operating Officer will commence February 25, 2022 (the “Effective Date”) and extend until December 31, 2023 (“Term”), unless earlier terminated or extended in accordance with the provisions of the Letter Agreement.</w:t>
      </w:r>
    </w:p>
    <w:p>
      <w:pPr>
        <w:spacing w:after="0" w:line="196"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229" w:lineRule="exact"/>
        <w:rPr>
          <w:rFonts w:ascii="Arial" w:cs="Arial" w:eastAsia="Arial" w:hAnsi="Arial"/>
          <w:sz w:val="20"/>
          <w:szCs w:val="20"/>
          <w:color w:val="auto"/>
        </w:rPr>
      </w:pPr>
    </w:p>
    <w:p>
      <w:pPr>
        <w:ind w:left="1300" w:hanging="482"/>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Beginning on the Effective Date, Mr. Nyman will be paid an annual base salary of $1,100,000.</w:t>
      </w:r>
    </w:p>
    <w:p>
      <w:pPr>
        <w:spacing w:after="0" w:line="4" w:lineRule="exact"/>
        <w:rPr>
          <w:rFonts w:ascii="Arial" w:cs="Arial" w:eastAsia="Arial" w:hAnsi="Arial"/>
          <w:sz w:val="20"/>
          <w:szCs w:val="20"/>
          <w:color w:val="auto"/>
        </w:rPr>
      </w:pPr>
    </w:p>
    <w:p>
      <w:pPr>
        <w:ind w:left="1300" w:right="200" w:hanging="482"/>
        <w:spacing w:after="0" w:line="242"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18"/>
          <w:szCs w:val="18"/>
          <w:i w:val="1"/>
          <w:iCs w:val="1"/>
          <w:color w:val="auto"/>
        </w:rPr>
        <w:t>Management Incentive Plan Bonus</w:t>
      </w:r>
      <w:r>
        <w:rPr>
          <w:rFonts w:ascii="Arial" w:cs="Arial" w:eastAsia="Arial" w:hAnsi="Arial"/>
          <w:sz w:val="18"/>
          <w:szCs w:val="18"/>
          <w:color w:val="auto"/>
        </w:rPr>
        <w:t>. Mr. Nyman will be entitled to receive an annual management incentive plan bonus, beginning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2022 fiscal year, with a target equal to 100% of his earned base salary.</w:t>
      </w:r>
    </w:p>
    <w:p>
      <w:pPr>
        <w:ind w:left="1300" w:right="840" w:hanging="482"/>
        <w:spacing w:after="0" w:line="278" w:lineRule="auto"/>
        <w:tabs>
          <w:tab w:leader="none" w:pos="1289" w:val="left"/>
        </w:tabs>
        <w:numPr>
          <w:ilvl w:val="1"/>
          <w:numId w:val="4"/>
        </w:numPr>
        <w:rPr>
          <w:rFonts w:ascii="Arial" w:cs="Arial" w:eastAsia="Arial" w:hAnsi="Arial"/>
          <w:sz w:val="19"/>
          <w:szCs w:val="19"/>
          <w:color w:val="auto"/>
        </w:rPr>
      </w:pPr>
      <w:r>
        <w:rPr>
          <w:rFonts w:ascii="Arial" w:cs="Arial" w:eastAsia="Arial" w:hAnsi="Arial"/>
          <w:sz w:val="17"/>
          <w:szCs w:val="17"/>
          <w:i w:val="1"/>
          <w:iCs w:val="1"/>
          <w:color w:val="auto"/>
        </w:rPr>
        <w:t>Long-Term Incentive</w:t>
      </w:r>
      <w:r>
        <w:rPr>
          <w:rFonts w:ascii="Arial" w:cs="Arial" w:eastAsia="Arial" w:hAnsi="Arial"/>
          <w:sz w:val="17"/>
          <w:szCs w:val="17"/>
          <w:color w:val="auto"/>
        </w:rPr>
        <w:t>. Beginning with the Company’s 2022 fiscal year, Mr. Nyman will be eligible to receive awards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long-term equity incentive program with an annual target equal to 400% of his annualized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 w:name="page4"/>
    <w:bookmarkEnd w:id="3"/>
    <w:p>
      <w:pPr>
        <w:ind w:left="1300" w:right="320" w:hanging="482"/>
        <w:spacing w:after="0" w:line="247" w:lineRule="auto"/>
        <w:tabs>
          <w:tab w:leader="none" w:pos="1289" w:val="left"/>
        </w:tabs>
        <w:numPr>
          <w:ilvl w:val="2"/>
          <w:numId w:val="5"/>
        </w:numPr>
        <w:rPr>
          <w:rFonts w:ascii="Arial" w:cs="Arial" w:eastAsia="Arial" w:hAnsi="Arial"/>
          <w:sz w:val="20"/>
          <w:szCs w:val="20"/>
          <w:color w:val="auto"/>
        </w:rPr>
      </w:pPr>
      <w:r>
        <w:rPr>
          <w:rFonts w:ascii="Arial" w:cs="Arial" w:eastAsia="Arial" w:hAnsi="Arial"/>
          <w:sz w:val="18"/>
          <w:szCs w:val="18"/>
          <w:i w:val="1"/>
          <w:iCs w:val="1"/>
          <w:color w:val="auto"/>
        </w:rPr>
        <w:t xml:space="preserve">RSU Grant. </w:t>
      </w:r>
      <w:r>
        <w:rPr>
          <w:rFonts w:ascii="Arial" w:cs="Arial" w:eastAsia="Arial" w:hAnsi="Arial"/>
          <w:sz w:val="18"/>
          <w:szCs w:val="18"/>
          <w:color w:val="auto"/>
        </w:rPr>
        <w:t>In addition to the annual long-term incentive grant, in 2022, Mr. Nyman will receive an additional grant in the form of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grant with a grant date value of $750,000 (the “RSU Grant”). The RSU Grant will cliff vest on the last day of the Term if he remains employed with the Company through the last day of the Term, subject to earlier vesting in the event of death, disability, termination without cause or termination by him for Good Reason.</w:t>
      </w:r>
    </w:p>
    <w:p>
      <w:pPr>
        <w:spacing w:after="0" w:line="2" w:lineRule="exact"/>
        <w:rPr>
          <w:rFonts w:ascii="Arial" w:cs="Arial" w:eastAsia="Arial" w:hAnsi="Arial"/>
          <w:sz w:val="20"/>
          <w:szCs w:val="20"/>
          <w:color w:val="auto"/>
        </w:rPr>
      </w:pPr>
    </w:p>
    <w:p>
      <w:pPr>
        <w:ind w:left="1300" w:right="140" w:hanging="482"/>
        <w:spacing w:after="0" w:line="286" w:lineRule="auto"/>
        <w:tabs>
          <w:tab w:leader="none" w:pos="1289" w:val="left"/>
        </w:tabs>
        <w:numPr>
          <w:ilvl w:val="2"/>
          <w:numId w:val="5"/>
        </w:numPr>
        <w:rPr>
          <w:rFonts w:ascii="Arial" w:cs="Arial" w:eastAsia="Arial" w:hAnsi="Arial"/>
          <w:sz w:val="18"/>
          <w:szCs w:val="18"/>
          <w:color w:val="auto"/>
        </w:rPr>
      </w:pPr>
      <w:r>
        <w:rPr>
          <w:rFonts w:ascii="Arial" w:cs="Arial" w:eastAsia="Arial" w:hAnsi="Arial"/>
          <w:sz w:val="16"/>
          <w:szCs w:val="16"/>
          <w:i w:val="1"/>
          <w:iCs w:val="1"/>
          <w:color w:val="auto"/>
        </w:rPr>
        <w:t xml:space="preserve">Treatment of Equity Awards. </w:t>
      </w:r>
      <w:r>
        <w:rPr>
          <w:rFonts w:ascii="Arial" w:cs="Arial" w:eastAsia="Arial" w:hAnsi="Arial"/>
          <w:sz w:val="16"/>
          <w:szCs w:val="16"/>
          <w:color w:val="auto"/>
        </w:rPr>
        <w:t>Except as otherwise provided in the Letter Agreement, upon any termination of Mr. Nyman’s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his outstanding equity grants will be treated in accordance with their terms. However, if Mr. Nyman’s employment with the Company terminates after December 31, 2023 (the date of such termination referred to as the “Date of Termination”) any contingent performance share awards (or other performance-based equity awards) then outstanding and held by Mr. Nyman that were granted in either 2022 or 2023 (collectively the “2022/2023 Performance Awards”) shall remain outstanding until the end of the applicable performance periods (each a “Performance Period”) and following the end of the Performance Periods will receive a pro-rata portion of any shares earned.</w:t>
      </w:r>
    </w:p>
    <w:p>
      <w:pPr>
        <w:spacing w:after="0" w:line="208"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20"/>
          <w:szCs w:val="20"/>
          <w:color w:val="auto"/>
        </w:rPr>
      </w:pPr>
      <w:r>
        <w:rPr>
          <w:rFonts w:ascii="Arial" w:cs="Arial" w:eastAsia="Arial" w:hAnsi="Arial"/>
          <w:sz w:val="18"/>
          <w:szCs w:val="18"/>
          <w:u w:val="single" w:color="auto"/>
          <w:color w:val="auto"/>
        </w:rPr>
        <w:t>Severance.</w:t>
      </w:r>
    </w:p>
    <w:p>
      <w:pPr>
        <w:spacing w:after="0" w:line="202" w:lineRule="exact"/>
        <w:rPr>
          <w:rFonts w:ascii="Arial" w:cs="Arial" w:eastAsia="Arial" w:hAnsi="Arial"/>
          <w:sz w:val="20"/>
          <w:szCs w:val="20"/>
          <w:color w:val="auto"/>
        </w:rPr>
      </w:pPr>
    </w:p>
    <w:p>
      <w:pPr>
        <w:ind w:left="820" w:right="280" w:hanging="407"/>
        <w:spacing w:after="0" w:line="246" w:lineRule="auto"/>
        <w:tabs>
          <w:tab w:leader="none" w:pos="816" w:val="left"/>
        </w:tabs>
        <w:numPr>
          <w:ilvl w:val="1"/>
          <w:numId w:val="5"/>
        </w:numPr>
        <w:rPr>
          <w:rFonts w:ascii="Arial" w:cs="Arial" w:eastAsia="Arial" w:hAnsi="Arial"/>
          <w:sz w:val="18"/>
          <w:szCs w:val="18"/>
          <w:color w:val="auto"/>
        </w:rPr>
      </w:pPr>
      <w:r>
        <w:rPr>
          <w:rFonts w:ascii="Arial" w:cs="Arial" w:eastAsia="Arial" w:hAnsi="Arial"/>
          <w:sz w:val="18"/>
          <w:szCs w:val="18"/>
          <w:color w:val="auto"/>
        </w:rPr>
        <w:t>Mr. Nyman is eligible for severance in the event Hasbro terminates his employment without Cause (as defined in the Letter Agreement) or if Mr. Nyman resigns for Good Reason (as defined in the Letter Agreement).</w:t>
      </w:r>
    </w:p>
    <w:p>
      <w:pPr>
        <w:spacing w:after="0" w:line="237" w:lineRule="exact"/>
        <w:rPr>
          <w:rFonts w:ascii="Arial" w:cs="Arial" w:eastAsia="Arial" w:hAnsi="Arial"/>
          <w:sz w:val="18"/>
          <w:szCs w:val="18"/>
          <w:color w:val="auto"/>
        </w:rPr>
      </w:pPr>
    </w:p>
    <w:p>
      <w:pPr>
        <w:ind w:left="1300" w:hanging="482"/>
        <w:spacing w:after="0" w:line="253" w:lineRule="auto"/>
        <w:tabs>
          <w:tab w:leader="none" w:pos="1289" w:val="left"/>
        </w:tabs>
        <w:numPr>
          <w:ilvl w:val="2"/>
          <w:numId w:val="5"/>
        </w:numPr>
        <w:rPr>
          <w:rFonts w:ascii="Arial" w:cs="Arial" w:eastAsia="Arial" w:hAnsi="Arial"/>
          <w:sz w:val="18"/>
          <w:szCs w:val="18"/>
          <w:color w:val="auto"/>
        </w:rPr>
      </w:pPr>
      <w:r>
        <w:rPr>
          <w:rFonts w:ascii="Arial" w:cs="Arial" w:eastAsia="Arial" w:hAnsi="Arial"/>
          <w:sz w:val="16"/>
          <w:szCs w:val="16"/>
          <w:i w:val="1"/>
          <w:iCs w:val="1"/>
          <w:color w:val="auto"/>
        </w:rPr>
        <w:t>Upon Termination by Hasbro Without Cause, or by Mr. Nyman for Good Reason, Within 24 Months Following a Change in Control</w:t>
      </w:r>
      <w:r>
        <w:rPr>
          <w:rFonts w:ascii="Arial" w:cs="Arial" w:eastAsia="Arial" w:hAnsi="Arial"/>
          <w:sz w:val="16"/>
          <w:szCs w:val="16"/>
          <w:color w:val="auto"/>
        </w:rPr>
        <w:t>. Mr.</w:t>
      </w:r>
      <w:r>
        <w:rPr>
          <w:rFonts w:ascii="Arial" w:cs="Arial" w:eastAsia="Arial" w:hAnsi="Arial"/>
          <w:sz w:val="16"/>
          <w:szCs w:val="16"/>
          <w:i w:val="1"/>
          <w:iCs w:val="1"/>
          <w:color w:val="auto"/>
        </w:rPr>
        <w:t xml:space="preserve"> </w:t>
      </w:r>
      <w:r>
        <w:rPr>
          <w:rFonts w:ascii="Arial" w:cs="Arial" w:eastAsia="Arial" w:hAnsi="Arial"/>
          <w:sz w:val="16"/>
          <w:szCs w:val="16"/>
          <w:color w:val="auto"/>
        </w:rPr>
        <w:t>Nyman is eligible to receive a lump sum payment equal to two times his then-current base salary, a lump sum payment equal to two times his annual management incentive plan bonus, certain premium payments by Hasbro for continued medical and dental insurance under COBRA for up to 12 months from the effective date of termination, accelerated vesting of (and lapse of restrictions on) all unexpired, unvested stock options, performance share awards and time-based restricted stock units, and a one-year exercise period for stock options.</w:t>
      </w:r>
    </w:p>
    <w:p>
      <w:pPr>
        <w:spacing w:after="0" w:line="220" w:lineRule="exact"/>
        <w:rPr>
          <w:rFonts w:ascii="Arial" w:cs="Arial" w:eastAsia="Arial" w:hAnsi="Arial"/>
          <w:sz w:val="18"/>
          <w:szCs w:val="18"/>
          <w:color w:val="auto"/>
        </w:rPr>
      </w:pPr>
    </w:p>
    <w:p>
      <w:pPr>
        <w:ind w:left="1300" w:right="40" w:hanging="482"/>
        <w:spacing w:after="0" w:line="229" w:lineRule="auto"/>
        <w:tabs>
          <w:tab w:leader="none" w:pos="1289" w:val="left"/>
        </w:tabs>
        <w:numPr>
          <w:ilvl w:val="2"/>
          <w:numId w:val="5"/>
        </w:numPr>
        <w:rPr>
          <w:rFonts w:ascii="Arial" w:cs="Arial" w:eastAsia="Arial" w:hAnsi="Arial"/>
          <w:sz w:val="20"/>
          <w:szCs w:val="20"/>
          <w:color w:val="auto"/>
        </w:rPr>
      </w:pPr>
      <w:r>
        <w:rPr>
          <w:rFonts w:ascii="Arial" w:cs="Arial" w:eastAsia="Arial" w:hAnsi="Arial"/>
          <w:sz w:val="18"/>
          <w:szCs w:val="18"/>
          <w:i w:val="1"/>
          <w:iCs w:val="1"/>
          <w:color w:val="auto"/>
        </w:rPr>
        <w:t>Upon Termination by Hasbro Without Cause, or by Mr. Nyman for Good Reason, Prior to, or More than 24 Months Following, a Change in Control</w:t>
      </w:r>
      <w:r>
        <w:rPr>
          <w:rFonts w:ascii="Arial" w:cs="Arial" w:eastAsia="Arial" w:hAnsi="Arial"/>
          <w:sz w:val="18"/>
          <w:szCs w:val="18"/>
          <w:color w:val="auto"/>
        </w:rPr>
        <w:t>. If such termination occurs prior to or more than two years following a Change in Control (as defined in the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Mr. Nyman is eligible to receive payment of his then-current base salary for a period of 18 months following the date of termination, a pro-rated annual management incentive plan bonus, pro-rata vesting of any restricted stock units and a pro-rata portion of any shares earned under outstanding performance share awards, a one-year stock option exercise period for vested options, and certain premium payments by Hasbro for continued medical and dental insurance under COBRA for up to 18 months from the effective date of termination.</w:t>
      </w:r>
    </w:p>
    <w:p>
      <w:pPr>
        <w:spacing w:after="0" w:line="202" w:lineRule="exact"/>
        <w:rPr>
          <w:rFonts w:ascii="Arial" w:cs="Arial" w:eastAsia="Arial" w:hAnsi="Arial"/>
          <w:sz w:val="20"/>
          <w:szCs w:val="20"/>
          <w:color w:val="auto"/>
        </w:rPr>
      </w:pPr>
    </w:p>
    <w:p>
      <w:pPr>
        <w:ind w:left="820" w:right="20" w:hanging="407"/>
        <w:spacing w:after="0" w:line="242" w:lineRule="auto"/>
        <w:tabs>
          <w:tab w:leader="none" w:pos="816" w:val="left"/>
        </w:tabs>
        <w:numPr>
          <w:ilvl w:val="1"/>
          <w:numId w:val="5"/>
        </w:numPr>
        <w:rPr>
          <w:rFonts w:ascii="Arial" w:cs="Arial" w:eastAsia="Arial" w:hAnsi="Arial"/>
          <w:sz w:val="17"/>
          <w:szCs w:val="17"/>
          <w:color w:val="auto"/>
        </w:rPr>
      </w:pPr>
      <w:r>
        <w:rPr>
          <w:rFonts w:ascii="Arial" w:cs="Arial" w:eastAsia="Arial" w:hAnsi="Arial"/>
          <w:sz w:val="17"/>
          <w:szCs w:val="17"/>
          <w:color w:val="auto"/>
        </w:rPr>
        <w:t>Following expiration of the term of the Letter Agreement, if Hasbro does not offer to extend the term for at least an additional year on terms and conditions at least as favorable as those set forth in the Letter Agreement or the parties cannot otherwise mutually agree upon the terms of an agreement for Mr. Nyman to remain employed with Hasbro, then Mr. Nyman is eligible to receive payment of his then-current base salary for a period of 12 months following the date of termination of employment and certain premium payments by Hasbro for continued medical and dental insurance under COBRA for up to 12 months from the effective date of termination.</w:t>
      </w:r>
    </w:p>
    <w:p>
      <w:pPr>
        <w:spacing w:after="0" w:line="202" w:lineRule="exact"/>
        <w:rPr>
          <w:rFonts w:ascii="Arial" w:cs="Arial" w:eastAsia="Arial" w:hAnsi="Arial"/>
          <w:sz w:val="17"/>
          <w:szCs w:val="17"/>
          <w:color w:val="auto"/>
        </w:rPr>
      </w:pPr>
    </w:p>
    <w:p>
      <w:pPr>
        <w:ind w:left="820" w:right="40" w:hanging="407"/>
        <w:spacing w:after="0" w:line="231" w:lineRule="auto"/>
        <w:tabs>
          <w:tab w:leader="none" w:pos="816"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Mr. Nyman’s employment terminates by reason of his death or Disability (as defined in the Letter Agreement), Mr. Nyman (or his estate) is entitled to receive a pro-rated portion of Mr. Nyman’s annual management incentive plan bonus, and will become vested in a pro-rata portion of any unvested restricted stock units and vested in a pro-rata portion of performance share awards, and will receive accelerated vesting of all unexpired, unvested stock options and a one-year stock option exercise period.</w:t>
      </w:r>
    </w:p>
    <w:p>
      <w:pPr>
        <w:spacing w:after="0" w:line="229" w:lineRule="exact"/>
        <w:rPr>
          <w:rFonts w:ascii="Arial" w:cs="Arial" w:eastAsia="Arial" w:hAnsi="Arial"/>
          <w:sz w:val="18"/>
          <w:szCs w:val="18"/>
          <w:color w:val="auto"/>
        </w:rPr>
      </w:pPr>
    </w:p>
    <w:p>
      <w:pPr>
        <w:ind w:left="420" w:right="200" w:hanging="412"/>
        <w:spacing w:after="0" w:line="230" w:lineRule="auto"/>
        <w:tabs>
          <w:tab w:leader="none" w:pos="408" w:val="left"/>
        </w:tabs>
        <w:numPr>
          <w:ilvl w:val="0"/>
          <w:numId w:val="5"/>
        </w:numPr>
        <w:rPr>
          <w:rFonts w:ascii="Arial" w:cs="Arial" w:eastAsia="Arial" w:hAnsi="Arial"/>
          <w:sz w:val="20"/>
          <w:szCs w:val="20"/>
          <w:color w:val="auto"/>
        </w:rPr>
      </w:pPr>
      <w:r>
        <w:rPr>
          <w:rFonts w:ascii="Arial" w:cs="Arial" w:eastAsia="Arial" w:hAnsi="Arial"/>
          <w:sz w:val="18"/>
          <w:szCs w:val="18"/>
          <w:u w:val="single" w:color="auto"/>
          <w:color w:val="auto"/>
        </w:rPr>
        <w:t>Post-Employment Restrictions</w:t>
      </w:r>
      <w:r>
        <w:rPr>
          <w:rFonts w:ascii="Arial" w:cs="Arial" w:eastAsia="Arial" w:hAnsi="Arial"/>
          <w:sz w:val="18"/>
          <w:szCs w:val="18"/>
          <w:color w:val="auto"/>
        </w:rPr>
        <w:t>. The Letter Agreement contains certain post-employment restrictions on Mr. Nyman, including non-competition and non-solicitation provisions.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press release announcing the appointment of Mr. Nyman is filed herewith as Exhibit 99.1.</w:t>
      </w:r>
    </w:p>
    <w:p>
      <w:pPr>
        <w:spacing w:after="0" w:line="22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are no family relationships between Mr. Nyman and any of the directors or executive officers of the Company, and there are no transactions in which Mr. Nyman has an interest requiring disclosure under Item 404(a) of Regulation S-K. There is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arrangement or understanding between Mr. Nyman and any other person pursuant to which Mr. Nyman was appointed as an officer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7">
        <w:r>
          <w:rPr>
            <w:rFonts w:ascii="Arial" w:cs="Arial" w:eastAsia="Arial" w:hAnsi="Arial"/>
            <w:sz w:val="18"/>
            <w:szCs w:val="18"/>
            <w:u w:val="single" w:color="auto"/>
            <w:color w:val="0000FF"/>
          </w:rPr>
          <w:t>Hasbro, Inc. Press Release, dated January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7657465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1" w:right="879" w:bottom="1440" w:gutter="0" w:footer="0" w:header="0"/>
        </w:sectPr>
      </w:pPr>
    </w:p>
    <w:bookmarkStart w:id="5" w:name="page6"/>
    <w:bookmarkEnd w:id="5"/>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HASBRO, INC.</w:t>
      </w:r>
    </w:p>
    <w:p>
      <w:pPr>
        <w:spacing w:after="0" w:line="4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/s/ Deborah Thomas</w:t>
      </w:r>
    </w:p>
    <w:p>
      <w:pPr>
        <w:spacing w:after="0" w:line="3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-130175</wp:posOffset>
            </wp:positionV>
            <wp:extent cx="282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Title: Executive Vice President and Chief Financial Officer (Duly</w:t>
      </w:r>
    </w:p>
    <w:p>
      <w:pPr>
        <w:spacing w:after="0" w:line="1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Officer and Principal Financial Officer)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10, 2022</w:t>
      </w:r>
    </w:p>
    <w:p>
      <w:pPr>
        <w:sectPr>
          <w:pgSz w:w="11900" w:h="16838" w:orient="portrait"/>
          <w:cols w:equalWidth="0" w:num="1">
            <w:col w:w="11200"/>
          </w:cols>
          <w:pgMar w:left="320" w:top="1440" w:right="379" w:bottom="1440" w:gutter="0" w:footer="0" w:header="0"/>
        </w:sectPr>
      </w:pPr>
    </w:p>
    <w:bookmarkStart w:id="6" w:name="page7"/>
    <w:bookmarkEnd w:id="6"/>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82296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Names Chris Cocks as Chief Executive Officer</w:t>
      </w:r>
    </w:p>
    <w:p>
      <w:pPr>
        <w:spacing w:after="0" w:line="174" w:lineRule="exact"/>
        <w:rPr>
          <w:sz w:val="20"/>
          <w:szCs w:val="20"/>
          <w:color w:val="auto"/>
        </w:rPr>
      </w:pPr>
    </w:p>
    <w:p>
      <w:pPr>
        <w:jc w:val="center"/>
        <w:spacing w:after="0" w:line="281" w:lineRule="auto"/>
        <w:rPr>
          <w:sz w:val="20"/>
          <w:szCs w:val="20"/>
          <w:color w:val="auto"/>
        </w:rPr>
      </w:pPr>
      <w:r>
        <w:rPr>
          <w:rFonts w:ascii="Arial" w:cs="Arial" w:eastAsia="Arial" w:hAnsi="Arial"/>
          <w:sz w:val="20"/>
          <w:szCs w:val="20"/>
          <w:i w:val="1"/>
          <w:iCs w:val="1"/>
          <w:color w:val="auto"/>
        </w:rPr>
        <w:t>Cocks to Succeed Interim CEO &amp; Board Member, Rich Stoddart, and Join Board of Directors; Stoddart to Become Chair of the Board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Eric Nyman Appointed President &amp; Chief Operating Officer of Hasbro</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PAWTUCKET, R.I. — January 5, 2022 – Hasbro, Inc. (NASDAQ: HAS) today announced that its Board of Directors has appointed Chris Cocks as Chief Executive Officer and member of the Board of Directors, effective February 25, 2022. Mr. Cocks currently serves as President and Chief Operating Officer of Hasbro’s Wizards of the Coast and Digital Gaming division, a global leader in tabletop and digital gaming. He will succeed Interim CEO, Rich Stoddart, who was appointed following the October passing of Hasbro’s longtime CEO Brian Goldner. Mr. Stoddart, who has served as a Hasbro independent director since 2014, will become Chair of the Board, effective February 25, 2022.</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Tracy Leinbach, current Chair of the Board, said: “Chris’s appointment marks the culmination of an extensive and thoughtful candidate review and selection process led by the Board. In Chris, we have chosen a leader uniquely positioned to execute and evolve Hasbro’s Brand Blueprint strategy while continuing to generate growth and deliver strong shareholder returns. Chris’s extensive omni-channel experience and proven track record make him the ideal leader for Hasbro as it continues to become the world’s leading play and entertainment company. On behalf of the Board, we thank Rich for serving as Interim CEO during a difficult time for the Hasbro family and are delighted he will serve as Chair of our Board.”</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Mr. Stoddart said: “Having known Chris for years and working more closely with him these last several months, I have no doubt that he will be an extraordinary leader for the next phase of Hasbro’s journey. A storyteller and gamer at heart, Chris innately understands how to create and nurture brands to drive fan and consumer connection across channels. He is a highly strategic leader, with the vision, skills and experience to unlock our Brand Blueprint for supercharged growth.”</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Mr. Cocks said: “Hasbro has amazing brands, gifted storytellers and unique entertainment assets, and I am humbled to step into the position of CEO at this important time and to build on the strong foundation Brian created. Our consumer products, gaming and entertainment teams are the best and most creative in the business and have shown such incredible resilience. I look forward to working with our highly-experienced senior management team as we continue to reimagine play and entertainment and deliver experiences to families and fans, of all ages, around the world.”</w:t>
      </w:r>
    </w:p>
    <w:p>
      <w:pPr>
        <w:spacing w:after="0" w:line="142"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Mr. Cocks has served as President and COO of Wizards of the Coast since 2016, when he joined Hasbro from Microsoft. Wizards of the Coast, a subsidiary of Hasbro, offers games and entertainment under world-renowned brands such as MAGIC: THE GATHERING, DUNGEONS &amp; DRAGONS, and DUEL MASTERS. Under Mr. Cocks, Wizards of the Coast has focused on cooperative game play, expanding new digital initiatives and creating a robust workforce of back-end developers, digital designers, 3D artists and producers. Under Mr. Cocks’s leadership, revenue at Wizards of the Coast has more than doubled, surpassing $1 billion in 2021.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998" w:right="339" w:bottom="1440" w:gutter="0" w:footer="0" w:header="0"/>
        </w:sectPr>
      </w:pPr>
    </w:p>
    <w:bookmarkStart w:id="7" w:name="page8"/>
    <w:bookmarkEnd w:id="7"/>
    <w:p>
      <w:pPr>
        <w:ind w:right="360"/>
        <w:spacing w:after="0" w:line="257" w:lineRule="auto"/>
        <w:rPr>
          <w:sz w:val="20"/>
          <w:szCs w:val="20"/>
          <w:color w:val="auto"/>
        </w:rPr>
      </w:pPr>
      <w:r>
        <w:rPr>
          <w:rFonts w:ascii="Arial" w:cs="Arial" w:eastAsia="Arial" w:hAnsi="Arial"/>
          <w:sz w:val="20"/>
          <w:szCs w:val="20"/>
          <w:color w:val="auto"/>
        </w:rPr>
        <w:t>During his 14 years at Microsoft, Mr. Cocks led a global sales and technical engagement team as Vice President, OEM Technical Sales and served in product management and marketing leadership positions at MSN and Xbox Games, where he worked on hit franchises like HALO and FABLE.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 Company expects to name a new president for Wizards of the Coast in the coming weeks.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Eric Nyman to Become Hasbro’s President and Chief Operating Officer</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20"/>
          <w:szCs w:val="20"/>
          <w:color w:val="auto"/>
        </w:rPr>
        <w:t>Hasbro also announced the appointment of long-time leader Eric Nyman as President and Chief Operating Officer, effective February 25, 2022. In this new role, Mr. Nyman will oversee global business, operational and foundational platform investments; continue to lead Hasbro’s overall consumer licensing strategy and strategic partnerships; and oversee Hasbro’s global supply chain, directing the strategy for a next-generation consumer direct distribution platform.</w:t>
      </w:r>
    </w:p>
    <w:p>
      <w:pPr>
        <w:spacing w:after="0" w:line="139"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auto"/>
        </w:rPr>
        <w:t>Mr. Stoddart continued: “Eric has been a valued member of the Hasbro team for more than 18 years, inspiring our people, and driving consumer-focused innovation across our iconic brand portfolio. The Company will benefit from his vast knowledge, creativity and leadership as he takes on this new, expanded role on our senior management team.”</w:t>
      </w:r>
    </w:p>
    <w:p>
      <w:pPr>
        <w:spacing w:after="0" w:line="125"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Mr. Nyman, who joined Hasbro in 2003, currently serves as Chief Consumer Officer and Chief Operating Officer of Hasbro Consumer Products. In this role, he leads the Hasbro Consumer Products business unit, including oversight for operations and partner relationships, Hasbro’s licensed consumer products business and Hasbro Pulse, the Company’s direct-to-consumer platform. He previously served in a number of senior roles, including President of Hasbro North America and General Manager and Senior Vice President of Marketing.</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Hasbro</w:t>
      </w:r>
    </w:p>
    <w:p>
      <w:pPr>
        <w:spacing w:after="0" w:line="18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Hasbro (NASDAQ: HAS) is a global play and entertainment company committed to making the world a better place for all children, fans and families. Hasbro delivers immersive brand experiences for global audiences through consumer products, including toys and games; entertainment through eOne, its independent studio; and gaming, led by the team at Wizards of the Coast, an award-winning developer of tabletop and digital games best known for fantasy franchises MAGIC: THE GATHERING and DUNGEONS &amp; DRAGONS.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color w:val="auto"/>
        </w:rPr>
        <w:t>The Company’s unparalleled portfolio of approximately 1,500 brands includes MAGIC: THE GATHERING, NERF, MY LITTLE PONY, TRANSFORMERS, PLAY-DOH, MONOPOLY, BABY ALIVE, DUNGEONS &amp; DRAGONS, POWER RANGERS, PEPPA PIG and PJ MASKS, as well as premier partner brands. For the past decade, Hasbro has been consistently recognized for its corporate citizenship, including being named one of the 100 Best Corporate Citizens by 3BL Media and one of the World’s Most Ethical Companies by Ethisphere Institute. Important business and brand updates are routinely shared on our Investor Relations website, Newsroom and social channels (@Hasbro on Twitter, Instagram, Facebook and LinkedIn.)</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Hasbro Forward-Looking Statements</w:t>
      </w:r>
    </w:p>
    <w:p>
      <w:pPr>
        <w:spacing w:after="0" w:line="186"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Certain statements in this press release contain "forward-looking statements" within the meaning of the Private Securities Litigation Reform Act of 1995. These forward-looking statements may be accompanied by such words as “anticipate,” “believe,” “could,” “estimate,” “expect,” “forecast,” “intend,” “may,” “plan,” “potential,” “project,” “target,” “will” and other words and terms of similar meaning. Among other things, these forward-looking statements include statements related to expected leadership changes, the structure of Hasbro’s management operations and similar statements concerning anticipated future events and expectations that are not historical facts. Hasbro’s actual actions or results may differ materially from those expected or anticipated in the forward-looking statements due to</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027" w:right="339" w:bottom="1440" w:gutter="0" w:footer="0" w:header="0"/>
        </w:sectPr>
      </w:pPr>
    </w:p>
    <w:bookmarkStart w:id="8" w:name="page9"/>
    <w:bookmarkEnd w:id="8"/>
    <w:p>
      <w:pPr>
        <w:ind w:right="20"/>
        <w:spacing w:after="0" w:line="255" w:lineRule="auto"/>
        <w:rPr>
          <w:sz w:val="20"/>
          <w:szCs w:val="20"/>
          <w:color w:val="auto"/>
        </w:rPr>
      </w:pPr>
      <w:r>
        <w:rPr>
          <w:rFonts w:ascii="Arial" w:cs="Arial" w:eastAsia="Arial" w:hAnsi="Arial"/>
          <w:sz w:val="20"/>
          <w:szCs w:val="20"/>
          <w:color w:val="auto"/>
        </w:rPr>
        <w:t>both known and unknown risks and uncertainties. Specific factors that might cause such a difference include those risks detailed from time to time in Hasbro’s filings with the U.S. Securities and Exchange Commission. The statements contained herein are based on Hasbro’s current beliefs and expectations and speak only as of the date of this press release. Except as may be required by law, Hasbro does not undertake any obligation to make any revisions to the forward-looking statements contained in this press release or to update them to reflect events or circumstances occurring after the date of this press release. You should not place undue reliance on forward-looking statements.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Contacts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333333"/>
        </w:rPr>
        <w:t xml:space="preserve">Investors: </w:t>
      </w:r>
      <w:r>
        <w:rPr>
          <w:rFonts w:ascii="Arial" w:cs="Arial" w:eastAsia="Arial" w:hAnsi="Arial"/>
          <w:sz w:val="20"/>
          <w:szCs w:val="20"/>
          <w:color w:val="000000"/>
        </w:rPr>
        <w:t>Debbie Hancock</w:t>
      </w:r>
      <w:r>
        <w:rPr>
          <w:rFonts w:ascii="Arial" w:cs="Arial" w:eastAsia="Arial" w:hAnsi="Arial"/>
          <w:sz w:val="20"/>
          <w:szCs w:val="20"/>
          <w:color w:val="333333"/>
        </w:rPr>
        <w:t xml:space="preserve"> | </w:t>
      </w:r>
      <w:r>
        <w:rPr>
          <w:rFonts w:ascii="Arial" w:cs="Arial" w:eastAsia="Arial" w:hAnsi="Arial"/>
          <w:sz w:val="20"/>
          <w:szCs w:val="20"/>
          <w:color w:val="000000"/>
        </w:rPr>
        <w:t>Hasbro, Inc.</w:t>
      </w:r>
      <w:r>
        <w:rPr>
          <w:rFonts w:ascii="Arial" w:cs="Arial" w:eastAsia="Arial" w:hAnsi="Arial"/>
          <w:sz w:val="20"/>
          <w:szCs w:val="20"/>
          <w:color w:val="333333"/>
        </w:rPr>
        <w:t xml:space="preserve"> | (401) 727-5401 | </w:t>
      </w:r>
      <w:r>
        <w:rPr>
          <w:rFonts w:ascii="Arial" w:cs="Arial" w:eastAsia="Arial" w:hAnsi="Arial"/>
          <w:sz w:val="20"/>
          <w:szCs w:val="20"/>
          <w:u w:val="single" w:color="auto"/>
          <w:color w:val="005EB8"/>
        </w:rPr>
        <w:t>debbie.hancock@hasbro.com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333333"/>
        </w:rPr>
        <w:t xml:space="preserve">Media: </w:t>
      </w:r>
      <w:r>
        <w:rPr>
          <w:rFonts w:ascii="Arial" w:cs="Arial" w:eastAsia="Arial" w:hAnsi="Arial"/>
          <w:sz w:val="20"/>
          <w:szCs w:val="20"/>
          <w:color w:val="000000"/>
        </w:rPr>
        <w:t>Carrie Ratner</w:t>
      </w:r>
      <w:r>
        <w:rPr>
          <w:rFonts w:ascii="Arial" w:cs="Arial" w:eastAsia="Arial" w:hAnsi="Arial"/>
          <w:sz w:val="20"/>
          <w:szCs w:val="20"/>
          <w:color w:val="333333"/>
        </w:rPr>
        <w:t xml:space="preserve"> | </w:t>
      </w:r>
      <w:r>
        <w:rPr>
          <w:rFonts w:ascii="Arial" w:cs="Arial" w:eastAsia="Arial" w:hAnsi="Arial"/>
          <w:sz w:val="20"/>
          <w:szCs w:val="20"/>
          <w:color w:val="000000"/>
        </w:rPr>
        <w:t>Hasbro, Inc.</w:t>
      </w:r>
      <w:r>
        <w:rPr>
          <w:rFonts w:ascii="Arial" w:cs="Arial" w:eastAsia="Arial" w:hAnsi="Arial"/>
          <w:sz w:val="20"/>
          <w:szCs w:val="20"/>
          <w:color w:val="333333"/>
        </w:rPr>
        <w:t xml:space="preserve"> | (401) 556-2720 | </w:t>
      </w:r>
      <w:r>
        <w:rPr>
          <w:rFonts w:ascii="Arial" w:cs="Arial" w:eastAsia="Arial" w:hAnsi="Arial"/>
          <w:sz w:val="20"/>
          <w:szCs w:val="20"/>
          <w:u w:val="single" w:color="auto"/>
          <w:color w:val="005EB8"/>
        </w:rPr>
        <w:t>carrie.ratner@hasbro.com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5EB8"/>
        </w:rPr>
        <w:t>HAS-IR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5EB8"/>
        </w:rPr>
        <w:t>HAS-C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sectPr>
      <w:pgSz w:w="11900" w:h="16838" w:orient="portrait"/>
      <w:cols w:equalWidth="0" w:num="1">
        <w:col w:w="11240"/>
      </w:cols>
      <w:pgMar w:left="320" w:top="10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2022-01-10T07:03:44Z</dcterms:created>
  <dcterms:modified xsi:type="dcterms:W3CDTF">2022-01-10T07:03:44Z</dcterms:modified>
</cp:coreProperties>
</file>