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147955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176530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383"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ind w:left="490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150495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3"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SCHEDULE 14A</w:t>
      </w:r>
    </w:p>
    <w:p>
      <w:pPr>
        <w:spacing w:after="0" w:line="15"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(Rule 14a-101)</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INFORMATION REQUIRED IN PROXY STATEMENT</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SCHEDULE 14A INFORMATION</w:t>
      </w:r>
    </w:p>
    <w:p>
      <w:pPr>
        <w:spacing w:after="0" w:line="129"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Proxy Statement Pursuant to Section 14(a) of the</w:t>
      </w:r>
    </w:p>
    <w:p>
      <w:pPr>
        <w:spacing w:after="0" w:line="17"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150495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9" w:lineRule="exact"/>
        <w:rPr>
          <w:sz w:val="24"/>
          <w:szCs w:val="24"/>
          <w:color w:val="auto"/>
        </w:rPr>
      </w:pPr>
    </w:p>
    <w:p>
      <w:pPr>
        <w:ind w:left="1980"/>
        <w:spacing w:after="0" w:line="138" w:lineRule="exact"/>
        <w:rPr>
          <w:sz w:val="20"/>
          <w:szCs w:val="20"/>
          <w:color w:val="auto"/>
        </w:rPr>
      </w:pPr>
      <w:r>
        <w:rPr>
          <w:rFonts w:ascii="Arial" w:cs="Arial" w:eastAsia="Arial" w:hAnsi="Arial"/>
          <w:sz w:val="12"/>
          <w:szCs w:val="12"/>
          <w:color w:val="auto"/>
        </w:rPr>
        <w:t xml:space="preserve">Filed by the Registrant </w:t>
      </w:r>
      <w:r>
        <w:rPr>
          <w:rFonts w:ascii="MS PGothic" w:cs="MS PGothic" w:eastAsia="MS PGothic" w:hAnsi="MS PGothic"/>
          <w:sz w:val="12"/>
          <w:szCs w:val="12"/>
          <w:color w:val="auto"/>
        </w:rPr>
        <w:t>☒</w:t>
      </w:r>
    </w:p>
    <w:p>
      <w:pPr>
        <w:spacing w:after="0" w:line="150" w:lineRule="exact"/>
        <w:rPr>
          <w:sz w:val="24"/>
          <w:szCs w:val="24"/>
          <w:color w:val="auto"/>
        </w:rPr>
      </w:pPr>
    </w:p>
    <w:p>
      <w:pPr>
        <w:ind w:left="1980"/>
        <w:spacing w:after="0" w:line="138" w:lineRule="exact"/>
        <w:rPr>
          <w:sz w:val="20"/>
          <w:szCs w:val="20"/>
          <w:color w:val="auto"/>
        </w:rPr>
      </w:pPr>
      <w:r>
        <w:rPr>
          <w:rFonts w:ascii="Arial" w:cs="Arial" w:eastAsia="Arial" w:hAnsi="Arial"/>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316" w:lineRule="exact"/>
        <w:rPr>
          <w:sz w:val="24"/>
          <w:szCs w:val="24"/>
          <w:color w:val="auto"/>
        </w:rPr>
      </w:pPr>
    </w:p>
    <w:p>
      <w:pPr>
        <w:ind w:left="1980"/>
        <w:spacing w:after="0"/>
        <w:rPr>
          <w:sz w:val="20"/>
          <w:szCs w:val="20"/>
          <w:color w:val="auto"/>
        </w:rPr>
      </w:pPr>
      <w:r>
        <w:rPr>
          <w:rFonts w:ascii="Arial" w:cs="Arial" w:eastAsia="Arial" w:hAnsi="Arial"/>
          <w:sz w:val="12"/>
          <w:szCs w:val="12"/>
          <w:color w:val="auto"/>
        </w:rPr>
        <w:t>Check the appropriate box:</w:t>
      </w:r>
    </w:p>
    <w:p>
      <w:pPr>
        <w:spacing w:after="0" w:line="168" w:lineRule="exact"/>
        <w:rPr>
          <w:sz w:val="24"/>
          <w:szCs w:val="24"/>
          <w:color w:val="auto"/>
        </w:rPr>
      </w:pPr>
    </w:p>
    <w:p>
      <w:pPr>
        <w:ind w:left="2260" w:hanging="288"/>
        <w:spacing w:after="0"/>
        <w:tabs>
          <w:tab w:leader="none" w:pos="22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Preliminary Proxy Statement</w:t>
      </w:r>
    </w:p>
    <w:p>
      <w:pPr>
        <w:spacing w:after="0" w:line="164" w:lineRule="exact"/>
        <w:rPr>
          <w:rFonts w:ascii="MS PGothic" w:cs="MS PGothic" w:eastAsia="MS PGothic" w:hAnsi="MS PGothic"/>
          <w:sz w:val="12"/>
          <w:szCs w:val="12"/>
          <w:color w:val="auto"/>
        </w:rPr>
      </w:pPr>
    </w:p>
    <w:p>
      <w:pPr>
        <w:ind w:left="2260" w:hanging="288"/>
        <w:spacing w:after="0"/>
        <w:tabs>
          <w:tab w:leader="none" w:pos="226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Confidential, for Use of the Commission Only (as permitted by Rule 14a-6(e)(2))</w:t>
      </w:r>
    </w:p>
    <w:p>
      <w:pPr>
        <w:spacing w:after="0" w:line="172" w:lineRule="exact"/>
        <w:rPr>
          <w:sz w:val="24"/>
          <w:szCs w:val="24"/>
          <w:color w:val="auto"/>
        </w:rPr>
      </w:pPr>
    </w:p>
    <w:p>
      <w:pPr>
        <w:ind w:left="2260" w:hanging="288"/>
        <w:spacing w:after="0"/>
        <w:tabs>
          <w:tab w:leader="none" w:pos="226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Definitive Proxy Statement</w:t>
      </w:r>
    </w:p>
    <w:p>
      <w:pPr>
        <w:spacing w:after="0" w:line="168" w:lineRule="exact"/>
        <w:rPr>
          <w:sz w:val="24"/>
          <w:szCs w:val="24"/>
          <w:color w:val="auto"/>
        </w:rPr>
      </w:pPr>
    </w:p>
    <w:p>
      <w:pPr>
        <w:ind w:left="2260" w:hanging="288"/>
        <w:spacing w:after="0"/>
        <w:tabs>
          <w:tab w:leader="none" w:pos="226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Definitive Additional Materials</w:t>
      </w:r>
    </w:p>
    <w:p>
      <w:pPr>
        <w:spacing w:after="0" w:line="168" w:lineRule="exact"/>
        <w:rPr>
          <w:rFonts w:ascii="MS PGothic" w:cs="MS PGothic" w:eastAsia="MS PGothic" w:hAnsi="MS PGothic"/>
          <w:sz w:val="12"/>
          <w:szCs w:val="12"/>
          <w:color w:val="auto"/>
        </w:rPr>
      </w:pPr>
    </w:p>
    <w:p>
      <w:pPr>
        <w:ind w:left="2260" w:hanging="288"/>
        <w:spacing w:after="0"/>
        <w:tabs>
          <w:tab w:leader="none" w:pos="226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§240.14a-12</w:t>
      </w:r>
    </w:p>
    <w:p>
      <w:pPr>
        <w:spacing w:after="0" w:line="13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HASBRO, INC.</w:t>
      </w:r>
    </w:p>
    <w:p>
      <w:pPr>
        <w:spacing w:after="0" w:line="15"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34" w:lineRule="exact"/>
        <w:rPr>
          <w:sz w:val="24"/>
          <w:szCs w:val="24"/>
          <w:color w:val="auto"/>
        </w:rPr>
      </w:pPr>
    </w:p>
    <w:p>
      <w:pPr>
        <w:jc w:val="center"/>
        <w:ind w:right="-1120"/>
        <w:spacing w:after="0"/>
        <w:rPr>
          <w:sz w:val="20"/>
          <w:szCs w:val="20"/>
          <w:color w:val="auto"/>
        </w:rPr>
      </w:pPr>
      <w:r>
        <w:rPr>
          <w:rFonts w:ascii="Arial" w:cs="Arial" w:eastAsia="Arial" w:hAnsi="Arial"/>
          <w:sz w:val="12"/>
          <w:szCs w:val="12"/>
          <w:b w:val="1"/>
          <w:bCs w:val="1"/>
          <w:color w:val="auto"/>
        </w:rPr>
        <w:t>Not applicable.</w:t>
      </w:r>
    </w:p>
    <w:p>
      <w:pPr>
        <w:spacing w:after="0" w:line="19" w:lineRule="exact"/>
        <w:rPr>
          <w:sz w:val="24"/>
          <w:szCs w:val="24"/>
          <w:color w:val="auto"/>
        </w:rPr>
      </w:pPr>
    </w:p>
    <w:p>
      <w:pPr>
        <w:jc w:val="center"/>
        <w:ind w:right="-1120"/>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141" w:lineRule="exact"/>
        <w:rPr>
          <w:sz w:val="24"/>
          <w:szCs w:val="24"/>
          <w:color w:val="auto"/>
        </w:rPr>
      </w:pPr>
    </w:p>
    <w:p>
      <w:pPr>
        <w:ind w:left="1980"/>
        <w:spacing w:after="0"/>
        <w:rPr>
          <w:sz w:val="20"/>
          <w:szCs w:val="20"/>
          <w:color w:val="auto"/>
        </w:rPr>
      </w:pPr>
      <w:r>
        <w:rPr>
          <w:rFonts w:ascii="Arial" w:cs="Arial" w:eastAsia="Arial" w:hAnsi="Arial"/>
          <w:sz w:val="12"/>
          <w:szCs w:val="12"/>
          <w:color w:val="auto"/>
        </w:rPr>
        <w:t>Payment of Filing Fee (Check all boxes that apply):</w:t>
      </w:r>
    </w:p>
    <w:p>
      <w:pPr>
        <w:spacing w:after="0" w:line="168" w:lineRule="exact"/>
        <w:rPr>
          <w:sz w:val="24"/>
          <w:szCs w:val="24"/>
          <w:color w:val="auto"/>
        </w:rPr>
      </w:pPr>
    </w:p>
    <w:p>
      <w:pPr>
        <w:ind w:left="2260" w:hanging="288"/>
        <w:spacing w:after="0"/>
        <w:tabs>
          <w:tab w:leader="none" w:pos="2260"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168" w:lineRule="exact"/>
        <w:rPr>
          <w:sz w:val="24"/>
          <w:szCs w:val="24"/>
          <w:color w:val="auto"/>
        </w:rPr>
      </w:pPr>
    </w:p>
    <w:p>
      <w:pPr>
        <w:ind w:left="2260" w:hanging="288"/>
        <w:spacing w:after="0"/>
        <w:tabs>
          <w:tab w:leader="none" w:pos="226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paid previously with preliminary materials.</w:t>
      </w:r>
    </w:p>
    <w:p>
      <w:pPr>
        <w:spacing w:after="0" w:line="168" w:lineRule="exact"/>
        <w:rPr>
          <w:rFonts w:ascii="MS PGothic" w:cs="MS PGothic" w:eastAsia="MS PGothic" w:hAnsi="MS PGothic"/>
          <w:sz w:val="12"/>
          <w:szCs w:val="12"/>
          <w:color w:val="auto"/>
        </w:rPr>
      </w:pPr>
    </w:p>
    <w:p>
      <w:pPr>
        <w:ind w:left="2260" w:hanging="288"/>
        <w:spacing w:after="0"/>
        <w:tabs>
          <w:tab w:leader="none" w:pos="226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118110</wp:posOffset>
            </wp:positionV>
            <wp:extent cx="46634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146685</wp:posOffset>
            </wp:positionV>
            <wp:extent cx="46634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10159"/>
          </w:cols>
          <w:pgMar w:left="300" w:top="201" w:right="1440" w:bottom="1440" w:gutter="0" w:footer="0" w:header="0"/>
        </w:sectPr>
      </w:pPr>
    </w:p>
    <w:bookmarkStart w:id="1" w:name="page2"/>
    <w:bookmarkEnd w:id="1"/>
    <w:p>
      <w:pPr>
        <w:spacing w:after="0"/>
        <w:rPr>
          <w:sz w:val="20"/>
          <w:szCs w:val="20"/>
          <w:color w:val="auto"/>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5172075" cy="67208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72075" cy="6720840"/>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136525</wp:posOffset>
            </wp:positionV>
            <wp:extent cx="4663440" cy="268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4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Letter to Our Shareholders</w:t>
      </w:r>
    </w:p>
    <w:p>
      <w:pPr>
        <w:spacing w:after="0" w:line="315" w:lineRule="exact"/>
        <w:rPr>
          <w:sz w:val="20"/>
          <w:szCs w:val="20"/>
          <w:color w:val="auto"/>
        </w:rPr>
      </w:pPr>
    </w:p>
    <w:p>
      <w:pPr>
        <w:jc w:val="right"/>
        <w:ind w:right="839"/>
        <w:spacing w:after="0"/>
        <w:rPr>
          <w:sz w:val="20"/>
          <w:szCs w:val="20"/>
          <w:color w:val="auto"/>
        </w:rPr>
      </w:pPr>
      <w:r>
        <w:rPr>
          <w:rFonts w:ascii="Arial" w:cs="Arial" w:eastAsia="Arial" w:hAnsi="Arial"/>
          <w:sz w:val="11"/>
          <w:szCs w:val="11"/>
          <w:b w:val="1"/>
          <w:bCs w:val="1"/>
          <w:color w:val="auto"/>
        </w:rPr>
        <w:t>April 3, 2023</w:t>
      </w:r>
    </w:p>
    <w:p>
      <w:pPr>
        <w:spacing w:after="0" w:line="144"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Dear Hasbro Shareholders,</w:t>
      </w:r>
    </w:p>
    <w:p>
      <w:pPr>
        <w:spacing w:after="0" w:line="39" w:lineRule="exact"/>
        <w:rPr>
          <w:sz w:val="20"/>
          <w:szCs w:val="20"/>
          <w:color w:val="auto"/>
        </w:rPr>
      </w:pPr>
    </w:p>
    <w:p>
      <w:pPr>
        <w:jc w:val="both"/>
        <w:ind w:left="1980" w:right="899"/>
        <w:spacing w:after="0" w:line="242" w:lineRule="auto"/>
        <w:rPr>
          <w:sz w:val="20"/>
          <w:szCs w:val="20"/>
          <w:color w:val="auto"/>
        </w:rPr>
      </w:pPr>
      <w:r>
        <w:rPr>
          <w:rFonts w:ascii="Arial" w:cs="Arial" w:eastAsia="Arial" w:hAnsi="Arial"/>
          <w:sz w:val="11"/>
          <w:szCs w:val="11"/>
          <w:color w:val="auto"/>
        </w:rPr>
        <w:t>2022 has been a year of transformation for Hasbro. As a Board, we’ve worked closely with the management team during this important period of change. We’ve also spoken with our shareholders and taken a number of significant actions based on the feedback we heard. We greatly appreciate your support and belief in Hasbro as we position the organization for long-term growth behind a new management team and refreshed strategy.</w:t>
      </w:r>
    </w:p>
    <w:p>
      <w:pPr>
        <w:spacing w:after="0" w:line="9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Over the last year, we’ve overseen significant steps:</w:t>
      </w:r>
    </w:p>
    <w:p>
      <w:pPr>
        <w:spacing w:after="0" w:line="89" w:lineRule="exact"/>
        <w:rPr>
          <w:sz w:val="20"/>
          <w:szCs w:val="20"/>
          <w:color w:val="auto"/>
        </w:rPr>
      </w:pPr>
    </w:p>
    <w:p>
      <w:pPr>
        <w:ind w:left="2180" w:right="899" w:hanging="208"/>
        <w:spacing w:after="0" w:line="245" w:lineRule="auto"/>
        <w:tabs>
          <w:tab w:leader="none" w:pos="2180" w:val="left"/>
        </w:tabs>
        <w:numPr>
          <w:ilvl w:val="0"/>
          <w:numId w:val="6"/>
        </w:numPr>
        <w:rPr>
          <w:rFonts w:ascii="Arial" w:cs="Arial" w:eastAsia="Arial" w:hAnsi="Arial"/>
          <w:sz w:val="11"/>
          <w:szCs w:val="11"/>
          <w:color w:val="auto"/>
        </w:rPr>
      </w:pPr>
      <w:r>
        <w:rPr>
          <w:rFonts w:ascii="Arial" w:cs="Arial" w:eastAsia="Arial" w:hAnsi="Arial"/>
          <w:sz w:val="11"/>
          <w:szCs w:val="11"/>
          <w:i w:val="1"/>
          <w:iCs w:val="1"/>
          <w:color w:val="auto"/>
        </w:rPr>
        <w:t>Strategic Review</w:t>
      </w:r>
      <w:r>
        <w:rPr>
          <w:rFonts w:ascii="Arial" w:cs="Arial" w:eastAsia="Arial" w:hAnsi="Arial"/>
          <w:sz w:val="11"/>
          <w:szCs w:val="11"/>
          <w:color w:val="auto"/>
        </w:rPr>
        <w:t>: In February 2022, Chris Cocks took over as Hasbro CEO. He and the executive team undertook a thorough strategic review of the</w:t>
      </w:r>
      <w:r>
        <w:rPr>
          <w:rFonts w:ascii="Arial" w:cs="Arial" w:eastAsia="Arial" w:hAnsi="Arial"/>
          <w:sz w:val="11"/>
          <w:szCs w:val="11"/>
          <w:i w:val="1"/>
          <w:iCs w:val="1"/>
          <w:color w:val="auto"/>
        </w:rPr>
        <w:t xml:space="preserve"> </w:t>
      </w:r>
      <w:r>
        <w:rPr>
          <w:rFonts w:ascii="Arial" w:cs="Arial" w:eastAsia="Arial" w:hAnsi="Arial"/>
          <w:sz w:val="11"/>
          <w:szCs w:val="11"/>
          <w:color w:val="auto"/>
        </w:rPr>
        <w:t>company. In October, the leadership team unveiled its strategy for driving accelerated revenue and profit growth – Blueprint 2.0. This strategy builds on the strong foundation in place but focuses Hasbro’s resources on fewer initiatives and brands which we believe can deliver significant top and bottom-line growth, including strict profit margin targets, and where Hasbro is or can be a category leader. At the same time, we are investing in key growth areas including Gaming, Direct-to-Consumer and Data Insights.</w:t>
      </w:r>
    </w:p>
    <w:p>
      <w:pPr>
        <w:spacing w:after="0" w:line="93" w:lineRule="exact"/>
        <w:rPr>
          <w:rFonts w:ascii="Arial" w:cs="Arial" w:eastAsia="Arial" w:hAnsi="Arial"/>
          <w:sz w:val="11"/>
          <w:szCs w:val="11"/>
          <w:color w:val="auto"/>
        </w:rPr>
      </w:pPr>
    </w:p>
    <w:p>
      <w:pPr>
        <w:ind w:left="2540" w:right="959" w:hanging="208"/>
        <w:spacing w:after="0" w:line="245" w:lineRule="auto"/>
        <w:tabs>
          <w:tab w:leader="none" w:pos="2540" w:val="left"/>
        </w:tabs>
        <w:numPr>
          <w:ilvl w:val="1"/>
          <w:numId w:val="6"/>
        </w:numPr>
        <w:rPr>
          <w:rFonts w:ascii="Arial" w:cs="Arial" w:eastAsia="Arial" w:hAnsi="Arial"/>
          <w:sz w:val="8"/>
          <w:szCs w:val="8"/>
          <w:color w:val="auto"/>
        </w:rPr>
      </w:pPr>
      <w:r>
        <w:rPr>
          <w:rFonts w:ascii="Arial" w:cs="Arial" w:eastAsia="Arial" w:hAnsi="Arial"/>
          <w:sz w:val="11"/>
          <w:szCs w:val="11"/>
          <w:color w:val="auto"/>
        </w:rPr>
        <w:t>As part of this review, Chris and his team established an Operational Excellence program to cut costs and increase efficiencies with a target to deliver $250-$300M of savings by year-end 2025.</w:t>
      </w:r>
    </w:p>
    <w:p>
      <w:pPr>
        <w:spacing w:after="0" w:line="92" w:lineRule="exact"/>
        <w:rPr>
          <w:rFonts w:ascii="Arial" w:cs="Arial" w:eastAsia="Arial" w:hAnsi="Arial"/>
          <w:sz w:val="8"/>
          <w:szCs w:val="8"/>
          <w:color w:val="auto"/>
        </w:rPr>
      </w:pPr>
    </w:p>
    <w:p>
      <w:pPr>
        <w:ind w:left="2540" w:right="859" w:hanging="208"/>
        <w:spacing w:after="0" w:line="293" w:lineRule="auto"/>
        <w:tabs>
          <w:tab w:leader="none" w:pos="2540" w:val="left"/>
        </w:tabs>
        <w:numPr>
          <w:ilvl w:val="1"/>
          <w:numId w:val="6"/>
        </w:numPr>
        <w:rPr>
          <w:rFonts w:ascii="Arial" w:cs="Arial" w:eastAsia="Arial" w:hAnsi="Arial"/>
          <w:sz w:val="7"/>
          <w:szCs w:val="7"/>
          <w:color w:val="auto"/>
        </w:rPr>
      </w:pPr>
      <w:r>
        <w:rPr>
          <w:rFonts w:ascii="Arial" w:cs="Arial" w:eastAsia="Arial" w:hAnsi="Arial"/>
          <w:sz w:val="10"/>
          <w:szCs w:val="10"/>
          <w:color w:val="auto"/>
        </w:rPr>
        <w:t>We reaffirmed the importance of storytelling in brand building but are prioritizing assets and investments most closely tied to the Blueprint 2.0. As a result, we have commenced a sale process for entertainment assets not focused on Hasbro IP. As of this letter, this process is ongoing.</w:t>
      </w:r>
    </w:p>
    <w:p>
      <w:pPr>
        <w:spacing w:after="0" w:line="60" w:lineRule="exact"/>
        <w:rPr>
          <w:rFonts w:ascii="Arial" w:cs="Arial" w:eastAsia="Arial" w:hAnsi="Arial"/>
          <w:sz w:val="7"/>
          <w:szCs w:val="7"/>
          <w:color w:val="auto"/>
        </w:rPr>
      </w:pPr>
    </w:p>
    <w:p>
      <w:pPr>
        <w:ind w:left="2180" w:hanging="208"/>
        <w:spacing w:after="0"/>
        <w:tabs>
          <w:tab w:leader="none" w:pos="2180" w:val="left"/>
        </w:tabs>
        <w:numPr>
          <w:ilvl w:val="0"/>
          <w:numId w:val="6"/>
        </w:numPr>
        <w:rPr>
          <w:rFonts w:ascii="Arial" w:cs="Arial" w:eastAsia="Arial" w:hAnsi="Arial"/>
          <w:sz w:val="11"/>
          <w:szCs w:val="11"/>
          <w:color w:val="auto"/>
        </w:rPr>
      </w:pPr>
      <w:r>
        <w:rPr>
          <w:rFonts w:ascii="Arial" w:cs="Arial" w:eastAsia="Arial" w:hAnsi="Arial"/>
          <w:sz w:val="11"/>
          <w:szCs w:val="11"/>
          <w:i w:val="1"/>
          <w:iCs w:val="1"/>
          <w:color w:val="auto"/>
        </w:rPr>
        <w:t>Board Refreshment &amp; Governance Actions</w:t>
      </w:r>
      <w:r>
        <w:rPr>
          <w:rFonts w:ascii="Arial" w:cs="Arial" w:eastAsia="Arial" w:hAnsi="Arial"/>
          <w:sz w:val="11"/>
          <w:szCs w:val="11"/>
          <w:color w:val="auto"/>
        </w:rPr>
        <w:t>: Last year, we continued the ongoing refreshment of our Board with the addition of two highly qualified</w:t>
      </w:r>
    </w:p>
    <w:p>
      <w:pPr>
        <w:spacing w:after="0" w:line="9" w:lineRule="exact"/>
        <w:rPr>
          <w:rFonts w:ascii="Arial" w:cs="Arial" w:eastAsia="Arial" w:hAnsi="Arial"/>
          <w:sz w:val="11"/>
          <w:szCs w:val="11"/>
          <w:color w:val="auto"/>
        </w:rPr>
      </w:pPr>
    </w:p>
    <w:p>
      <w:pPr>
        <w:ind w:left="2180" w:right="1319"/>
        <w:spacing w:after="0" w:line="245" w:lineRule="auto"/>
        <w:rPr>
          <w:rFonts w:ascii="Arial" w:cs="Arial" w:eastAsia="Arial" w:hAnsi="Arial"/>
          <w:sz w:val="11"/>
          <w:szCs w:val="11"/>
          <w:color w:val="auto"/>
        </w:rPr>
      </w:pPr>
      <w:r>
        <w:rPr>
          <w:rFonts w:ascii="Arial" w:cs="Arial" w:eastAsia="Arial" w:hAnsi="Arial"/>
          <w:sz w:val="11"/>
          <w:szCs w:val="11"/>
          <w:color w:val="auto"/>
        </w:rPr>
        <w:t>individuals who bring extensive digital gaming and capital allocation experience: Liz Hamren, CEO Ring and Blake Jorgensen, Former CFO Electronic Arts.</w:t>
      </w:r>
    </w:p>
    <w:p>
      <w:pPr>
        <w:spacing w:after="0" w:line="92" w:lineRule="exact"/>
        <w:rPr>
          <w:rFonts w:ascii="Arial" w:cs="Arial" w:eastAsia="Arial" w:hAnsi="Arial"/>
          <w:sz w:val="11"/>
          <w:szCs w:val="11"/>
          <w:color w:val="auto"/>
        </w:rPr>
      </w:pPr>
    </w:p>
    <w:p>
      <w:pPr>
        <w:ind w:left="2540" w:right="939" w:hanging="208"/>
        <w:spacing w:after="0" w:line="242" w:lineRule="auto"/>
        <w:tabs>
          <w:tab w:leader="none" w:pos="2540" w:val="left"/>
        </w:tabs>
        <w:numPr>
          <w:ilvl w:val="1"/>
          <w:numId w:val="6"/>
        </w:numPr>
        <w:rPr>
          <w:rFonts w:ascii="Arial" w:cs="Arial" w:eastAsia="Arial" w:hAnsi="Arial"/>
          <w:sz w:val="8"/>
          <w:szCs w:val="8"/>
          <w:color w:val="auto"/>
        </w:rPr>
      </w:pPr>
      <w:r>
        <w:rPr>
          <w:rFonts w:ascii="Arial" w:cs="Arial" w:eastAsia="Arial" w:hAnsi="Arial"/>
          <w:sz w:val="11"/>
          <w:szCs w:val="11"/>
          <w:color w:val="auto"/>
        </w:rPr>
        <w:t>This year, Ken Bronfin and Ted Philip are not standing for re-election to Hasbro’s Board. Both Ken and Ted have been exceptional members of the board, making tremendous contributions over their tenures. We thank them for their valuable oversight and wish them well in all their future endeavors.</w:t>
      </w:r>
    </w:p>
    <w:p>
      <w:pPr>
        <w:spacing w:after="0" w:line="94" w:lineRule="exact"/>
        <w:rPr>
          <w:rFonts w:ascii="Arial" w:cs="Arial" w:eastAsia="Arial" w:hAnsi="Arial"/>
          <w:sz w:val="8"/>
          <w:szCs w:val="8"/>
          <w:color w:val="auto"/>
        </w:rPr>
      </w:pPr>
    </w:p>
    <w:p>
      <w:pPr>
        <w:ind w:left="2540" w:right="899" w:hanging="208"/>
        <w:spacing w:after="0" w:line="245" w:lineRule="auto"/>
        <w:tabs>
          <w:tab w:leader="none" w:pos="2540" w:val="left"/>
        </w:tabs>
        <w:numPr>
          <w:ilvl w:val="1"/>
          <w:numId w:val="6"/>
        </w:numPr>
        <w:rPr>
          <w:rFonts w:ascii="Arial" w:cs="Arial" w:eastAsia="Arial" w:hAnsi="Arial"/>
          <w:sz w:val="8"/>
          <w:szCs w:val="8"/>
          <w:color w:val="auto"/>
        </w:rPr>
      </w:pPr>
      <w:r>
        <w:rPr>
          <w:rFonts w:ascii="Arial" w:cs="Arial" w:eastAsia="Arial" w:hAnsi="Arial"/>
          <w:sz w:val="11"/>
          <w:szCs w:val="11"/>
          <w:color w:val="auto"/>
        </w:rPr>
        <w:t>Following the annual meeting, the board will consist of 11 members. We committed to return to a smaller size last year with a goal to achieve by next year’s annual meeting. We accomplished it a year earlier than expected.</w:t>
      </w:r>
    </w:p>
    <w:p>
      <w:pPr>
        <w:spacing w:after="0" w:line="92" w:lineRule="exact"/>
        <w:rPr>
          <w:rFonts w:ascii="Arial" w:cs="Arial" w:eastAsia="Arial" w:hAnsi="Arial"/>
          <w:sz w:val="8"/>
          <w:szCs w:val="8"/>
          <w:color w:val="auto"/>
        </w:rPr>
      </w:pPr>
    </w:p>
    <w:p>
      <w:pPr>
        <w:ind w:left="2540" w:hanging="208"/>
        <w:spacing w:after="0"/>
        <w:tabs>
          <w:tab w:leader="none" w:pos="2540" w:val="left"/>
        </w:tabs>
        <w:numPr>
          <w:ilvl w:val="1"/>
          <w:numId w:val="6"/>
        </w:numPr>
        <w:rPr>
          <w:rFonts w:ascii="Arial" w:cs="Arial" w:eastAsia="Arial" w:hAnsi="Arial"/>
          <w:sz w:val="8"/>
          <w:szCs w:val="8"/>
          <w:color w:val="auto"/>
        </w:rPr>
      </w:pPr>
      <w:r>
        <w:rPr>
          <w:rFonts w:ascii="Arial" w:cs="Arial" w:eastAsia="Arial" w:hAnsi="Arial"/>
          <w:sz w:val="11"/>
          <w:szCs w:val="11"/>
          <w:color w:val="auto"/>
        </w:rPr>
        <w:t>Our slate of Board nominees this year is 64% female, including two racially diverse candidates.</w:t>
      </w:r>
    </w:p>
    <w:p>
      <w:pPr>
        <w:spacing w:after="0" w:line="98" w:lineRule="exact"/>
        <w:rPr>
          <w:rFonts w:ascii="Arial" w:cs="Arial" w:eastAsia="Arial" w:hAnsi="Arial"/>
          <w:sz w:val="8"/>
          <w:szCs w:val="8"/>
          <w:color w:val="auto"/>
        </w:rPr>
      </w:pPr>
    </w:p>
    <w:p>
      <w:pPr>
        <w:ind w:left="2540" w:right="879" w:hanging="208"/>
        <w:spacing w:after="0" w:line="245" w:lineRule="auto"/>
        <w:tabs>
          <w:tab w:leader="none" w:pos="2540" w:val="left"/>
        </w:tabs>
        <w:numPr>
          <w:ilvl w:val="1"/>
          <w:numId w:val="6"/>
        </w:numPr>
        <w:rPr>
          <w:rFonts w:ascii="Arial" w:cs="Arial" w:eastAsia="Arial" w:hAnsi="Arial"/>
          <w:sz w:val="8"/>
          <w:szCs w:val="8"/>
          <w:color w:val="auto"/>
        </w:rPr>
      </w:pPr>
      <w:r>
        <w:rPr>
          <w:rFonts w:ascii="Arial" w:cs="Arial" w:eastAsia="Arial" w:hAnsi="Arial"/>
          <w:sz w:val="11"/>
          <w:szCs w:val="11"/>
          <w:color w:val="auto"/>
        </w:rPr>
        <w:t>We also clarified the remit of the Finance Committee, renaming it the Finance and Capital Allocation Committee, to reinforce its long-standing role in capital allocation oversight.</w:t>
      </w:r>
    </w:p>
    <w:p>
      <w:pPr>
        <w:spacing w:after="0" w:line="92" w:lineRule="exact"/>
        <w:rPr>
          <w:rFonts w:ascii="Arial" w:cs="Arial" w:eastAsia="Arial" w:hAnsi="Arial"/>
          <w:sz w:val="8"/>
          <w:szCs w:val="8"/>
          <w:color w:val="auto"/>
        </w:rPr>
      </w:pPr>
    </w:p>
    <w:p>
      <w:pPr>
        <w:ind w:left="2540" w:right="859" w:hanging="208"/>
        <w:spacing w:after="0" w:line="245" w:lineRule="auto"/>
        <w:tabs>
          <w:tab w:leader="none" w:pos="2540" w:val="left"/>
        </w:tabs>
        <w:numPr>
          <w:ilvl w:val="1"/>
          <w:numId w:val="6"/>
        </w:numPr>
        <w:rPr>
          <w:rFonts w:ascii="Arial" w:cs="Arial" w:eastAsia="Arial" w:hAnsi="Arial"/>
          <w:sz w:val="8"/>
          <w:szCs w:val="8"/>
          <w:color w:val="auto"/>
        </w:rPr>
      </w:pPr>
      <w:r>
        <w:rPr>
          <w:rFonts w:ascii="Arial" w:cs="Arial" w:eastAsia="Arial" w:hAnsi="Arial"/>
          <w:sz w:val="11"/>
          <w:szCs w:val="11"/>
          <w:color w:val="auto"/>
        </w:rPr>
        <w:t>Finally, we updated our compensation program, adding a metric to align to the transformation efforts, ensuring metrics aren’t repeated in short and long-term plans, and adding a TSR modifier to the long-term incentive plan.</w:t>
      </w:r>
    </w:p>
    <w:p>
      <w:pPr>
        <w:spacing w:after="0" w:line="82" w:lineRule="exact"/>
        <w:rPr>
          <w:rFonts w:ascii="Arial" w:cs="Arial" w:eastAsia="Arial" w:hAnsi="Arial"/>
          <w:sz w:val="8"/>
          <w:szCs w:val="8"/>
          <w:color w:val="auto"/>
        </w:rPr>
      </w:pPr>
    </w:p>
    <w:p>
      <w:pPr>
        <w:ind w:left="2180" w:right="999" w:hanging="208"/>
        <w:spacing w:after="0" w:line="264" w:lineRule="auto"/>
        <w:tabs>
          <w:tab w:leader="none" w:pos="2180" w:val="left"/>
        </w:tabs>
        <w:numPr>
          <w:ilvl w:val="0"/>
          <w:numId w:val="6"/>
        </w:numPr>
        <w:rPr>
          <w:rFonts w:ascii="Arial" w:cs="Arial" w:eastAsia="Arial" w:hAnsi="Arial"/>
          <w:sz w:val="11"/>
          <w:szCs w:val="11"/>
          <w:color w:val="auto"/>
        </w:rPr>
      </w:pPr>
      <w:r>
        <w:rPr>
          <w:rFonts w:ascii="Arial" w:cs="Arial" w:eastAsia="Arial" w:hAnsi="Arial"/>
          <w:sz w:val="11"/>
          <w:szCs w:val="11"/>
          <w:i w:val="1"/>
          <w:iCs w:val="1"/>
          <w:color w:val="auto"/>
        </w:rPr>
        <w:t>Enhanced Disclosures</w:t>
      </w:r>
      <w:r>
        <w:rPr>
          <w:rFonts w:ascii="Arial" w:cs="Arial" w:eastAsia="Arial" w:hAnsi="Arial"/>
          <w:sz w:val="11"/>
          <w:szCs w:val="11"/>
          <w:color w:val="auto"/>
        </w:rPr>
        <w:t>: As Hasbro evolves and grows, we have added new disclosures to help investors understand the business in the context of</w:t>
      </w:r>
      <w:r>
        <w:rPr>
          <w:rFonts w:ascii="Arial" w:cs="Arial" w:eastAsia="Arial" w:hAnsi="Arial"/>
          <w:sz w:val="11"/>
          <w:szCs w:val="11"/>
          <w:i w:val="1"/>
          <w:iCs w:val="1"/>
          <w:color w:val="auto"/>
        </w:rPr>
        <w:t xml:space="preserve"> </w:t>
      </w:r>
      <w:r>
        <w:rPr>
          <w:rFonts w:ascii="Arial" w:cs="Arial" w:eastAsia="Arial" w:hAnsi="Arial"/>
          <w:sz w:val="11"/>
          <w:szCs w:val="11"/>
          <w:color w:val="auto"/>
        </w:rPr>
        <w:t>Blueprint 2.0.</w:t>
      </w:r>
    </w:p>
    <w:p>
      <w:pPr>
        <w:spacing w:after="0" w:line="82" w:lineRule="exact"/>
        <w:rPr>
          <w:rFonts w:ascii="Arial" w:cs="Arial" w:eastAsia="Arial" w:hAnsi="Arial"/>
          <w:sz w:val="11"/>
          <w:szCs w:val="11"/>
          <w:color w:val="auto"/>
        </w:rPr>
      </w:pPr>
    </w:p>
    <w:p>
      <w:pPr>
        <w:ind w:left="2540" w:right="1039" w:hanging="208"/>
        <w:spacing w:after="0" w:line="242" w:lineRule="auto"/>
        <w:tabs>
          <w:tab w:leader="none" w:pos="2540" w:val="left"/>
        </w:tabs>
        <w:numPr>
          <w:ilvl w:val="1"/>
          <w:numId w:val="6"/>
        </w:numPr>
        <w:rPr>
          <w:rFonts w:ascii="Arial" w:cs="Arial" w:eastAsia="Arial" w:hAnsi="Arial"/>
          <w:sz w:val="8"/>
          <w:szCs w:val="8"/>
          <w:color w:val="auto"/>
        </w:rPr>
      </w:pPr>
      <w:r>
        <w:rPr>
          <w:rFonts w:ascii="Arial" w:cs="Arial" w:eastAsia="Arial" w:hAnsi="Arial"/>
          <w:sz w:val="11"/>
          <w:szCs w:val="11"/>
          <w:color w:val="auto"/>
        </w:rPr>
        <w:t>In 2022, MAGIC: THE GATHERING became Hasbro’s first $1 billion brand, growing 7% to $1.065 billion in revenue. The Company began reporting the brand’s revenue as part of its earnings release disclosures and committed to disclosing revenue for all $1 billion brands go forward.</w:t>
      </w:r>
    </w:p>
    <w:p>
      <w:pPr>
        <w:spacing w:after="0" w:line="94" w:lineRule="exact"/>
        <w:rPr>
          <w:rFonts w:ascii="Arial" w:cs="Arial" w:eastAsia="Arial" w:hAnsi="Arial"/>
          <w:sz w:val="8"/>
          <w:szCs w:val="8"/>
          <w:color w:val="auto"/>
        </w:rPr>
      </w:pPr>
    </w:p>
    <w:p>
      <w:pPr>
        <w:ind w:left="2540" w:right="999" w:hanging="208"/>
        <w:spacing w:after="0" w:line="293" w:lineRule="auto"/>
        <w:tabs>
          <w:tab w:leader="none" w:pos="2540" w:val="left"/>
        </w:tabs>
        <w:numPr>
          <w:ilvl w:val="1"/>
          <w:numId w:val="6"/>
        </w:numPr>
        <w:rPr>
          <w:rFonts w:ascii="Arial" w:cs="Arial" w:eastAsia="Arial" w:hAnsi="Arial"/>
          <w:sz w:val="7"/>
          <w:szCs w:val="7"/>
          <w:color w:val="auto"/>
        </w:rPr>
      </w:pPr>
      <w:r>
        <w:rPr>
          <w:rFonts w:ascii="Arial" w:cs="Arial" w:eastAsia="Arial" w:hAnsi="Arial"/>
          <w:sz w:val="10"/>
          <w:szCs w:val="10"/>
          <w:color w:val="auto"/>
        </w:rPr>
        <w:t>Digital gaming is a key investment area for the company. Last year, we began disclosing the breakdown of tabletop and digital gaming revenue in the Wizards and Digital Gaming segment to provide investors with additional insight into the progress of this growth opportunity.</w:t>
      </w:r>
    </w:p>
    <w:p>
      <w:pPr>
        <w:spacing w:after="0" w:line="70" w:lineRule="exact"/>
        <w:rPr>
          <w:rFonts w:ascii="Arial" w:cs="Arial" w:eastAsia="Arial" w:hAnsi="Arial"/>
          <w:sz w:val="7"/>
          <w:szCs w:val="7"/>
          <w:color w:val="auto"/>
        </w:rPr>
      </w:pPr>
    </w:p>
    <w:p>
      <w:pPr>
        <w:ind w:left="2540" w:right="859" w:hanging="208"/>
        <w:spacing w:after="0" w:line="245" w:lineRule="auto"/>
        <w:tabs>
          <w:tab w:leader="none" w:pos="2540" w:val="left"/>
        </w:tabs>
        <w:numPr>
          <w:ilvl w:val="1"/>
          <w:numId w:val="6"/>
        </w:numPr>
        <w:rPr>
          <w:rFonts w:ascii="Arial" w:cs="Arial" w:eastAsia="Arial" w:hAnsi="Arial"/>
          <w:sz w:val="8"/>
          <w:szCs w:val="8"/>
          <w:color w:val="auto"/>
        </w:rPr>
      </w:pPr>
      <w:r>
        <w:rPr>
          <w:rFonts w:ascii="Arial" w:cs="Arial" w:eastAsia="Arial" w:hAnsi="Arial"/>
          <w:sz w:val="11"/>
          <w:szCs w:val="11"/>
          <w:color w:val="auto"/>
        </w:rPr>
        <w:t>In Q1 2023, the Company will begin reporting under new Brand Portfolio categories: Franchise Brands, Partners Brands, Portfolio Brands and Other Entertainment. Franchise Brands have been updated and align to the key growth properties including all gaming brands.</w:t>
      </w:r>
    </w:p>
    <w:p>
      <w:pPr>
        <w:sectPr>
          <w:pgSz w:w="11900" w:h="16838" w:orient="portrait"/>
          <w:cols w:equalWidth="0" w:num="1">
            <w:col w:w="10159"/>
          </w:cols>
          <w:pgMar w:left="300" w:top="372" w:right="1440" w:bottom="144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999"/>
        <w:spacing w:after="0" w:line="241" w:lineRule="auto"/>
        <w:rPr>
          <w:sz w:val="20"/>
          <w:szCs w:val="20"/>
          <w:color w:val="auto"/>
        </w:rPr>
      </w:pPr>
      <w:r>
        <w:rPr>
          <w:rFonts w:ascii="Arial" w:cs="Arial" w:eastAsia="Arial" w:hAnsi="Arial"/>
          <w:sz w:val="11"/>
          <w:szCs w:val="11"/>
          <w:color w:val="auto"/>
        </w:rPr>
        <w:t>As Hasbro, its management team and the talented team of individuals representing its brands around the world undertake this strategic transformation, we take great pride in the values and ethics that guide the organization. Congratulations to the team for being recognized by Ethisphere as one of the 2023 World’s Most Ethical Companies. Hasbro has been honored for the last 12 years and is one of only five honorees in the Consumer Products industry.</w:t>
      </w:r>
    </w:p>
    <w:p>
      <w:pPr>
        <w:spacing w:after="0" w:line="95" w:lineRule="exact"/>
        <w:rPr>
          <w:sz w:val="20"/>
          <w:szCs w:val="20"/>
          <w:color w:val="auto"/>
        </w:rPr>
      </w:pPr>
    </w:p>
    <w:p>
      <w:pPr>
        <w:jc w:val="both"/>
        <w:ind w:left="1980" w:right="999"/>
        <w:spacing w:after="0" w:line="242" w:lineRule="auto"/>
        <w:rPr>
          <w:sz w:val="20"/>
          <w:szCs w:val="20"/>
          <w:color w:val="auto"/>
        </w:rPr>
      </w:pPr>
      <w:r>
        <w:rPr>
          <w:rFonts w:ascii="Arial" w:cs="Arial" w:eastAsia="Arial" w:hAnsi="Arial"/>
          <w:sz w:val="11"/>
          <w:szCs w:val="11"/>
          <w:color w:val="auto"/>
        </w:rPr>
        <w:t>We appreciate your ongoing support of Hasbro and look forward to continuing to work closely with shareholders to further unlock the value in this great Company. While our share price hasn’t performed to our standards, we’ve continued to support our category-leading dividend and are working closely with the management team with a focus on executing the Blueprint 2.0 strategy to drive long-term shareholder value.</w:t>
      </w:r>
    </w:p>
    <w:p>
      <w:pPr>
        <w:spacing w:after="0" w:line="9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101600</wp:posOffset>
            </wp:positionV>
            <wp:extent cx="1251585" cy="622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1585" cy="62293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3220"/>
        <w:spacing w:after="0"/>
        <w:rPr>
          <w:sz w:val="20"/>
          <w:szCs w:val="20"/>
          <w:color w:val="auto"/>
        </w:rPr>
      </w:pPr>
      <w:r>
        <w:rPr>
          <w:rFonts w:ascii="Arial" w:cs="Arial" w:eastAsia="Arial" w:hAnsi="Arial"/>
          <w:sz w:val="11"/>
          <w:szCs w:val="11"/>
          <w:b w:val="1"/>
          <w:bCs w:val="1"/>
          <w:color w:val="auto"/>
        </w:rPr>
        <w:t>Richard S. Stoddart</w:t>
      </w:r>
    </w:p>
    <w:p>
      <w:pPr>
        <w:spacing w:after="0" w:line="12" w:lineRule="exact"/>
        <w:rPr>
          <w:sz w:val="20"/>
          <w:szCs w:val="20"/>
          <w:color w:val="auto"/>
        </w:rPr>
      </w:pPr>
    </w:p>
    <w:p>
      <w:pPr>
        <w:ind w:left="3220"/>
        <w:spacing w:after="0"/>
        <w:rPr>
          <w:sz w:val="20"/>
          <w:szCs w:val="20"/>
          <w:color w:val="auto"/>
        </w:rPr>
      </w:pPr>
      <w:r>
        <w:rPr>
          <w:rFonts w:ascii="Arial" w:cs="Arial" w:eastAsia="Arial" w:hAnsi="Arial"/>
          <w:sz w:val="11"/>
          <w:szCs w:val="11"/>
          <w:i w:val="1"/>
          <w:iCs w:val="1"/>
          <w:color w:val="auto"/>
        </w:rPr>
        <w:t>Chair of the Hasbro Board of Directors</w:t>
      </w:r>
    </w:p>
    <w:p>
      <w:pPr>
        <w:sectPr>
          <w:pgSz w:w="11900" w:h="16838" w:orient="portrait"/>
          <w:cols w:equalWidth="0" w:num="1">
            <w:col w:w="10159"/>
          </w:cols>
          <w:pgMar w:left="300" w:top="372" w:right="1440"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34"/>
          <w:szCs w:val="34"/>
          <w:color w:val="0060ED"/>
        </w:rPr>
        <w:t>Hasbro, Inc. Notice of 2023</w:t>
      </w:r>
    </w:p>
    <w:p>
      <w:pPr>
        <w:ind w:left="1980"/>
        <w:spacing w:after="0"/>
        <w:rPr>
          <w:sz w:val="20"/>
          <w:szCs w:val="20"/>
          <w:color w:val="auto"/>
        </w:rPr>
      </w:pPr>
      <w:r>
        <w:rPr>
          <w:rFonts w:ascii="Arial" w:cs="Arial" w:eastAsia="Arial" w:hAnsi="Arial"/>
          <w:sz w:val="34"/>
          <w:szCs w:val="34"/>
          <w:b w:val="1"/>
          <w:bCs w:val="1"/>
          <w:color w:val="009BDE"/>
        </w:rPr>
        <w:t>Annual Meeting of Shareholders</w:t>
      </w:r>
    </w:p>
    <w:p>
      <w:pPr>
        <w:spacing w:after="0" w:line="309" w:lineRule="exact"/>
        <w:rPr>
          <w:sz w:val="20"/>
          <w:szCs w:val="20"/>
          <w:color w:val="auto"/>
        </w:rPr>
      </w:pPr>
    </w:p>
    <w:tbl>
      <w:tblPr>
        <w:tblLayout w:type="fixed"/>
        <w:tblInd w:w="1980" w:type="dxa"/>
        <w:tblCellMar>
          <w:top w:w="0" w:type="dxa"/>
          <w:left w:w="0" w:type="dxa"/>
          <w:bottom w:w="0" w:type="dxa"/>
          <w:right w:w="0" w:type="dxa"/>
        </w:tblCellMar>
      </w:tblPr>
      <w:tr>
        <w:trPr>
          <w:trHeight w:val="173"/>
        </w:trPr>
        <w:tc>
          <w:tcPr>
            <w:tcW w:w="1140" w:type="dxa"/>
            <w:vAlign w:val="bottom"/>
          </w:tcPr>
          <w:p>
            <w:pPr>
              <w:spacing w:after="0"/>
              <w:rPr>
                <w:sz w:val="20"/>
                <w:szCs w:val="20"/>
                <w:color w:val="auto"/>
              </w:rPr>
            </w:pPr>
            <w:r>
              <w:rPr>
                <w:rFonts w:ascii="Arial" w:cs="Arial" w:eastAsia="Arial" w:hAnsi="Arial"/>
                <w:sz w:val="13"/>
                <w:szCs w:val="13"/>
                <w:b w:val="1"/>
                <w:bCs w:val="1"/>
                <w:color w:val="009BDE"/>
              </w:rPr>
              <w:t>Date:</w:t>
            </w:r>
          </w:p>
        </w:tc>
        <w:tc>
          <w:tcPr>
            <w:tcW w:w="6080" w:type="dxa"/>
            <w:vAlign w:val="bottom"/>
          </w:tcPr>
          <w:p>
            <w:pPr>
              <w:ind w:left="320"/>
              <w:spacing w:after="0"/>
              <w:rPr>
                <w:sz w:val="20"/>
                <w:szCs w:val="20"/>
                <w:color w:val="auto"/>
              </w:rPr>
            </w:pPr>
            <w:r>
              <w:rPr>
                <w:rFonts w:ascii="Arial" w:cs="Arial" w:eastAsia="Arial" w:hAnsi="Arial"/>
                <w:sz w:val="11"/>
                <w:szCs w:val="11"/>
                <w:color w:val="auto"/>
              </w:rPr>
              <w:t>Thursday, May 18, 2023</w:t>
            </w:r>
          </w:p>
        </w:tc>
      </w:tr>
      <w:tr>
        <w:trPr>
          <w:trHeight w:val="234"/>
        </w:trPr>
        <w:tc>
          <w:tcPr>
            <w:tcW w:w="1140" w:type="dxa"/>
            <w:vAlign w:val="bottom"/>
          </w:tcPr>
          <w:p>
            <w:pPr>
              <w:spacing w:after="0"/>
              <w:rPr>
                <w:sz w:val="20"/>
                <w:szCs w:val="20"/>
                <w:color w:val="auto"/>
              </w:rPr>
            </w:pPr>
            <w:r>
              <w:rPr>
                <w:rFonts w:ascii="Arial" w:cs="Arial" w:eastAsia="Arial" w:hAnsi="Arial"/>
                <w:sz w:val="13"/>
                <w:szCs w:val="13"/>
                <w:b w:val="1"/>
                <w:bCs w:val="1"/>
                <w:color w:val="009BDE"/>
              </w:rPr>
              <w:t>Time:</w:t>
            </w:r>
          </w:p>
        </w:tc>
        <w:tc>
          <w:tcPr>
            <w:tcW w:w="6080" w:type="dxa"/>
            <w:vAlign w:val="bottom"/>
          </w:tcPr>
          <w:p>
            <w:pPr>
              <w:ind w:left="320"/>
              <w:spacing w:after="0"/>
              <w:rPr>
                <w:sz w:val="20"/>
                <w:szCs w:val="20"/>
                <w:color w:val="auto"/>
              </w:rPr>
            </w:pPr>
            <w:r>
              <w:rPr>
                <w:rFonts w:ascii="Arial" w:cs="Arial" w:eastAsia="Arial" w:hAnsi="Arial"/>
                <w:sz w:val="11"/>
                <w:szCs w:val="11"/>
                <w:color w:val="auto"/>
              </w:rPr>
              <w:t>10:00 a.m. Eastern Time</w:t>
            </w:r>
          </w:p>
        </w:tc>
      </w:tr>
      <w:tr>
        <w:trPr>
          <w:trHeight w:val="206"/>
        </w:trPr>
        <w:tc>
          <w:tcPr>
            <w:tcW w:w="1140" w:type="dxa"/>
            <w:vAlign w:val="bottom"/>
          </w:tcPr>
          <w:p>
            <w:pPr>
              <w:spacing w:after="0"/>
              <w:rPr>
                <w:sz w:val="20"/>
                <w:szCs w:val="20"/>
                <w:color w:val="auto"/>
              </w:rPr>
            </w:pPr>
            <w:r>
              <w:rPr>
                <w:rFonts w:ascii="Arial" w:cs="Arial" w:eastAsia="Arial" w:hAnsi="Arial"/>
                <w:sz w:val="13"/>
                <w:szCs w:val="13"/>
                <w:b w:val="1"/>
                <w:bCs w:val="1"/>
                <w:color w:val="009BDE"/>
              </w:rPr>
              <w:t>Where:</w:t>
            </w:r>
          </w:p>
        </w:tc>
        <w:tc>
          <w:tcPr>
            <w:tcW w:w="6080" w:type="dxa"/>
            <w:vAlign w:val="bottom"/>
          </w:tcPr>
          <w:p>
            <w:pPr>
              <w:ind w:left="320"/>
              <w:spacing w:after="0"/>
              <w:rPr>
                <w:sz w:val="20"/>
                <w:szCs w:val="20"/>
                <w:color w:val="auto"/>
              </w:rPr>
            </w:pPr>
            <w:r>
              <w:rPr>
                <w:rFonts w:ascii="Arial" w:cs="Arial" w:eastAsia="Arial" w:hAnsi="Arial"/>
                <w:sz w:val="11"/>
                <w:szCs w:val="11"/>
                <w:color w:val="auto"/>
                <w:w w:val="99"/>
              </w:rPr>
              <w:t>The Hasbro, Inc. 2023 Annual Meeting of Shareholders (the “Annual Meeting”) will be held in a virtual format only. Our</w:t>
            </w:r>
          </w:p>
        </w:tc>
      </w:tr>
      <w:tr>
        <w:trPr>
          <w:trHeight w:val="126"/>
        </w:trPr>
        <w:tc>
          <w:tcPr>
            <w:tcW w:w="1140" w:type="dxa"/>
            <w:vAlign w:val="bottom"/>
          </w:tcPr>
          <w:p>
            <w:pPr>
              <w:spacing w:after="0"/>
              <w:rPr>
                <w:sz w:val="10"/>
                <w:szCs w:val="10"/>
                <w:color w:val="auto"/>
              </w:rPr>
            </w:pPr>
          </w:p>
        </w:tc>
        <w:tc>
          <w:tcPr>
            <w:tcW w:w="6080" w:type="dxa"/>
            <w:vAlign w:val="bottom"/>
          </w:tcPr>
          <w:p>
            <w:pPr>
              <w:ind w:left="320"/>
              <w:spacing w:after="0"/>
              <w:rPr>
                <w:sz w:val="20"/>
                <w:szCs w:val="20"/>
                <w:color w:val="auto"/>
              </w:rPr>
            </w:pPr>
            <w:r>
              <w:rPr>
                <w:rFonts w:ascii="Arial" w:cs="Arial" w:eastAsia="Arial" w:hAnsi="Arial"/>
                <w:sz w:val="11"/>
                <w:szCs w:val="11"/>
                <w:color w:val="auto"/>
                <w:w w:val="97"/>
              </w:rPr>
              <w:t>virtual meeting will be structured in a manner intended to provide our shareholders with a participation experience similar</w:t>
            </w:r>
          </w:p>
        </w:tc>
      </w:tr>
      <w:tr>
        <w:trPr>
          <w:trHeight w:val="130"/>
        </w:trPr>
        <w:tc>
          <w:tcPr>
            <w:tcW w:w="1140" w:type="dxa"/>
            <w:vAlign w:val="bottom"/>
          </w:tcPr>
          <w:p>
            <w:pPr>
              <w:spacing w:after="0"/>
              <w:rPr>
                <w:sz w:val="11"/>
                <w:szCs w:val="11"/>
                <w:color w:val="auto"/>
              </w:rPr>
            </w:pPr>
          </w:p>
        </w:tc>
        <w:tc>
          <w:tcPr>
            <w:tcW w:w="6080" w:type="dxa"/>
            <w:vAlign w:val="bottom"/>
          </w:tcPr>
          <w:p>
            <w:pPr>
              <w:ind w:left="320"/>
              <w:spacing w:after="0"/>
              <w:rPr>
                <w:sz w:val="20"/>
                <w:szCs w:val="20"/>
                <w:color w:val="auto"/>
              </w:rPr>
            </w:pPr>
            <w:r>
              <w:rPr>
                <w:rFonts w:ascii="Arial" w:cs="Arial" w:eastAsia="Arial" w:hAnsi="Arial"/>
                <w:sz w:val="11"/>
                <w:szCs w:val="11"/>
                <w:color w:val="auto"/>
              </w:rPr>
              <w:t>to an in-person meeting.</w:t>
            </w:r>
          </w:p>
        </w:tc>
      </w:tr>
      <w:tr>
        <w:trPr>
          <w:trHeight w:val="203"/>
        </w:trPr>
        <w:tc>
          <w:tcPr>
            <w:tcW w:w="1140" w:type="dxa"/>
            <w:vAlign w:val="bottom"/>
          </w:tcPr>
          <w:p>
            <w:pPr>
              <w:spacing w:after="0"/>
              <w:rPr>
                <w:sz w:val="17"/>
                <w:szCs w:val="17"/>
                <w:color w:val="auto"/>
              </w:rPr>
            </w:pPr>
          </w:p>
        </w:tc>
        <w:tc>
          <w:tcPr>
            <w:tcW w:w="6080" w:type="dxa"/>
            <w:vAlign w:val="bottom"/>
          </w:tcPr>
          <w:p>
            <w:pPr>
              <w:ind w:left="320"/>
              <w:spacing w:after="0"/>
              <w:rPr>
                <w:sz w:val="20"/>
                <w:szCs w:val="20"/>
                <w:color w:val="auto"/>
              </w:rPr>
            </w:pPr>
            <w:r>
              <w:rPr>
                <w:rFonts w:ascii="Arial" w:cs="Arial" w:eastAsia="Arial" w:hAnsi="Arial"/>
                <w:sz w:val="11"/>
                <w:szCs w:val="11"/>
                <w:color w:val="auto"/>
              </w:rPr>
              <w:t>Shareholders will be able to listen, vote, and submit questions during the Annual Meeting from any location that has</w:t>
            </w:r>
          </w:p>
        </w:tc>
      </w:tr>
      <w:tr>
        <w:trPr>
          <w:trHeight w:val="130"/>
        </w:trPr>
        <w:tc>
          <w:tcPr>
            <w:tcW w:w="1140" w:type="dxa"/>
            <w:vAlign w:val="bottom"/>
          </w:tcPr>
          <w:p>
            <w:pPr>
              <w:spacing w:after="0"/>
              <w:rPr>
                <w:sz w:val="11"/>
                <w:szCs w:val="11"/>
                <w:color w:val="auto"/>
              </w:rPr>
            </w:pPr>
          </w:p>
        </w:tc>
        <w:tc>
          <w:tcPr>
            <w:tcW w:w="6080" w:type="dxa"/>
            <w:vAlign w:val="bottom"/>
          </w:tcPr>
          <w:p>
            <w:pPr>
              <w:ind w:left="320"/>
              <w:spacing w:after="0"/>
              <w:rPr>
                <w:sz w:val="20"/>
                <w:szCs w:val="20"/>
                <w:color w:val="auto"/>
              </w:rPr>
            </w:pPr>
            <w:r>
              <w:rPr>
                <w:rFonts w:ascii="Arial" w:cs="Arial" w:eastAsia="Arial" w:hAnsi="Arial"/>
                <w:sz w:val="11"/>
                <w:szCs w:val="11"/>
                <w:color w:val="auto"/>
              </w:rPr>
              <w:t>Internet connectivity by registering to attend the meeting at www.meetnow.global/MPL92M4.</w:t>
            </w:r>
          </w:p>
        </w:tc>
      </w:tr>
      <w:tr>
        <w:trPr>
          <w:trHeight w:val="221"/>
        </w:trPr>
        <w:tc>
          <w:tcPr>
            <w:tcW w:w="1140" w:type="dxa"/>
            <w:vAlign w:val="bottom"/>
          </w:tcPr>
          <w:p>
            <w:pPr>
              <w:spacing w:after="0"/>
              <w:rPr>
                <w:sz w:val="20"/>
                <w:szCs w:val="20"/>
                <w:color w:val="auto"/>
              </w:rPr>
            </w:pPr>
            <w:r>
              <w:rPr>
                <w:rFonts w:ascii="Arial" w:cs="Arial" w:eastAsia="Arial" w:hAnsi="Arial"/>
                <w:sz w:val="13"/>
                <w:szCs w:val="13"/>
                <w:b w:val="1"/>
                <w:bCs w:val="1"/>
                <w:color w:val="009BDE"/>
              </w:rPr>
              <w:t>Record Date:</w:t>
            </w:r>
          </w:p>
        </w:tc>
        <w:tc>
          <w:tcPr>
            <w:tcW w:w="6080" w:type="dxa"/>
            <w:vAlign w:val="bottom"/>
          </w:tcPr>
          <w:p>
            <w:pPr>
              <w:ind w:left="320"/>
              <w:spacing w:after="0"/>
              <w:rPr>
                <w:sz w:val="20"/>
                <w:szCs w:val="20"/>
                <w:color w:val="auto"/>
              </w:rPr>
            </w:pPr>
            <w:r>
              <w:rPr>
                <w:rFonts w:ascii="Arial" w:cs="Arial" w:eastAsia="Arial" w:hAnsi="Arial"/>
                <w:sz w:val="11"/>
                <w:szCs w:val="11"/>
                <w:color w:val="auto"/>
                <w:w w:val="98"/>
              </w:rPr>
              <w:t>Only shareholders of record of the Company’s common stock at the close of business on March 22, 2023 are entitled to</w:t>
            </w:r>
          </w:p>
        </w:tc>
      </w:tr>
      <w:tr>
        <w:trPr>
          <w:trHeight w:val="130"/>
        </w:trPr>
        <w:tc>
          <w:tcPr>
            <w:tcW w:w="1140" w:type="dxa"/>
            <w:vAlign w:val="bottom"/>
          </w:tcPr>
          <w:p>
            <w:pPr>
              <w:spacing w:after="0"/>
              <w:rPr>
                <w:sz w:val="11"/>
                <w:szCs w:val="11"/>
                <w:color w:val="auto"/>
              </w:rPr>
            </w:pPr>
          </w:p>
        </w:tc>
        <w:tc>
          <w:tcPr>
            <w:tcW w:w="6080" w:type="dxa"/>
            <w:vAlign w:val="bottom"/>
          </w:tcPr>
          <w:p>
            <w:pPr>
              <w:ind w:left="320"/>
              <w:spacing w:after="0"/>
              <w:rPr>
                <w:sz w:val="20"/>
                <w:szCs w:val="20"/>
                <w:color w:val="auto"/>
              </w:rPr>
            </w:pPr>
            <w:r>
              <w:rPr>
                <w:rFonts w:ascii="Arial" w:cs="Arial" w:eastAsia="Arial" w:hAnsi="Arial"/>
                <w:sz w:val="11"/>
                <w:szCs w:val="11"/>
                <w:color w:val="auto"/>
              </w:rPr>
              <w:t>notice of, and to vote at, the Annual Meeting or any adjournment or postponement thereof.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162560</wp:posOffset>
            </wp:positionV>
            <wp:extent cx="46634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6344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294005</wp:posOffset>
            </wp:positionV>
            <wp:extent cx="4663440" cy="8343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63440" cy="8343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2260"/>
        <w:spacing w:after="0"/>
        <w:rPr>
          <w:sz w:val="20"/>
          <w:szCs w:val="20"/>
          <w:color w:val="auto"/>
        </w:rPr>
      </w:pPr>
      <w:r>
        <w:rPr>
          <w:rFonts w:ascii="Arial" w:cs="Arial" w:eastAsia="Arial" w:hAnsi="Arial"/>
          <w:sz w:val="13"/>
          <w:szCs w:val="13"/>
          <w:b w:val="1"/>
          <w:bCs w:val="1"/>
          <w:color w:val="009BDE"/>
        </w:rPr>
        <w:t>Purpose</w:t>
      </w:r>
    </w:p>
    <w:p>
      <w:pPr>
        <w:spacing w:after="0" w:line="104"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Elect eleven (11) directors.</w:t>
      </w:r>
    </w:p>
    <w:p>
      <w:pPr>
        <w:spacing w:after="0" w:line="36"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Approve an advisory vote on the compensation of the Company’s named executive officers.</w:t>
      </w:r>
    </w:p>
    <w:p>
      <w:pPr>
        <w:spacing w:after="0" w:line="36"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Approve an advisory vote as to the frequency of the shareholder vote on the compensation of the Company’s named executive officers.</w:t>
      </w:r>
    </w:p>
    <w:p>
      <w:pPr>
        <w:spacing w:after="0" w:line="36"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Approve amendments to the Company’s Restated 2003 Stock Incentive Performance Plan, as amended.</w:t>
      </w:r>
    </w:p>
    <w:p>
      <w:pPr>
        <w:spacing w:after="0" w:line="36"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Ratify the selection of KPMG LLP as the Company’s independent registered public accounting firm for the 2023 fiscal year.</w:t>
      </w:r>
    </w:p>
    <w:p>
      <w:pPr>
        <w:spacing w:after="0" w:line="36"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Transact such other business as may properly come before the meeting and any adjournment or postponement of the meeting.</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71120</wp:posOffset>
            </wp:positionV>
            <wp:extent cx="4663440" cy="268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137"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218440</wp:posOffset>
            </wp:positionV>
            <wp:extent cx="466344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63440" cy="120015"/>
                    </a:xfrm>
                    <a:prstGeom prst="rect">
                      <a:avLst/>
                    </a:prstGeom>
                    <a:noFill/>
                  </pic:spPr>
                </pic:pic>
              </a:graphicData>
            </a:graphic>
          </wp:anchor>
        </w:drawing>
      </w:r>
    </w:p>
    <w:p>
      <w:pPr>
        <w:spacing w:after="0" w:line="341" w:lineRule="exact"/>
        <w:rPr>
          <w:sz w:val="20"/>
          <w:szCs w:val="20"/>
          <w:color w:val="auto"/>
        </w:rPr>
      </w:pPr>
    </w:p>
    <w:p>
      <w:pPr>
        <w:jc w:val="right"/>
        <w:ind w:right="1099"/>
        <w:spacing w:after="0"/>
        <w:tabs>
          <w:tab w:leader="none" w:pos="1500" w:val="left"/>
        </w:tabs>
        <w:rPr>
          <w:sz w:val="20"/>
          <w:szCs w:val="20"/>
          <w:color w:val="auto"/>
        </w:rPr>
      </w:pPr>
      <w:r>
        <w:rPr>
          <w:rFonts w:ascii="Arial" w:cs="Arial" w:eastAsia="Arial" w:hAnsi="Arial"/>
          <w:sz w:val="12"/>
          <w:szCs w:val="12"/>
          <w:color w:val="FFFFFF"/>
        </w:rPr>
        <w:t>Vote Right Away Through Advance Voting Methods</w:t>
      </w:r>
      <w:r>
        <w:rPr>
          <w:sz w:val="20"/>
          <w:szCs w:val="20"/>
          <w:color w:val="auto"/>
        </w:rPr>
        <w:tab/>
      </w:r>
      <w:r>
        <w:rPr>
          <w:rFonts w:ascii="Arial" w:cs="Arial" w:eastAsia="Arial" w:hAnsi="Arial"/>
          <w:sz w:val="11"/>
          <w:szCs w:val="11"/>
          <w:color w:val="FFFFFF"/>
        </w:rPr>
        <w:t>Voting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-86360</wp:posOffset>
            </wp:positionV>
            <wp:extent cx="4171950" cy="388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71950" cy="388620"/>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-86360</wp:posOffset>
            </wp:positionV>
            <wp:extent cx="4171950" cy="388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71950" cy="38862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2080" w:type="dxa"/>
        <w:tblCellMar>
          <w:top w:w="0" w:type="dxa"/>
          <w:left w:w="0" w:type="dxa"/>
          <w:bottom w:w="0" w:type="dxa"/>
          <w:right w:w="0" w:type="dxa"/>
        </w:tblCellMar>
      </w:tblPr>
      <w:tr>
        <w:trPr>
          <w:trHeight w:val="153"/>
        </w:trPr>
        <w:tc>
          <w:tcPr>
            <w:tcW w:w="1700" w:type="dxa"/>
            <w:vAlign w:val="bottom"/>
          </w:tcPr>
          <w:p>
            <w:pPr>
              <w:jc w:val="center"/>
              <w:ind w:right="22"/>
              <w:spacing w:after="0"/>
              <w:rPr>
                <w:sz w:val="20"/>
                <w:szCs w:val="20"/>
                <w:color w:val="auto"/>
              </w:rPr>
            </w:pPr>
            <w:r>
              <w:rPr>
                <w:rFonts w:ascii="Arial" w:cs="Arial" w:eastAsia="Arial" w:hAnsi="Arial"/>
                <w:sz w:val="13"/>
                <w:szCs w:val="13"/>
                <w:b w:val="1"/>
                <w:bCs w:val="1"/>
                <w:color w:val="009BDE"/>
                <w:w w:val="95"/>
              </w:rPr>
              <w:t>Vote by Internet</w:t>
            </w:r>
          </w:p>
        </w:tc>
        <w:tc>
          <w:tcPr>
            <w:tcW w:w="1720" w:type="dxa"/>
            <w:vAlign w:val="bottom"/>
          </w:tcPr>
          <w:p>
            <w:pPr>
              <w:jc w:val="center"/>
              <w:spacing w:after="0"/>
              <w:rPr>
                <w:sz w:val="20"/>
                <w:szCs w:val="20"/>
                <w:color w:val="auto"/>
              </w:rPr>
            </w:pPr>
            <w:r>
              <w:rPr>
                <w:rFonts w:ascii="Arial" w:cs="Arial" w:eastAsia="Arial" w:hAnsi="Arial"/>
                <w:sz w:val="13"/>
                <w:szCs w:val="13"/>
                <w:b w:val="1"/>
                <w:bCs w:val="1"/>
                <w:color w:val="009BDE"/>
                <w:w w:val="95"/>
              </w:rPr>
              <w:t>Vote by Phone</w:t>
            </w:r>
          </w:p>
        </w:tc>
        <w:tc>
          <w:tcPr>
            <w:tcW w:w="1980" w:type="dxa"/>
            <w:vAlign w:val="bottom"/>
          </w:tcPr>
          <w:p>
            <w:pPr>
              <w:jc w:val="center"/>
              <w:ind w:right="2"/>
              <w:spacing w:after="0"/>
              <w:rPr>
                <w:sz w:val="20"/>
                <w:szCs w:val="20"/>
                <w:color w:val="auto"/>
              </w:rPr>
            </w:pPr>
            <w:r>
              <w:rPr>
                <w:rFonts w:ascii="Arial" w:cs="Arial" w:eastAsia="Arial" w:hAnsi="Arial"/>
                <w:sz w:val="13"/>
                <w:szCs w:val="13"/>
                <w:b w:val="1"/>
                <w:bCs w:val="1"/>
                <w:color w:val="009BDE"/>
                <w:w w:val="94"/>
              </w:rPr>
              <w:t>Vote by Mail</w:t>
            </w:r>
          </w:p>
        </w:tc>
        <w:tc>
          <w:tcPr>
            <w:tcW w:w="1600" w:type="dxa"/>
            <w:vAlign w:val="bottom"/>
          </w:tcPr>
          <w:p>
            <w:pPr>
              <w:jc w:val="center"/>
              <w:ind w:left="102"/>
              <w:spacing w:after="0"/>
              <w:rPr>
                <w:sz w:val="20"/>
                <w:szCs w:val="20"/>
                <w:color w:val="auto"/>
              </w:rPr>
            </w:pPr>
            <w:r>
              <w:rPr>
                <w:rFonts w:ascii="Arial" w:cs="Arial" w:eastAsia="Arial" w:hAnsi="Arial"/>
                <w:sz w:val="13"/>
                <w:szCs w:val="13"/>
                <w:b w:val="1"/>
                <w:bCs w:val="1"/>
                <w:color w:val="009BDE"/>
                <w:w w:val="96"/>
              </w:rPr>
              <w:t>Vote During the Meeting</w:t>
            </w:r>
          </w:p>
        </w:tc>
      </w:tr>
      <w:tr>
        <w:trPr>
          <w:trHeight w:val="126"/>
        </w:trPr>
        <w:tc>
          <w:tcPr>
            <w:tcW w:w="1700" w:type="dxa"/>
            <w:vAlign w:val="bottom"/>
          </w:tcPr>
          <w:p>
            <w:pPr>
              <w:jc w:val="center"/>
              <w:ind w:right="22"/>
              <w:spacing w:after="0"/>
              <w:rPr>
                <w:sz w:val="20"/>
                <w:szCs w:val="20"/>
                <w:color w:val="auto"/>
              </w:rPr>
            </w:pPr>
            <w:r>
              <w:rPr>
                <w:rFonts w:ascii="Arial" w:cs="Arial" w:eastAsia="Arial" w:hAnsi="Arial"/>
                <w:sz w:val="11"/>
                <w:szCs w:val="11"/>
                <w:color w:val="auto"/>
              </w:rPr>
              <w:t>Go to the website</w:t>
            </w:r>
          </w:p>
        </w:tc>
        <w:tc>
          <w:tcPr>
            <w:tcW w:w="1720" w:type="dxa"/>
            <w:vAlign w:val="bottom"/>
          </w:tcPr>
          <w:p>
            <w:pPr>
              <w:jc w:val="center"/>
              <w:spacing w:after="0"/>
              <w:rPr>
                <w:sz w:val="20"/>
                <w:szCs w:val="20"/>
                <w:color w:val="auto"/>
              </w:rPr>
            </w:pPr>
            <w:r>
              <w:rPr>
                <w:rFonts w:ascii="Arial" w:cs="Arial" w:eastAsia="Arial" w:hAnsi="Arial"/>
                <w:sz w:val="11"/>
                <w:szCs w:val="11"/>
                <w:color w:val="auto"/>
              </w:rPr>
              <w:t>Call the number on</w:t>
            </w:r>
          </w:p>
        </w:tc>
        <w:tc>
          <w:tcPr>
            <w:tcW w:w="1980" w:type="dxa"/>
            <w:vAlign w:val="bottom"/>
          </w:tcPr>
          <w:p>
            <w:pPr>
              <w:jc w:val="center"/>
              <w:spacing w:after="0"/>
              <w:rPr>
                <w:sz w:val="20"/>
                <w:szCs w:val="20"/>
                <w:color w:val="auto"/>
              </w:rPr>
            </w:pPr>
            <w:r>
              <w:rPr>
                <w:rFonts w:ascii="Arial" w:cs="Arial" w:eastAsia="Arial" w:hAnsi="Arial"/>
                <w:sz w:val="11"/>
                <w:szCs w:val="11"/>
                <w:color w:val="auto"/>
              </w:rPr>
              <w:t>Sign, date and return the enclosed</w:t>
            </w:r>
          </w:p>
        </w:tc>
        <w:tc>
          <w:tcPr>
            <w:tcW w:w="1600" w:type="dxa"/>
            <w:vAlign w:val="bottom"/>
          </w:tcPr>
          <w:p>
            <w:pPr>
              <w:jc w:val="center"/>
              <w:ind w:left="102"/>
              <w:spacing w:after="0"/>
              <w:rPr>
                <w:sz w:val="20"/>
                <w:szCs w:val="20"/>
                <w:color w:val="auto"/>
              </w:rPr>
            </w:pPr>
            <w:r>
              <w:rPr>
                <w:rFonts w:ascii="Arial" w:cs="Arial" w:eastAsia="Arial" w:hAnsi="Arial"/>
                <w:sz w:val="11"/>
                <w:szCs w:val="11"/>
                <w:color w:val="auto"/>
              </w:rPr>
              <w:t>See the instructions</w:t>
            </w:r>
          </w:p>
        </w:tc>
      </w:tr>
      <w:tr>
        <w:trPr>
          <w:trHeight w:val="126"/>
        </w:trPr>
        <w:tc>
          <w:tcPr>
            <w:tcW w:w="1700" w:type="dxa"/>
            <w:vAlign w:val="bottom"/>
          </w:tcPr>
          <w:p>
            <w:pPr>
              <w:jc w:val="center"/>
              <w:ind w:right="42"/>
              <w:spacing w:after="0"/>
              <w:rPr>
                <w:sz w:val="20"/>
                <w:szCs w:val="20"/>
                <w:color w:val="auto"/>
              </w:rPr>
            </w:pPr>
            <w:r>
              <w:rPr>
                <w:rFonts w:ascii="Arial" w:cs="Arial" w:eastAsia="Arial" w:hAnsi="Arial"/>
                <w:sz w:val="11"/>
                <w:szCs w:val="11"/>
                <w:color w:val="auto"/>
              </w:rPr>
              <w:t>identified on the enclosed proxy</w:t>
            </w:r>
          </w:p>
        </w:tc>
        <w:tc>
          <w:tcPr>
            <w:tcW w:w="1720" w:type="dxa"/>
            <w:vAlign w:val="bottom"/>
          </w:tcPr>
          <w:p>
            <w:pPr>
              <w:jc w:val="center"/>
              <w:spacing w:after="0"/>
              <w:rPr>
                <w:sz w:val="20"/>
                <w:szCs w:val="20"/>
                <w:color w:val="auto"/>
              </w:rPr>
            </w:pPr>
            <w:r>
              <w:rPr>
                <w:rFonts w:ascii="Arial" w:cs="Arial" w:eastAsia="Arial" w:hAnsi="Arial"/>
                <w:sz w:val="11"/>
                <w:szCs w:val="11"/>
                <w:color w:val="auto"/>
              </w:rPr>
              <w:t>the enclosed</w:t>
            </w:r>
          </w:p>
        </w:tc>
        <w:tc>
          <w:tcPr>
            <w:tcW w:w="1980" w:type="dxa"/>
            <w:vAlign w:val="bottom"/>
          </w:tcPr>
          <w:p>
            <w:pPr>
              <w:jc w:val="center"/>
              <w:ind w:right="2"/>
              <w:spacing w:after="0"/>
              <w:rPr>
                <w:sz w:val="20"/>
                <w:szCs w:val="20"/>
                <w:color w:val="auto"/>
              </w:rPr>
            </w:pPr>
            <w:r>
              <w:rPr>
                <w:rFonts w:ascii="Arial" w:cs="Arial" w:eastAsia="Arial" w:hAnsi="Arial"/>
                <w:sz w:val="11"/>
                <w:szCs w:val="11"/>
                <w:color w:val="auto"/>
              </w:rPr>
              <w:t>proxy card or voting instruction</w:t>
            </w:r>
          </w:p>
        </w:tc>
        <w:tc>
          <w:tcPr>
            <w:tcW w:w="1600" w:type="dxa"/>
            <w:vAlign w:val="bottom"/>
          </w:tcPr>
          <w:p>
            <w:pPr>
              <w:jc w:val="center"/>
              <w:ind w:left="102"/>
              <w:spacing w:after="0"/>
              <w:rPr>
                <w:sz w:val="20"/>
                <w:szCs w:val="20"/>
                <w:color w:val="auto"/>
              </w:rPr>
            </w:pPr>
            <w:r>
              <w:rPr>
                <w:rFonts w:ascii="Arial" w:cs="Arial" w:eastAsia="Arial" w:hAnsi="Arial"/>
                <w:sz w:val="11"/>
                <w:szCs w:val="11"/>
                <w:color w:val="auto"/>
              </w:rPr>
              <w:t>below regarding</w:t>
            </w:r>
          </w:p>
        </w:tc>
      </w:tr>
      <w:tr>
        <w:trPr>
          <w:trHeight w:val="126"/>
        </w:trPr>
        <w:tc>
          <w:tcPr>
            <w:tcW w:w="1700" w:type="dxa"/>
            <w:vAlign w:val="bottom"/>
          </w:tcPr>
          <w:p>
            <w:pPr>
              <w:jc w:val="center"/>
              <w:ind w:right="22"/>
              <w:spacing w:after="0"/>
              <w:rPr>
                <w:sz w:val="20"/>
                <w:szCs w:val="20"/>
                <w:color w:val="auto"/>
              </w:rPr>
            </w:pPr>
            <w:r>
              <w:rPr>
                <w:rFonts w:ascii="Arial" w:cs="Arial" w:eastAsia="Arial" w:hAnsi="Arial"/>
                <w:sz w:val="11"/>
                <w:szCs w:val="11"/>
                <w:color w:val="auto"/>
              </w:rPr>
              <w:t>card or voting</w:t>
            </w:r>
          </w:p>
        </w:tc>
        <w:tc>
          <w:tcPr>
            <w:tcW w:w="1720" w:type="dxa"/>
            <w:vAlign w:val="bottom"/>
          </w:tcPr>
          <w:p>
            <w:pPr>
              <w:jc w:val="center"/>
              <w:spacing w:after="0"/>
              <w:rPr>
                <w:sz w:val="20"/>
                <w:szCs w:val="20"/>
                <w:color w:val="auto"/>
              </w:rPr>
            </w:pPr>
            <w:r>
              <w:rPr>
                <w:rFonts w:ascii="Arial" w:cs="Arial" w:eastAsia="Arial" w:hAnsi="Arial"/>
                <w:sz w:val="11"/>
                <w:szCs w:val="11"/>
                <w:color w:val="auto"/>
              </w:rPr>
              <w:t>proxy card or voting instruction</w:t>
            </w:r>
          </w:p>
        </w:tc>
        <w:tc>
          <w:tcPr>
            <w:tcW w:w="1980" w:type="dxa"/>
            <w:vAlign w:val="bottom"/>
          </w:tcPr>
          <w:p>
            <w:pPr>
              <w:jc w:val="center"/>
              <w:spacing w:after="0"/>
              <w:rPr>
                <w:sz w:val="20"/>
                <w:szCs w:val="20"/>
                <w:color w:val="auto"/>
              </w:rPr>
            </w:pPr>
            <w:r>
              <w:rPr>
                <w:rFonts w:ascii="Arial" w:cs="Arial" w:eastAsia="Arial" w:hAnsi="Arial"/>
                <w:sz w:val="11"/>
                <w:szCs w:val="11"/>
                <w:color w:val="auto"/>
              </w:rPr>
              <w:t>form in the accompanying</w:t>
            </w:r>
          </w:p>
        </w:tc>
        <w:tc>
          <w:tcPr>
            <w:tcW w:w="1600" w:type="dxa"/>
            <w:vAlign w:val="bottom"/>
          </w:tcPr>
          <w:p>
            <w:pPr>
              <w:jc w:val="center"/>
              <w:ind w:left="122"/>
              <w:spacing w:after="0"/>
              <w:rPr>
                <w:sz w:val="20"/>
                <w:szCs w:val="20"/>
                <w:color w:val="auto"/>
              </w:rPr>
            </w:pPr>
            <w:r>
              <w:rPr>
                <w:rFonts w:ascii="Arial" w:cs="Arial" w:eastAsia="Arial" w:hAnsi="Arial"/>
                <w:sz w:val="11"/>
                <w:szCs w:val="11"/>
                <w:color w:val="auto"/>
              </w:rPr>
              <w:t>how to vote</w:t>
            </w:r>
          </w:p>
        </w:tc>
      </w:tr>
      <w:tr>
        <w:trPr>
          <w:trHeight w:val="126"/>
        </w:trPr>
        <w:tc>
          <w:tcPr>
            <w:tcW w:w="1700" w:type="dxa"/>
            <w:vAlign w:val="bottom"/>
          </w:tcPr>
          <w:p>
            <w:pPr>
              <w:jc w:val="center"/>
              <w:ind w:right="22"/>
              <w:spacing w:after="0"/>
              <w:rPr>
                <w:sz w:val="20"/>
                <w:szCs w:val="20"/>
                <w:color w:val="auto"/>
              </w:rPr>
            </w:pPr>
            <w:r>
              <w:rPr>
                <w:rFonts w:ascii="Arial" w:cs="Arial" w:eastAsia="Arial" w:hAnsi="Arial"/>
                <w:sz w:val="11"/>
                <w:szCs w:val="11"/>
                <w:color w:val="auto"/>
              </w:rPr>
              <w:t>instruction form.</w:t>
            </w:r>
          </w:p>
        </w:tc>
        <w:tc>
          <w:tcPr>
            <w:tcW w:w="1720" w:type="dxa"/>
            <w:vAlign w:val="bottom"/>
          </w:tcPr>
          <w:p>
            <w:pPr>
              <w:jc w:val="center"/>
              <w:spacing w:after="0"/>
              <w:rPr>
                <w:sz w:val="20"/>
                <w:szCs w:val="20"/>
                <w:color w:val="auto"/>
              </w:rPr>
            </w:pPr>
            <w:r>
              <w:rPr>
                <w:rFonts w:ascii="Arial" w:cs="Arial" w:eastAsia="Arial" w:hAnsi="Arial"/>
                <w:sz w:val="11"/>
                <w:szCs w:val="11"/>
                <w:color w:val="auto"/>
              </w:rPr>
              <w:t>form.</w:t>
            </w:r>
          </w:p>
        </w:tc>
        <w:tc>
          <w:tcPr>
            <w:tcW w:w="1980" w:type="dxa"/>
            <w:vAlign w:val="bottom"/>
          </w:tcPr>
          <w:p>
            <w:pPr>
              <w:jc w:val="center"/>
              <w:spacing w:after="0"/>
              <w:rPr>
                <w:sz w:val="20"/>
                <w:szCs w:val="20"/>
                <w:color w:val="auto"/>
              </w:rPr>
            </w:pPr>
            <w:r>
              <w:rPr>
                <w:rFonts w:ascii="Arial" w:cs="Arial" w:eastAsia="Arial" w:hAnsi="Arial"/>
                <w:sz w:val="11"/>
                <w:szCs w:val="11"/>
                <w:color w:val="auto"/>
              </w:rPr>
              <w:t>postage-paid pre-addressed</w:t>
            </w:r>
          </w:p>
        </w:tc>
        <w:tc>
          <w:tcPr>
            <w:tcW w:w="1600" w:type="dxa"/>
            <w:vAlign w:val="bottom"/>
          </w:tcPr>
          <w:p>
            <w:pPr>
              <w:jc w:val="center"/>
              <w:ind w:left="122"/>
              <w:spacing w:after="0"/>
              <w:rPr>
                <w:sz w:val="20"/>
                <w:szCs w:val="20"/>
                <w:color w:val="auto"/>
              </w:rPr>
            </w:pPr>
            <w:r>
              <w:rPr>
                <w:rFonts w:ascii="Arial" w:cs="Arial" w:eastAsia="Arial" w:hAnsi="Arial"/>
                <w:sz w:val="11"/>
                <w:szCs w:val="11"/>
                <w:color w:val="auto"/>
              </w:rPr>
              <w:t>at the Annual Meeting.</w:t>
            </w:r>
          </w:p>
        </w:tc>
      </w:tr>
      <w:tr>
        <w:trPr>
          <w:trHeight w:val="137"/>
        </w:trPr>
        <w:tc>
          <w:tcPr>
            <w:tcW w:w="17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980" w:type="dxa"/>
            <w:vAlign w:val="bottom"/>
          </w:tcPr>
          <w:p>
            <w:pPr>
              <w:jc w:val="center"/>
              <w:spacing w:after="0"/>
              <w:rPr>
                <w:sz w:val="20"/>
                <w:szCs w:val="20"/>
                <w:color w:val="auto"/>
              </w:rPr>
            </w:pPr>
            <w:r>
              <w:rPr>
                <w:rFonts w:ascii="Arial" w:cs="Arial" w:eastAsia="Arial" w:hAnsi="Arial"/>
                <w:sz w:val="11"/>
                <w:szCs w:val="11"/>
                <w:color w:val="auto"/>
              </w:rPr>
              <w:t>envelope.</w:t>
            </w:r>
          </w:p>
        </w:tc>
        <w:tc>
          <w:tcPr>
            <w:tcW w:w="16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4658360</wp:posOffset>
            </wp:positionH>
            <wp:positionV relativeFrom="paragraph">
              <wp:posOffset>-495300</wp:posOffset>
            </wp:positionV>
            <wp:extent cx="571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-483870</wp:posOffset>
            </wp:positionV>
            <wp:extent cx="571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-472440</wp:posOffset>
            </wp:positionV>
            <wp:extent cx="571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-461010</wp:posOffset>
            </wp:positionV>
            <wp:extent cx="571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-449580</wp:posOffset>
            </wp:positionV>
            <wp:extent cx="571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-438150</wp:posOffset>
            </wp:positionV>
            <wp:extent cx="571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-426720</wp:posOffset>
            </wp:positionV>
            <wp:extent cx="571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-415290</wp:posOffset>
            </wp:positionV>
            <wp:extent cx="571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-403860</wp:posOffset>
            </wp:positionV>
            <wp:extent cx="571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-392430</wp:posOffset>
            </wp:positionV>
            <wp:extent cx="571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-381000</wp:posOffset>
            </wp:positionV>
            <wp:extent cx="571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-369570</wp:posOffset>
            </wp:positionV>
            <wp:extent cx="571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-358140</wp:posOffset>
            </wp:positionV>
            <wp:extent cx="571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-346710</wp:posOffset>
            </wp:positionV>
            <wp:extent cx="571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-335280</wp:posOffset>
            </wp:positionV>
            <wp:extent cx="571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-323850</wp:posOffset>
            </wp:positionV>
            <wp:extent cx="571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-312420</wp:posOffset>
            </wp:positionV>
            <wp:extent cx="571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-300990</wp:posOffset>
            </wp:positionV>
            <wp:extent cx="571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-289560</wp:posOffset>
            </wp:positionV>
            <wp:extent cx="571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-278130</wp:posOffset>
            </wp:positionV>
            <wp:extent cx="571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-266700</wp:posOffset>
            </wp:positionV>
            <wp:extent cx="571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-255270</wp:posOffset>
            </wp:positionV>
            <wp:extent cx="571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-243840</wp:posOffset>
            </wp:positionV>
            <wp:extent cx="571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-232410</wp:posOffset>
            </wp:positionV>
            <wp:extent cx="571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-220980</wp:posOffset>
            </wp:positionV>
            <wp:extent cx="571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-209550</wp:posOffset>
            </wp:positionV>
            <wp:extent cx="571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-198120</wp:posOffset>
            </wp:positionV>
            <wp:extent cx="571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-186690</wp:posOffset>
            </wp:positionV>
            <wp:extent cx="571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-175260</wp:posOffset>
            </wp:positionV>
            <wp:extent cx="571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-163830</wp:posOffset>
            </wp:positionV>
            <wp:extent cx="571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-152400</wp:posOffset>
            </wp:positionV>
            <wp:extent cx="571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-140970</wp:posOffset>
            </wp:positionV>
            <wp:extent cx="571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-129540</wp:posOffset>
            </wp:positionV>
            <wp:extent cx="571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-118110</wp:posOffset>
            </wp:positionV>
            <wp:extent cx="571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-106680</wp:posOffset>
            </wp:positionV>
            <wp:extent cx="571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-95250</wp:posOffset>
            </wp:positionV>
            <wp:extent cx="571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-83820</wp:posOffset>
            </wp:positionV>
            <wp:extent cx="571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-72390</wp:posOffset>
            </wp:positionV>
            <wp:extent cx="571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-60960</wp:posOffset>
            </wp:positionV>
            <wp:extent cx="571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-49530</wp:posOffset>
            </wp:positionV>
            <wp:extent cx="571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-38100</wp:posOffset>
            </wp:positionV>
            <wp:extent cx="571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-26670</wp:posOffset>
            </wp:positionV>
            <wp:extent cx="571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-15240</wp:posOffset>
            </wp:positionV>
            <wp:extent cx="571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-3810</wp:posOffset>
            </wp:positionV>
            <wp:extent cx="571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-495300</wp:posOffset>
            </wp:positionV>
            <wp:extent cx="571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-483870</wp:posOffset>
            </wp:positionV>
            <wp:extent cx="571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-472440</wp:posOffset>
            </wp:positionV>
            <wp:extent cx="571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-461010</wp:posOffset>
            </wp:positionV>
            <wp:extent cx="571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-449580</wp:posOffset>
            </wp:positionV>
            <wp:extent cx="571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-438150</wp:posOffset>
            </wp:positionV>
            <wp:extent cx="571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-426720</wp:posOffset>
            </wp:positionV>
            <wp:extent cx="571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-415290</wp:posOffset>
            </wp:positionV>
            <wp:extent cx="571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-403860</wp:posOffset>
            </wp:positionV>
            <wp:extent cx="571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-392430</wp:posOffset>
            </wp:positionV>
            <wp:extent cx="571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-381000</wp:posOffset>
            </wp:positionV>
            <wp:extent cx="571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-369570</wp:posOffset>
            </wp:positionV>
            <wp:extent cx="571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-358140</wp:posOffset>
            </wp:positionV>
            <wp:extent cx="571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-346710</wp:posOffset>
            </wp:positionV>
            <wp:extent cx="571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-335280</wp:posOffset>
            </wp:positionV>
            <wp:extent cx="571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-323850</wp:posOffset>
            </wp:positionV>
            <wp:extent cx="571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-312420</wp:posOffset>
            </wp:positionV>
            <wp:extent cx="571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-300990</wp:posOffset>
            </wp:positionV>
            <wp:extent cx="571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-289560</wp:posOffset>
            </wp:positionV>
            <wp:extent cx="571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-278130</wp:posOffset>
            </wp:positionV>
            <wp:extent cx="571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-266700</wp:posOffset>
            </wp:positionV>
            <wp:extent cx="571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-255270</wp:posOffset>
            </wp:positionV>
            <wp:extent cx="571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-243840</wp:posOffset>
            </wp:positionV>
            <wp:extent cx="571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-232410</wp:posOffset>
            </wp:positionV>
            <wp:extent cx="571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-220980</wp:posOffset>
            </wp:positionV>
            <wp:extent cx="571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-209550</wp:posOffset>
            </wp:positionV>
            <wp:extent cx="571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-198120</wp:posOffset>
            </wp:positionV>
            <wp:extent cx="571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-186690</wp:posOffset>
            </wp:positionV>
            <wp:extent cx="571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-175260</wp:posOffset>
            </wp:positionV>
            <wp:extent cx="571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-163830</wp:posOffset>
            </wp:positionV>
            <wp:extent cx="571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-152400</wp:posOffset>
            </wp:positionV>
            <wp:extent cx="571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-140970</wp:posOffset>
            </wp:positionV>
            <wp:extent cx="571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-129540</wp:posOffset>
            </wp:positionV>
            <wp:extent cx="571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-118110</wp:posOffset>
            </wp:positionV>
            <wp:extent cx="571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-106680</wp:posOffset>
            </wp:positionV>
            <wp:extent cx="571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-95250</wp:posOffset>
            </wp:positionV>
            <wp:extent cx="571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-83820</wp:posOffset>
            </wp:positionV>
            <wp:extent cx="571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-72390</wp:posOffset>
            </wp:positionV>
            <wp:extent cx="571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-60960</wp:posOffset>
            </wp:positionV>
            <wp:extent cx="571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-49530</wp:posOffset>
            </wp:positionV>
            <wp:extent cx="571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-38100</wp:posOffset>
            </wp:positionV>
            <wp:extent cx="571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-26670</wp:posOffset>
            </wp:positionV>
            <wp:extent cx="571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-15240</wp:posOffset>
            </wp:positionV>
            <wp:extent cx="571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-3810</wp:posOffset>
            </wp:positionV>
            <wp:extent cx="571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-495300</wp:posOffset>
            </wp:positionV>
            <wp:extent cx="571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-483870</wp:posOffset>
            </wp:positionV>
            <wp:extent cx="571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-472440</wp:posOffset>
            </wp:positionV>
            <wp:extent cx="571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-461010</wp:posOffset>
            </wp:positionV>
            <wp:extent cx="571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-449580</wp:posOffset>
            </wp:positionV>
            <wp:extent cx="571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-438150</wp:posOffset>
            </wp:positionV>
            <wp:extent cx="571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-426720</wp:posOffset>
            </wp:positionV>
            <wp:extent cx="571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-415290</wp:posOffset>
            </wp:positionV>
            <wp:extent cx="571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-403860</wp:posOffset>
            </wp:positionV>
            <wp:extent cx="571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-392430</wp:posOffset>
            </wp:positionV>
            <wp:extent cx="571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-381000</wp:posOffset>
            </wp:positionV>
            <wp:extent cx="571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-369570</wp:posOffset>
            </wp:positionV>
            <wp:extent cx="571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-358140</wp:posOffset>
            </wp:positionV>
            <wp:extent cx="571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-346710</wp:posOffset>
            </wp:positionV>
            <wp:extent cx="571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-335280</wp:posOffset>
            </wp:positionV>
            <wp:extent cx="571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-323850</wp:posOffset>
            </wp:positionV>
            <wp:extent cx="571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-312420</wp:posOffset>
            </wp:positionV>
            <wp:extent cx="571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-300990</wp:posOffset>
            </wp:positionV>
            <wp:extent cx="571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-289560</wp:posOffset>
            </wp:positionV>
            <wp:extent cx="571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-278130</wp:posOffset>
            </wp:positionV>
            <wp:extent cx="571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-266700</wp:posOffset>
            </wp:positionV>
            <wp:extent cx="571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-255270</wp:posOffset>
            </wp:positionV>
            <wp:extent cx="571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-243840</wp:posOffset>
            </wp:positionV>
            <wp:extent cx="571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-232410</wp:posOffset>
            </wp:positionV>
            <wp:extent cx="571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-220980</wp:posOffset>
            </wp:positionV>
            <wp:extent cx="571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-209550</wp:posOffset>
            </wp:positionV>
            <wp:extent cx="571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-198120</wp:posOffset>
            </wp:positionV>
            <wp:extent cx="571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-186690</wp:posOffset>
            </wp:positionV>
            <wp:extent cx="571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-175260</wp:posOffset>
            </wp:positionV>
            <wp:extent cx="571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-163830</wp:posOffset>
            </wp:positionV>
            <wp:extent cx="571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-152400</wp:posOffset>
            </wp:positionV>
            <wp:extent cx="571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-140970</wp:posOffset>
            </wp:positionV>
            <wp:extent cx="571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-129540</wp:posOffset>
            </wp:positionV>
            <wp:extent cx="571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-118110</wp:posOffset>
            </wp:positionV>
            <wp:extent cx="571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-106680</wp:posOffset>
            </wp:positionV>
            <wp:extent cx="571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-95250</wp:posOffset>
            </wp:positionV>
            <wp:extent cx="571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-83820</wp:posOffset>
            </wp:positionV>
            <wp:extent cx="571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-72390</wp:posOffset>
            </wp:positionV>
            <wp:extent cx="571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-60960</wp:posOffset>
            </wp:positionV>
            <wp:extent cx="571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-49530</wp:posOffset>
            </wp:positionV>
            <wp:extent cx="571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-38100</wp:posOffset>
            </wp:positionV>
            <wp:extent cx="571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-26670</wp:posOffset>
            </wp:positionV>
            <wp:extent cx="571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-15240</wp:posOffset>
            </wp:positionV>
            <wp:extent cx="571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-3810</wp:posOffset>
            </wp:positionV>
            <wp:extent cx="571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right="859"/>
        <w:spacing w:after="0" w:line="281" w:lineRule="auto"/>
        <w:rPr>
          <w:sz w:val="20"/>
          <w:szCs w:val="20"/>
          <w:color w:val="auto"/>
        </w:rPr>
      </w:pPr>
      <w:r>
        <w:rPr>
          <w:rFonts w:ascii="Arial" w:cs="Arial" w:eastAsia="Arial" w:hAnsi="Arial"/>
          <w:sz w:val="10"/>
          <w:szCs w:val="10"/>
          <w:b w:val="1"/>
          <w:bCs w:val="1"/>
          <w:color w:val="auto"/>
        </w:rPr>
        <w:t xml:space="preserve">Your Board of Directors unanimously recommends that you vote “FOR ALL” the nominees proposed by your Board of Directors on the proxy card, “FOR” </w:t>
      </w:r>
      <w:r>
        <w:rPr>
          <w:rFonts w:ascii="Arial" w:cs="Arial" w:eastAsia="Arial" w:hAnsi="Arial"/>
          <w:sz w:val="10"/>
          <w:szCs w:val="10"/>
          <w:color w:val="auto"/>
        </w:rPr>
        <w:t>advisory approval of the Company’s compensation for its named executive officers, in support of having an annual advisory vote (a vote</w:t>
      </w:r>
      <w:r>
        <w:rPr>
          <w:rFonts w:ascii="Arial" w:cs="Arial" w:eastAsia="Arial" w:hAnsi="Arial"/>
          <w:sz w:val="10"/>
          <w:szCs w:val="10"/>
          <w:b w:val="1"/>
          <w:bCs w:val="1"/>
          <w:color w:val="auto"/>
        </w:rPr>
        <w:t xml:space="preserve"> </w:t>
      </w:r>
      <w:r>
        <w:rPr>
          <w:rFonts w:ascii="Arial" w:cs="Arial" w:eastAsia="Arial" w:hAnsi="Arial"/>
          <w:sz w:val="10"/>
          <w:szCs w:val="10"/>
          <w:color w:val="auto"/>
        </w:rPr>
        <w:t xml:space="preserve">every year) on the Company’s compensation for its named executive officers, </w:t>
      </w:r>
      <w:r>
        <w:rPr>
          <w:rFonts w:ascii="Arial" w:cs="Arial" w:eastAsia="Arial" w:hAnsi="Arial"/>
          <w:sz w:val="10"/>
          <w:szCs w:val="10"/>
          <w:b w:val="1"/>
          <w:bCs w:val="1"/>
          <w:color w:val="auto"/>
        </w:rPr>
        <w:t>“FOR”</w:t>
      </w:r>
      <w:r>
        <w:rPr>
          <w:rFonts w:ascii="Arial" w:cs="Arial" w:eastAsia="Arial" w:hAnsi="Arial"/>
          <w:sz w:val="10"/>
          <w:szCs w:val="10"/>
          <w:color w:val="auto"/>
        </w:rPr>
        <w:t xml:space="preserve"> the amendments to the Restated 2003 Stock Incentive Performance Plan, and </w:t>
      </w:r>
      <w:r>
        <w:rPr>
          <w:rFonts w:ascii="Arial" w:cs="Arial" w:eastAsia="Arial" w:hAnsi="Arial"/>
          <w:sz w:val="10"/>
          <w:szCs w:val="10"/>
          <w:b w:val="1"/>
          <w:bCs w:val="1"/>
          <w:color w:val="auto"/>
        </w:rPr>
        <w:t>“FOR”</w:t>
      </w:r>
      <w:r>
        <w:rPr>
          <w:rFonts w:ascii="Arial" w:cs="Arial" w:eastAsia="Arial" w:hAnsi="Arial"/>
          <w:sz w:val="10"/>
          <w:szCs w:val="10"/>
          <w:color w:val="auto"/>
        </w:rPr>
        <w:t xml:space="preserve"> the ratification of the selection of KPMG LLP as the Company’s independent registered public accounting firm for fiscal 2023.</w:t>
      </w:r>
    </w:p>
    <w:p>
      <w:pPr>
        <w:spacing w:after="0" w:line="7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50165</wp:posOffset>
            </wp:positionV>
            <wp:extent cx="662940" cy="228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2940" cy="22860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Tarrant Sibley</w:t>
      </w:r>
    </w:p>
    <w:p>
      <w:pPr>
        <w:spacing w:after="0" w:line="1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Executive Vice President, Chief Legal Officer &amp;</w:t>
      </w:r>
    </w:p>
    <w:p>
      <w:pPr>
        <w:ind w:left="1980"/>
        <w:spacing w:after="0"/>
        <w:rPr>
          <w:sz w:val="20"/>
          <w:szCs w:val="20"/>
          <w:color w:val="auto"/>
        </w:rPr>
      </w:pPr>
      <w:r>
        <w:rPr>
          <w:rFonts w:ascii="Arial" w:cs="Arial" w:eastAsia="Arial" w:hAnsi="Arial"/>
          <w:sz w:val="11"/>
          <w:szCs w:val="11"/>
          <w:color w:val="auto"/>
        </w:rPr>
        <w:t>Corporate Secretary</w:t>
      </w:r>
    </w:p>
    <w:p>
      <w:pPr>
        <w:ind w:left="1980"/>
        <w:spacing w:after="0"/>
        <w:rPr>
          <w:sz w:val="20"/>
          <w:szCs w:val="20"/>
          <w:color w:val="auto"/>
        </w:rPr>
      </w:pPr>
      <w:r>
        <w:rPr>
          <w:rFonts w:ascii="Arial" w:cs="Arial" w:eastAsia="Arial" w:hAnsi="Arial"/>
          <w:sz w:val="11"/>
          <w:szCs w:val="11"/>
          <w:color w:val="auto"/>
        </w:rPr>
        <w:t>April 3, 2023</w:t>
      </w:r>
    </w:p>
    <w:p>
      <w:pPr>
        <w:spacing w:after="0" w:line="87" w:lineRule="exact"/>
        <w:rPr>
          <w:sz w:val="20"/>
          <w:szCs w:val="20"/>
          <w:color w:val="auto"/>
        </w:rPr>
      </w:pPr>
    </w:p>
    <w:p>
      <w:pPr>
        <w:jc w:val="center"/>
        <w:ind w:right="-1120"/>
        <w:spacing w:after="0"/>
        <w:rPr>
          <w:sz w:val="20"/>
          <w:szCs w:val="20"/>
          <w:color w:val="auto"/>
        </w:rPr>
      </w:pPr>
      <w:r>
        <w:rPr>
          <w:rFonts w:ascii="Arial" w:cs="Arial" w:eastAsia="Arial" w:hAnsi="Arial"/>
          <w:sz w:val="11"/>
          <w:szCs w:val="11"/>
          <w:b w:val="1"/>
          <w:bCs w:val="1"/>
          <w:color w:val="auto"/>
        </w:rPr>
        <w:t>Important Notice Regarding the Availability of Proxy Materials for the Shareholders Meeting</w:t>
      </w:r>
    </w:p>
    <w:p>
      <w:pPr>
        <w:spacing w:after="0" w:line="12" w:lineRule="exact"/>
        <w:rPr>
          <w:sz w:val="20"/>
          <w:szCs w:val="20"/>
          <w:color w:val="auto"/>
        </w:rPr>
      </w:pPr>
    </w:p>
    <w:p>
      <w:pPr>
        <w:jc w:val="center"/>
        <w:ind w:right="-1120"/>
        <w:spacing w:after="0"/>
        <w:rPr>
          <w:sz w:val="20"/>
          <w:szCs w:val="20"/>
          <w:color w:val="auto"/>
        </w:rPr>
      </w:pPr>
      <w:r>
        <w:rPr>
          <w:rFonts w:ascii="Arial" w:cs="Arial" w:eastAsia="Arial" w:hAnsi="Arial"/>
          <w:sz w:val="11"/>
          <w:szCs w:val="11"/>
          <w:b w:val="1"/>
          <w:bCs w:val="1"/>
          <w:color w:val="auto"/>
        </w:rPr>
        <w:t>to be held on May 18, 2023:</w:t>
      </w:r>
    </w:p>
    <w:p>
      <w:pPr>
        <w:spacing w:after="0" w:line="78" w:lineRule="exact"/>
        <w:rPr>
          <w:sz w:val="20"/>
          <w:szCs w:val="20"/>
          <w:color w:val="auto"/>
        </w:rPr>
      </w:pPr>
    </w:p>
    <w:p>
      <w:pPr>
        <w:ind w:left="1980" w:right="879"/>
        <w:spacing w:after="0" w:line="246" w:lineRule="auto"/>
        <w:rPr>
          <w:sz w:val="20"/>
          <w:szCs w:val="20"/>
          <w:color w:val="auto"/>
        </w:rPr>
      </w:pPr>
      <w:r>
        <w:rPr>
          <w:rFonts w:ascii="Arial" w:cs="Arial" w:eastAsia="Arial" w:hAnsi="Arial"/>
          <w:sz w:val="11"/>
          <w:szCs w:val="11"/>
          <w:b w:val="1"/>
          <w:bCs w:val="1"/>
          <w:color w:val="auto"/>
        </w:rPr>
        <w:t>On or about April 3, 2023, we will begin mailing a Notice of Internet Availability of Hasbro’s Proxy Materials to shareholders informing them that this Proxy Statement for the Annual Meeting and the Company’s Annual Report on Form 10-K for the fiscal year ended December 25, 2022 and voting instructions are available, free of charge, at https://investor.hasbro.com/financial-information/annual-meeting. As is more fully described in that Notice, all shareholders may choose to access our proxy materials on the Internet or may request to receive paper copies of the proxy materials.</w:t>
      </w:r>
    </w:p>
    <w:p>
      <w:pPr>
        <w:sectPr>
          <w:pgSz w:w="11900" w:h="16838" w:orient="portrait"/>
          <w:cols w:equalWidth="0" w:num="1">
            <w:col w:w="10159"/>
          </w:cols>
          <w:pgMar w:left="300" w:top="372" w:right="1440"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spacing w:after="0"/>
        <w:rPr>
          <w:sz w:val="20"/>
          <w:szCs w:val="20"/>
          <w:color w:val="auto"/>
        </w:rPr>
      </w:pPr>
      <w:r>
        <w:rPr>
          <w:rFonts w:ascii="Arial" w:cs="Arial" w:eastAsia="Arial" w:hAnsi="Arial"/>
          <w:sz w:val="34"/>
          <w:szCs w:val="34"/>
          <w:color w:val="0060E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99060</wp:posOffset>
            </wp:positionV>
            <wp:extent cx="466344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41" w:lineRule="exact"/>
        <w:rPr>
          <w:sz w:val="20"/>
          <w:szCs w:val="20"/>
          <w:color w:val="auto"/>
        </w:rPr>
      </w:pPr>
    </w:p>
    <w:tbl>
      <w:tblPr>
        <w:tblLayout w:type="fixed"/>
        <w:tblInd w:w="1980" w:type="dxa"/>
        <w:tblCellMar>
          <w:top w:w="0" w:type="dxa"/>
          <w:left w:w="0" w:type="dxa"/>
          <w:bottom w:w="0" w:type="dxa"/>
          <w:right w:w="0" w:type="dxa"/>
        </w:tblCellMar>
      </w:tblPr>
      <w:tr>
        <w:trPr>
          <w:trHeight w:val="184"/>
        </w:trPr>
        <w:tc>
          <w:tcPr>
            <w:tcW w:w="7040" w:type="dxa"/>
            <w:vAlign w:val="bottom"/>
            <w:gridSpan w:val="31"/>
          </w:tcPr>
          <w:p>
            <w:pPr>
              <w:spacing w:after="0"/>
              <w:rPr>
                <w:sz w:val="20"/>
                <w:szCs w:val="20"/>
                <w:color w:val="auto"/>
              </w:rPr>
            </w:pPr>
            <w:r>
              <w:rPr>
                <w:rFonts w:ascii="Arial" w:cs="Arial" w:eastAsia="Arial" w:hAnsi="Arial"/>
                <w:sz w:val="16"/>
                <w:szCs w:val="16"/>
                <w:color w:val="0000EE"/>
              </w:rPr>
              <w:t>PROXY STATEMENT HIGHLIGHTS</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009BDE"/>
              </w:rPr>
              <w:t>i</w:t>
            </w:r>
          </w:p>
        </w:tc>
        <w:tc>
          <w:tcPr>
            <w:tcW w:w="0" w:type="dxa"/>
            <w:vAlign w:val="bottom"/>
          </w:tcPr>
          <w:p>
            <w:pPr>
              <w:spacing w:after="0"/>
              <w:rPr>
                <w:sz w:val="1"/>
                <w:szCs w:val="1"/>
                <w:color w:val="auto"/>
              </w:rPr>
            </w:pPr>
          </w:p>
        </w:tc>
      </w:tr>
      <w:tr>
        <w:trPr>
          <w:trHeight w:val="106"/>
        </w:trPr>
        <w:tc>
          <w:tcPr>
            <w:tcW w:w="260" w:type="dxa"/>
            <w:vAlign w:val="bottom"/>
            <w:tcBorders>
              <w:top w:val="single" w:sz="8" w:color="0000EE"/>
              <w:bottom w:val="single" w:sz="8" w:color="009BDE"/>
            </w:tcBorders>
          </w:tcPr>
          <w:p>
            <w:pPr>
              <w:spacing w:after="0"/>
              <w:rPr>
                <w:sz w:val="9"/>
                <w:szCs w:val="9"/>
                <w:color w:val="auto"/>
              </w:rPr>
            </w:pPr>
          </w:p>
        </w:tc>
        <w:tc>
          <w:tcPr>
            <w:tcW w:w="120" w:type="dxa"/>
            <w:vAlign w:val="bottom"/>
            <w:tcBorders>
              <w:top w:val="single" w:sz="8" w:color="0000EE"/>
              <w:bottom w:val="single" w:sz="8" w:color="009BDE"/>
            </w:tcBorders>
          </w:tcPr>
          <w:p>
            <w:pPr>
              <w:spacing w:after="0"/>
              <w:rPr>
                <w:sz w:val="9"/>
                <w:szCs w:val="9"/>
                <w:color w:val="auto"/>
              </w:rPr>
            </w:pPr>
          </w:p>
        </w:tc>
        <w:tc>
          <w:tcPr>
            <w:tcW w:w="460" w:type="dxa"/>
            <w:vAlign w:val="bottom"/>
            <w:tcBorders>
              <w:top w:val="single" w:sz="8" w:color="0000EE"/>
              <w:bottom w:val="single" w:sz="8" w:color="009BDE"/>
            </w:tcBorders>
          </w:tcPr>
          <w:p>
            <w:pPr>
              <w:spacing w:after="0"/>
              <w:rPr>
                <w:sz w:val="9"/>
                <w:szCs w:val="9"/>
                <w:color w:val="auto"/>
              </w:rPr>
            </w:pPr>
          </w:p>
        </w:tc>
        <w:tc>
          <w:tcPr>
            <w:tcW w:w="540" w:type="dxa"/>
            <w:vAlign w:val="bottom"/>
            <w:tcBorders>
              <w:top w:val="single" w:sz="8" w:color="0000EE"/>
              <w:bottom w:val="single" w:sz="8" w:color="009BDE"/>
            </w:tcBorders>
          </w:tcPr>
          <w:p>
            <w:pPr>
              <w:spacing w:after="0"/>
              <w:rPr>
                <w:sz w:val="9"/>
                <w:szCs w:val="9"/>
                <w:color w:val="auto"/>
              </w:rPr>
            </w:pPr>
          </w:p>
        </w:tc>
        <w:tc>
          <w:tcPr>
            <w:tcW w:w="220" w:type="dxa"/>
            <w:vAlign w:val="bottom"/>
            <w:tcBorders>
              <w:top w:val="single" w:sz="8" w:color="0000EE"/>
              <w:bottom w:val="single" w:sz="8" w:color="009BDE"/>
            </w:tcBorders>
          </w:tcPr>
          <w:p>
            <w:pPr>
              <w:spacing w:after="0"/>
              <w:rPr>
                <w:sz w:val="9"/>
                <w:szCs w:val="9"/>
                <w:color w:val="auto"/>
              </w:rPr>
            </w:pPr>
          </w:p>
        </w:tc>
        <w:tc>
          <w:tcPr>
            <w:tcW w:w="120" w:type="dxa"/>
            <w:vAlign w:val="bottom"/>
            <w:tcBorders>
              <w:top w:val="single" w:sz="8" w:color="0000EE"/>
              <w:bottom w:val="single" w:sz="8" w:color="009BDE"/>
            </w:tcBorders>
          </w:tcPr>
          <w:p>
            <w:pPr>
              <w:spacing w:after="0"/>
              <w:rPr>
                <w:sz w:val="9"/>
                <w:szCs w:val="9"/>
                <w:color w:val="auto"/>
              </w:rPr>
            </w:pPr>
          </w:p>
        </w:tc>
        <w:tc>
          <w:tcPr>
            <w:tcW w:w="280" w:type="dxa"/>
            <w:vAlign w:val="bottom"/>
            <w:tcBorders>
              <w:top w:val="single" w:sz="8" w:color="0000EE"/>
              <w:bottom w:val="single" w:sz="8" w:color="009BDE"/>
            </w:tcBorders>
          </w:tcPr>
          <w:p>
            <w:pPr>
              <w:spacing w:after="0"/>
              <w:rPr>
                <w:sz w:val="9"/>
                <w:szCs w:val="9"/>
                <w:color w:val="auto"/>
              </w:rPr>
            </w:pPr>
          </w:p>
        </w:tc>
        <w:tc>
          <w:tcPr>
            <w:tcW w:w="60" w:type="dxa"/>
            <w:vAlign w:val="bottom"/>
            <w:tcBorders>
              <w:top w:val="single" w:sz="8" w:color="0000EE"/>
              <w:bottom w:val="single" w:sz="8" w:color="009BDE"/>
            </w:tcBorders>
          </w:tcPr>
          <w:p>
            <w:pPr>
              <w:spacing w:after="0"/>
              <w:rPr>
                <w:sz w:val="9"/>
                <w:szCs w:val="9"/>
                <w:color w:val="auto"/>
              </w:rPr>
            </w:pPr>
          </w:p>
        </w:tc>
        <w:tc>
          <w:tcPr>
            <w:tcW w:w="260" w:type="dxa"/>
            <w:vAlign w:val="bottom"/>
            <w:tcBorders>
              <w:top w:val="single" w:sz="8" w:color="0000EE"/>
              <w:bottom w:val="single" w:sz="8" w:color="009BDE"/>
            </w:tcBorders>
          </w:tcPr>
          <w:p>
            <w:pPr>
              <w:spacing w:after="0"/>
              <w:rPr>
                <w:sz w:val="9"/>
                <w:szCs w:val="9"/>
                <w:color w:val="auto"/>
              </w:rPr>
            </w:pPr>
          </w:p>
        </w:tc>
        <w:tc>
          <w:tcPr>
            <w:tcW w:w="180" w:type="dxa"/>
            <w:vAlign w:val="bottom"/>
            <w:tcBorders>
              <w:top w:val="single" w:sz="8" w:color="0000EE"/>
              <w:bottom w:val="single" w:sz="8" w:color="009BDE"/>
            </w:tcBorders>
          </w:tcPr>
          <w:p>
            <w:pPr>
              <w:spacing w:after="0"/>
              <w:rPr>
                <w:sz w:val="9"/>
                <w:szCs w:val="9"/>
                <w:color w:val="auto"/>
              </w:rPr>
            </w:pPr>
          </w:p>
        </w:tc>
        <w:tc>
          <w:tcPr>
            <w:tcW w:w="20" w:type="dxa"/>
            <w:vAlign w:val="bottom"/>
            <w:tcBorders>
              <w:bottom w:val="single" w:sz="8" w:color="009BDE"/>
            </w:tcBorders>
          </w:tcPr>
          <w:p>
            <w:pPr>
              <w:spacing w:after="0"/>
              <w:rPr>
                <w:sz w:val="9"/>
                <w:szCs w:val="9"/>
                <w:color w:val="auto"/>
              </w:rPr>
            </w:pPr>
          </w:p>
        </w:tc>
        <w:tc>
          <w:tcPr>
            <w:tcW w:w="20" w:type="dxa"/>
            <w:vAlign w:val="bottom"/>
            <w:tcBorders>
              <w:bottom w:val="single" w:sz="8" w:color="009BDE"/>
            </w:tcBorders>
          </w:tcPr>
          <w:p>
            <w:pPr>
              <w:spacing w:after="0"/>
              <w:rPr>
                <w:sz w:val="9"/>
                <w:szCs w:val="9"/>
                <w:color w:val="auto"/>
              </w:rPr>
            </w:pPr>
          </w:p>
        </w:tc>
        <w:tc>
          <w:tcPr>
            <w:tcW w:w="340" w:type="dxa"/>
            <w:vAlign w:val="bottom"/>
            <w:tcBorders>
              <w:bottom w:val="single" w:sz="8" w:color="009BDE"/>
            </w:tcBorders>
          </w:tcPr>
          <w:p>
            <w:pPr>
              <w:spacing w:after="0"/>
              <w:rPr>
                <w:sz w:val="9"/>
                <w:szCs w:val="9"/>
                <w:color w:val="auto"/>
              </w:rPr>
            </w:pPr>
          </w:p>
        </w:tc>
        <w:tc>
          <w:tcPr>
            <w:tcW w:w="40" w:type="dxa"/>
            <w:vAlign w:val="bottom"/>
            <w:tcBorders>
              <w:bottom w:val="single" w:sz="8" w:color="009BDE"/>
            </w:tcBorders>
          </w:tcPr>
          <w:p>
            <w:pPr>
              <w:spacing w:after="0"/>
              <w:rPr>
                <w:sz w:val="9"/>
                <w:szCs w:val="9"/>
                <w:color w:val="auto"/>
              </w:rPr>
            </w:pPr>
          </w:p>
        </w:tc>
        <w:tc>
          <w:tcPr>
            <w:tcW w:w="40" w:type="dxa"/>
            <w:vAlign w:val="bottom"/>
            <w:tcBorders>
              <w:bottom w:val="single" w:sz="8" w:color="009BDE"/>
            </w:tcBorders>
          </w:tcPr>
          <w:p>
            <w:pPr>
              <w:spacing w:after="0"/>
              <w:rPr>
                <w:sz w:val="9"/>
                <w:szCs w:val="9"/>
                <w:color w:val="auto"/>
              </w:rPr>
            </w:pPr>
          </w:p>
        </w:tc>
        <w:tc>
          <w:tcPr>
            <w:tcW w:w="80" w:type="dxa"/>
            <w:vAlign w:val="bottom"/>
            <w:tcBorders>
              <w:bottom w:val="single" w:sz="8" w:color="009BDE"/>
            </w:tcBorders>
          </w:tcPr>
          <w:p>
            <w:pPr>
              <w:spacing w:after="0"/>
              <w:rPr>
                <w:sz w:val="9"/>
                <w:szCs w:val="9"/>
                <w:color w:val="auto"/>
              </w:rPr>
            </w:pPr>
          </w:p>
        </w:tc>
        <w:tc>
          <w:tcPr>
            <w:tcW w:w="20" w:type="dxa"/>
            <w:vAlign w:val="bottom"/>
            <w:tcBorders>
              <w:bottom w:val="single" w:sz="8" w:color="009BDE"/>
            </w:tcBorders>
          </w:tcPr>
          <w:p>
            <w:pPr>
              <w:spacing w:after="0"/>
              <w:rPr>
                <w:sz w:val="9"/>
                <w:szCs w:val="9"/>
                <w:color w:val="auto"/>
              </w:rPr>
            </w:pPr>
          </w:p>
        </w:tc>
        <w:tc>
          <w:tcPr>
            <w:tcW w:w="360" w:type="dxa"/>
            <w:vAlign w:val="bottom"/>
            <w:tcBorders>
              <w:bottom w:val="single" w:sz="8" w:color="009BDE"/>
            </w:tcBorders>
          </w:tcPr>
          <w:p>
            <w:pPr>
              <w:spacing w:after="0"/>
              <w:rPr>
                <w:sz w:val="9"/>
                <w:szCs w:val="9"/>
                <w:color w:val="auto"/>
              </w:rPr>
            </w:pPr>
          </w:p>
        </w:tc>
        <w:tc>
          <w:tcPr>
            <w:tcW w:w="160" w:type="dxa"/>
            <w:vAlign w:val="bottom"/>
            <w:tcBorders>
              <w:bottom w:val="single" w:sz="8" w:color="009BDE"/>
            </w:tcBorders>
          </w:tcPr>
          <w:p>
            <w:pPr>
              <w:spacing w:after="0"/>
              <w:rPr>
                <w:sz w:val="9"/>
                <w:szCs w:val="9"/>
                <w:color w:val="auto"/>
              </w:rPr>
            </w:pPr>
          </w:p>
        </w:tc>
        <w:tc>
          <w:tcPr>
            <w:tcW w:w="20" w:type="dxa"/>
            <w:vAlign w:val="bottom"/>
            <w:tcBorders>
              <w:bottom w:val="single" w:sz="8" w:color="009BDE"/>
            </w:tcBorders>
          </w:tcPr>
          <w:p>
            <w:pPr>
              <w:spacing w:after="0"/>
              <w:rPr>
                <w:sz w:val="9"/>
                <w:szCs w:val="9"/>
                <w:color w:val="auto"/>
              </w:rPr>
            </w:pPr>
          </w:p>
        </w:tc>
        <w:tc>
          <w:tcPr>
            <w:tcW w:w="120" w:type="dxa"/>
            <w:vAlign w:val="bottom"/>
            <w:tcBorders>
              <w:bottom w:val="single" w:sz="8" w:color="009BDE"/>
            </w:tcBorders>
          </w:tcPr>
          <w:p>
            <w:pPr>
              <w:spacing w:after="0"/>
              <w:rPr>
                <w:sz w:val="9"/>
                <w:szCs w:val="9"/>
                <w:color w:val="auto"/>
              </w:rPr>
            </w:pPr>
          </w:p>
        </w:tc>
        <w:tc>
          <w:tcPr>
            <w:tcW w:w="660" w:type="dxa"/>
            <w:vAlign w:val="bottom"/>
            <w:tcBorders>
              <w:bottom w:val="single" w:sz="8" w:color="009BDE"/>
            </w:tcBorders>
          </w:tcPr>
          <w:p>
            <w:pPr>
              <w:spacing w:after="0"/>
              <w:rPr>
                <w:sz w:val="9"/>
                <w:szCs w:val="9"/>
                <w:color w:val="auto"/>
              </w:rPr>
            </w:pPr>
          </w:p>
        </w:tc>
        <w:tc>
          <w:tcPr>
            <w:tcW w:w="180" w:type="dxa"/>
            <w:vAlign w:val="bottom"/>
            <w:tcBorders>
              <w:bottom w:val="single" w:sz="8" w:color="009BDE"/>
            </w:tcBorders>
          </w:tcPr>
          <w:p>
            <w:pPr>
              <w:spacing w:after="0"/>
              <w:rPr>
                <w:sz w:val="9"/>
                <w:szCs w:val="9"/>
                <w:color w:val="auto"/>
              </w:rPr>
            </w:pPr>
          </w:p>
        </w:tc>
        <w:tc>
          <w:tcPr>
            <w:tcW w:w="620" w:type="dxa"/>
            <w:vAlign w:val="bottom"/>
            <w:tcBorders>
              <w:bottom w:val="single" w:sz="8" w:color="009BDE"/>
            </w:tcBorders>
          </w:tcPr>
          <w:p>
            <w:pPr>
              <w:spacing w:after="0"/>
              <w:rPr>
                <w:sz w:val="9"/>
                <w:szCs w:val="9"/>
                <w:color w:val="auto"/>
              </w:rPr>
            </w:pPr>
          </w:p>
        </w:tc>
        <w:tc>
          <w:tcPr>
            <w:tcW w:w="440" w:type="dxa"/>
            <w:vAlign w:val="bottom"/>
            <w:tcBorders>
              <w:bottom w:val="single" w:sz="8" w:color="009BDE"/>
            </w:tcBorders>
          </w:tcPr>
          <w:p>
            <w:pPr>
              <w:spacing w:after="0"/>
              <w:rPr>
                <w:sz w:val="9"/>
                <w:szCs w:val="9"/>
                <w:color w:val="auto"/>
              </w:rPr>
            </w:pPr>
          </w:p>
        </w:tc>
        <w:tc>
          <w:tcPr>
            <w:tcW w:w="580" w:type="dxa"/>
            <w:vAlign w:val="bottom"/>
            <w:tcBorders>
              <w:bottom w:val="single" w:sz="8" w:color="009BDE"/>
            </w:tcBorders>
          </w:tcPr>
          <w:p>
            <w:pPr>
              <w:spacing w:after="0"/>
              <w:rPr>
                <w:sz w:val="9"/>
                <w:szCs w:val="9"/>
                <w:color w:val="auto"/>
              </w:rPr>
            </w:pPr>
          </w:p>
        </w:tc>
        <w:tc>
          <w:tcPr>
            <w:tcW w:w="160" w:type="dxa"/>
            <w:vAlign w:val="bottom"/>
            <w:tcBorders>
              <w:bottom w:val="single" w:sz="8" w:color="009BDE"/>
            </w:tcBorders>
          </w:tcPr>
          <w:p>
            <w:pPr>
              <w:spacing w:after="0"/>
              <w:rPr>
                <w:sz w:val="9"/>
                <w:szCs w:val="9"/>
                <w:color w:val="auto"/>
              </w:rPr>
            </w:pPr>
          </w:p>
        </w:tc>
        <w:tc>
          <w:tcPr>
            <w:tcW w:w="420" w:type="dxa"/>
            <w:vAlign w:val="bottom"/>
            <w:tcBorders>
              <w:bottom w:val="single" w:sz="8" w:color="009BDE"/>
            </w:tcBorders>
          </w:tcPr>
          <w:p>
            <w:pPr>
              <w:spacing w:after="0"/>
              <w:rPr>
                <w:sz w:val="9"/>
                <w:szCs w:val="9"/>
                <w:color w:val="auto"/>
              </w:rPr>
            </w:pPr>
          </w:p>
        </w:tc>
        <w:tc>
          <w:tcPr>
            <w:tcW w:w="20" w:type="dxa"/>
            <w:vAlign w:val="bottom"/>
            <w:tcBorders>
              <w:bottom w:val="single" w:sz="8" w:color="009BDE"/>
            </w:tcBorders>
          </w:tcPr>
          <w:p>
            <w:pPr>
              <w:spacing w:after="0"/>
              <w:rPr>
                <w:sz w:val="9"/>
                <w:szCs w:val="9"/>
                <w:color w:val="auto"/>
              </w:rPr>
            </w:pPr>
          </w:p>
        </w:tc>
        <w:tc>
          <w:tcPr>
            <w:tcW w:w="160" w:type="dxa"/>
            <w:vAlign w:val="bottom"/>
            <w:tcBorders>
              <w:bottom w:val="single" w:sz="8" w:color="009BDE"/>
            </w:tcBorders>
          </w:tcPr>
          <w:p>
            <w:pPr>
              <w:spacing w:after="0"/>
              <w:rPr>
                <w:sz w:val="9"/>
                <w:szCs w:val="9"/>
                <w:color w:val="auto"/>
              </w:rPr>
            </w:pPr>
          </w:p>
        </w:tc>
        <w:tc>
          <w:tcPr>
            <w:tcW w:w="80" w:type="dxa"/>
            <w:vAlign w:val="bottom"/>
            <w:tcBorders>
              <w:bottom w:val="single" w:sz="8" w:color="009BDE"/>
            </w:tcBorders>
          </w:tcPr>
          <w:p>
            <w:pPr>
              <w:spacing w:after="0"/>
              <w:rPr>
                <w:sz w:val="9"/>
                <w:szCs w:val="9"/>
                <w:color w:val="auto"/>
              </w:rPr>
            </w:pPr>
          </w:p>
        </w:tc>
        <w:tc>
          <w:tcPr>
            <w:tcW w:w="300" w:type="dxa"/>
            <w:vAlign w:val="bottom"/>
            <w:tcBorders>
              <w:bottom w:val="single" w:sz="8" w:color="009BDE"/>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7040" w:type="dxa"/>
            <w:vAlign w:val="bottom"/>
            <w:gridSpan w:val="31"/>
          </w:tcPr>
          <w:p>
            <w:pPr>
              <w:spacing w:after="0" w:line="169" w:lineRule="exact"/>
              <w:rPr>
                <w:sz w:val="20"/>
                <w:szCs w:val="20"/>
                <w:color w:val="auto"/>
              </w:rPr>
            </w:pPr>
            <w:r>
              <w:rPr>
                <w:rFonts w:ascii="Arial" w:cs="Arial" w:eastAsia="Arial" w:hAnsi="Arial"/>
                <w:sz w:val="16"/>
                <w:szCs w:val="16"/>
                <w:color w:val="0000EE"/>
              </w:rPr>
              <w:t>ELECTION OF DIRECTORS (Proposal 1)</w:t>
            </w:r>
          </w:p>
        </w:tc>
        <w:tc>
          <w:tcPr>
            <w:tcW w:w="300" w:type="dxa"/>
            <w:vAlign w:val="bottom"/>
          </w:tcPr>
          <w:p>
            <w:pPr>
              <w:jc w:val="right"/>
              <w:spacing w:after="0" w:line="169" w:lineRule="exact"/>
              <w:rPr>
                <w:sz w:val="20"/>
                <w:szCs w:val="20"/>
                <w:color w:val="auto"/>
              </w:rPr>
            </w:pPr>
            <w:r>
              <w:rPr>
                <w:rFonts w:ascii="Arial" w:cs="Arial" w:eastAsia="Arial" w:hAnsi="Arial"/>
                <w:sz w:val="16"/>
                <w:szCs w:val="16"/>
                <w:b w:val="1"/>
                <w:bCs w:val="1"/>
                <w:color w:val="009BDE"/>
              </w:rPr>
              <w:t>1</w:t>
            </w:r>
          </w:p>
        </w:tc>
        <w:tc>
          <w:tcPr>
            <w:tcW w:w="0" w:type="dxa"/>
            <w:vAlign w:val="bottom"/>
          </w:tcPr>
          <w:p>
            <w:pPr>
              <w:spacing w:after="0"/>
              <w:rPr>
                <w:sz w:val="1"/>
                <w:szCs w:val="1"/>
                <w:color w:val="auto"/>
              </w:rPr>
            </w:pPr>
          </w:p>
        </w:tc>
      </w:tr>
      <w:tr>
        <w:trPr>
          <w:trHeight w:val="106"/>
        </w:trPr>
        <w:tc>
          <w:tcPr>
            <w:tcW w:w="260" w:type="dxa"/>
            <w:vAlign w:val="bottom"/>
            <w:tcBorders>
              <w:top w:val="single" w:sz="8" w:color="0000EE"/>
              <w:bottom w:val="single" w:sz="8" w:color="009BDE"/>
            </w:tcBorders>
          </w:tcPr>
          <w:p>
            <w:pPr>
              <w:spacing w:after="0"/>
              <w:rPr>
                <w:sz w:val="9"/>
                <w:szCs w:val="9"/>
                <w:color w:val="auto"/>
              </w:rPr>
            </w:pPr>
          </w:p>
        </w:tc>
        <w:tc>
          <w:tcPr>
            <w:tcW w:w="120" w:type="dxa"/>
            <w:vAlign w:val="bottom"/>
            <w:tcBorders>
              <w:top w:val="single" w:sz="8" w:color="0000EE"/>
              <w:bottom w:val="single" w:sz="8" w:color="009BDE"/>
            </w:tcBorders>
          </w:tcPr>
          <w:p>
            <w:pPr>
              <w:spacing w:after="0"/>
              <w:rPr>
                <w:sz w:val="9"/>
                <w:szCs w:val="9"/>
                <w:color w:val="auto"/>
              </w:rPr>
            </w:pPr>
          </w:p>
        </w:tc>
        <w:tc>
          <w:tcPr>
            <w:tcW w:w="460" w:type="dxa"/>
            <w:vAlign w:val="bottom"/>
            <w:tcBorders>
              <w:top w:val="single" w:sz="8" w:color="0000EE"/>
              <w:bottom w:val="single" w:sz="8" w:color="009BDE"/>
            </w:tcBorders>
          </w:tcPr>
          <w:p>
            <w:pPr>
              <w:spacing w:after="0"/>
              <w:rPr>
                <w:sz w:val="9"/>
                <w:szCs w:val="9"/>
                <w:color w:val="auto"/>
              </w:rPr>
            </w:pPr>
          </w:p>
        </w:tc>
        <w:tc>
          <w:tcPr>
            <w:tcW w:w="540" w:type="dxa"/>
            <w:vAlign w:val="bottom"/>
            <w:tcBorders>
              <w:top w:val="single" w:sz="8" w:color="0000EE"/>
              <w:bottom w:val="single" w:sz="8" w:color="009BDE"/>
            </w:tcBorders>
          </w:tcPr>
          <w:p>
            <w:pPr>
              <w:spacing w:after="0"/>
              <w:rPr>
                <w:sz w:val="9"/>
                <w:szCs w:val="9"/>
                <w:color w:val="auto"/>
              </w:rPr>
            </w:pPr>
          </w:p>
        </w:tc>
        <w:tc>
          <w:tcPr>
            <w:tcW w:w="220" w:type="dxa"/>
            <w:vAlign w:val="bottom"/>
            <w:tcBorders>
              <w:top w:val="single" w:sz="8" w:color="0000EE"/>
              <w:bottom w:val="single" w:sz="8" w:color="009BDE"/>
            </w:tcBorders>
          </w:tcPr>
          <w:p>
            <w:pPr>
              <w:spacing w:after="0"/>
              <w:rPr>
                <w:sz w:val="9"/>
                <w:szCs w:val="9"/>
                <w:color w:val="auto"/>
              </w:rPr>
            </w:pPr>
          </w:p>
        </w:tc>
        <w:tc>
          <w:tcPr>
            <w:tcW w:w="120" w:type="dxa"/>
            <w:vAlign w:val="bottom"/>
            <w:tcBorders>
              <w:top w:val="single" w:sz="8" w:color="0000EE"/>
              <w:bottom w:val="single" w:sz="8" w:color="009BDE"/>
            </w:tcBorders>
          </w:tcPr>
          <w:p>
            <w:pPr>
              <w:spacing w:after="0"/>
              <w:rPr>
                <w:sz w:val="9"/>
                <w:szCs w:val="9"/>
                <w:color w:val="auto"/>
              </w:rPr>
            </w:pPr>
          </w:p>
        </w:tc>
        <w:tc>
          <w:tcPr>
            <w:tcW w:w="280" w:type="dxa"/>
            <w:vAlign w:val="bottom"/>
            <w:tcBorders>
              <w:top w:val="single" w:sz="8" w:color="0000EE"/>
              <w:bottom w:val="single" w:sz="8" w:color="009BDE"/>
            </w:tcBorders>
          </w:tcPr>
          <w:p>
            <w:pPr>
              <w:spacing w:after="0"/>
              <w:rPr>
                <w:sz w:val="9"/>
                <w:szCs w:val="9"/>
                <w:color w:val="auto"/>
              </w:rPr>
            </w:pPr>
          </w:p>
        </w:tc>
        <w:tc>
          <w:tcPr>
            <w:tcW w:w="60" w:type="dxa"/>
            <w:vAlign w:val="bottom"/>
            <w:tcBorders>
              <w:top w:val="single" w:sz="8" w:color="0000EE"/>
              <w:bottom w:val="single" w:sz="8" w:color="009BDE"/>
            </w:tcBorders>
          </w:tcPr>
          <w:p>
            <w:pPr>
              <w:spacing w:after="0"/>
              <w:rPr>
                <w:sz w:val="9"/>
                <w:szCs w:val="9"/>
                <w:color w:val="auto"/>
              </w:rPr>
            </w:pPr>
          </w:p>
        </w:tc>
        <w:tc>
          <w:tcPr>
            <w:tcW w:w="260" w:type="dxa"/>
            <w:vAlign w:val="bottom"/>
            <w:tcBorders>
              <w:top w:val="single" w:sz="8" w:color="0000EE"/>
              <w:bottom w:val="single" w:sz="8" w:color="009BDE"/>
            </w:tcBorders>
          </w:tcPr>
          <w:p>
            <w:pPr>
              <w:spacing w:after="0"/>
              <w:rPr>
                <w:sz w:val="9"/>
                <w:szCs w:val="9"/>
                <w:color w:val="auto"/>
              </w:rPr>
            </w:pPr>
          </w:p>
        </w:tc>
        <w:tc>
          <w:tcPr>
            <w:tcW w:w="180" w:type="dxa"/>
            <w:vAlign w:val="bottom"/>
            <w:tcBorders>
              <w:top w:val="single" w:sz="8" w:color="0000EE"/>
              <w:bottom w:val="single" w:sz="8" w:color="009BDE"/>
            </w:tcBorders>
          </w:tcPr>
          <w:p>
            <w:pPr>
              <w:spacing w:after="0"/>
              <w:rPr>
                <w:sz w:val="9"/>
                <w:szCs w:val="9"/>
                <w:color w:val="auto"/>
              </w:rPr>
            </w:pPr>
          </w:p>
        </w:tc>
        <w:tc>
          <w:tcPr>
            <w:tcW w:w="20" w:type="dxa"/>
            <w:vAlign w:val="bottom"/>
            <w:tcBorders>
              <w:top w:val="single" w:sz="8" w:color="0000EE"/>
              <w:bottom w:val="single" w:sz="8" w:color="009BDE"/>
            </w:tcBorders>
          </w:tcPr>
          <w:p>
            <w:pPr>
              <w:spacing w:after="0"/>
              <w:rPr>
                <w:sz w:val="9"/>
                <w:szCs w:val="9"/>
                <w:color w:val="auto"/>
              </w:rPr>
            </w:pPr>
          </w:p>
        </w:tc>
        <w:tc>
          <w:tcPr>
            <w:tcW w:w="20" w:type="dxa"/>
            <w:vAlign w:val="bottom"/>
            <w:tcBorders>
              <w:top w:val="single" w:sz="8" w:color="0000EE"/>
              <w:bottom w:val="single" w:sz="8" w:color="009BDE"/>
            </w:tcBorders>
          </w:tcPr>
          <w:p>
            <w:pPr>
              <w:spacing w:after="0"/>
              <w:rPr>
                <w:sz w:val="9"/>
                <w:szCs w:val="9"/>
                <w:color w:val="auto"/>
              </w:rPr>
            </w:pPr>
          </w:p>
        </w:tc>
        <w:tc>
          <w:tcPr>
            <w:tcW w:w="340" w:type="dxa"/>
            <w:vAlign w:val="bottom"/>
            <w:tcBorders>
              <w:top w:val="single" w:sz="8" w:color="0000EE"/>
              <w:bottom w:val="single" w:sz="8" w:color="009BDE"/>
            </w:tcBorders>
          </w:tcPr>
          <w:p>
            <w:pPr>
              <w:spacing w:after="0"/>
              <w:rPr>
                <w:sz w:val="9"/>
                <w:szCs w:val="9"/>
                <w:color w:val="auto"/>
              </w:rPr>
            </w:pPr>
          </w:p>
        </w:tc>
        <w:tc>
          <w:tcPr>
            <w:tcW w:w="40" w:type="dxa"/>
            <w:vAlign w:val="bottom"/>
            <w:tcBorders>
              <w:bottom w:val="single" w:sz="8" w:color="009BDE"/>
            </w:tcBorders>
          </w:tcPr>
          <w:p>
            <w:pPr>
              <w:spacing w:after="0"/>
              <w:rPr>
                <w:sz w:val="9"/>
                <w:szCs w:val="9"/>
                <w:color w:val="auto"/>
              </w:rPr>
            </w:pPr>
          </w:p>
        </w:tc>
        <w:tc>
          <w:tcPr>
            <w:tcW w:w="40" w:type="dxa"/>
            <w:vAlign w:val="bottom"/>
            <w:tcBorders>
              <w:bottom w:val="single" w:sz="8" w:color="009BDE"/>
            </w:tcBorders>
          </w:tcPr>
          <w:p>
            <w:pPr>
              <w:spacing w:after="0"/>
              <w:rPr>
                <w:sz w:val="9"/>
                <w:szCs w:val="9"/>
                <w:color w:val="auto"/>
              </w:rPr>
            </w:pPr>
          </w:p>
        </w:tc>
        <w:tc>
          <w:tcPr>
            <w:tcW w:w="80" w:type="dxa"/>
            <w:vAlign w:val="bottom"/>
            <w:tcBorders>
              <w:bottom w:val="single" w:sz="8" w:color="009BDE"/>
            </w:tcBorders>
          </w:tcPr>
          <w:p>
            <w:pPr>
              <w:spacing w:after="0"/>
              <w:rPr>
                <w:sz w:val="9"/>
                <w:szCs w:val="9"/>
                <w:color w:val="auto"/>
              </w:rPr>
            </w:pPr>
          </w:p>
        </w:tc>
        <w:tc>
          <w:tcPr>
            <w:tcW w:w="20" w:type="dxa"/>
            <w:vAlign w:val="bottom"/>
            <w:tcBorders>
              <w:bottom w:val="single" w:sz="8" w:color="009BDE"/>
            </w:tcBorders>
          </w:tcPr>
          <w:p>
            <w:pPr>
              <w:spacing w:after="0"/>
              <w:rPr>
                <w:sz w:val="9"/>
                <w:szCs w:val="9"/>
                <w:color w:val="auto"/>
              </w:rPr>
            </w:pPr>
          </w:p>
        </w:tc>
        <w:tc>
          <w:tcPr>
            <w:tcW w:w="360" w:type="dxa"/>
            <w:vAlign w:val="bottom"/>
            <w:tcBorders>
              <w:bottom w:val="single" w:sz="8" w:color="009BDE"/>
            </w:tcBorders>
          </w:tcPr>
          <w:p>
            <w:pPr>
              <w:spacing w:after="0"/>
              <w:rPr>
                <w:sz w:val="9"/>
                <w:szCs w:val="9"/>
                <w:color w:val="auto"/>
              </w:rPr>
            </w:pPr>
          </w:p>
        </w:tc>
        <w:tc>
          <w:tcPr>
            <w:tcW w:w="160" w:type="dxa"/>
            <w:vAlign w:val="bottom"/>
            <w:tcBorders>
              <w:bottom w:val="single" w:sz="8" w:color="009BDE"/>
            </w:tcBorders>
          </w:tcPr>
          <w:p>
            <w:pPr>
              <w:spacing w:after="0"/>
              <w:rPr>
                <w:sz w:val="9"/>
                <w:szCs w:val="9"/>
                <w:color w:val="auto"/>
              </w:rPr>
            </w:pPr>
          </w:p>
        </w:tc>
        <w:tc>
          <w:tcPr>
            <w:tcW w:w="20" w:type="dxa"/>
            <w:vAlign w:val="bottom"/>
            <w:tcBorders>
              <w:bottom w:val="single" w:sz="8" w:color="009BDE"/>
            </w:tcBorders>
          </w:tcPr>
          <w:p>
            <w:pPr>
              <w:spacing w:after="0"/>
              <w:rPr>
                <w:sz w:val="9"/>
                <w:szCs w:val="9"/>
                <w:color w:val="auto"/>
              </w:rPr>
            </w:pPr>
          </w:p>
        </w:tc>
        <w:tc>
          <w:tcPr>
            <w:tcW w:w="120" w:type="dxa"/>
            <w:vAlign w:val="bottom"/>
            <w:tcBorders>
              <w:bottom w:val="single" w:sz="8" w:color="009BDE"/>
            </w:tcBorders>
          </w:tcPr>
          <w:p>
            <w:pPr>
              <w:spacing w:after="0"/>
              <w:rPr>
                <w:sz w:val="9"/>
                <w:szCs w:val="9"/>
                <w:color w:val="auto"/>
              </w:rPr>
            </w:pPr>
          </w:p>
        </w:tc>
        <w:tc>
          <w:tcPr>
            <w:tcW w:w="660" w:type="dxa"/>
            <w:vAlign w:val="bottom"/>
            <w:tcBorders>
              <w:bottom w:val="single" w:sz="8" w:color="009BDE"/>
            </w:tcBorders>
          </w:tcPr>
          <w:p>
            <w:pPr>
              <w:spacing w:after="0"/>
              <w:rPr>
                <w:sz w:val="9"/>
                <w:szCs w:val="9"/>
                <w:color w:val="auto"/>
              </w:rPr>
            </w:pPr>
          </w:p>
        </w:tc>
        <w:tc>
          <w:tcPr>
            <w:tcW w:w="180" w:type="dxa"/>
            <w:vAlign w:val="bottom"/>
            <w:tcBorders>
              <w:bottom w:val="single" w:sz="8" w:color="009BDE"/>
            </w:tcBorders>
          </w:tcPr>
          <w:p>
            <w:pPr>
              <w:spacing w:after="0"/>
              <w:rPr>
                <w:sz w:val="9"/>
                <w:szCs w:val="9"/>
                <w:color w:val="auto"/>
              </w:rPr>
            </w:pPr>
          </w:p>
        </w:tc>
        <w:tc>
          <w:tcPr>
            <w:tcW w:w="620" w:type="dxa"/>
            <w:vAlign w:val="bottom"/>
            <w:tcBorders>
              <w:bottom w:val="single" w:sz="8" w:color="009BDE"/>
            </w:tcBorders>
          </w:tcPr>
          <w:p>
            <w:pPr>
              <w:spacing w:after="0"/>
              <w:rPr>
                <w:sz w:val="9"/>
                <w:szCs w:val="9"/>
                <w:color w:val="auto"/>
              </w:rPr>
            </w:pPr>
          </w:p>
        </w:tc>
        <w:tc>
          <w:tcPr>
            <w:tcW w:w="440" w:type="dxa"/>
            <w:vAlign w:val="bottom"/>
            <w:tcBorders>
              <w:bottom w:val="single" w:sz="8" w:color="009BDE"/>
            </w:tcBorders>
          </w:tcPr>
          <w:p>
            <w:pPr>
              <w:spacing w:after="0"/>
              <w:rPr>
                <w:sz w:val="9"/>
                <w:szCs w:val="9"/>
                <w:color w:val="auto"/>
              </w:rPr>
            </w:pPr>
          </w:p>
        </w:tc>
        <w:tc>
          <w:tcPr>
            <w:tcW w:w="580" w:type="dxa"/>
            <w:vAlign w:val="bottom"/>
            <w:tcBorders>
              <w:bottom w:val="single" w:sz="8" w:color="009BDE"/>
            </w:tcBorders>
          </w:tcPr>
          <w:p>
            <w:pPr>
              <w:spacing w:after="0"/>
              <w:rPr>
                <w:sz w:val="9"/>
                <w:szCs w:val="9"/>
                <w:color w:val="auto"/>
              </w:rPr>
            </w:pPr>
          </w:p>
        </w:tc>
        <w:tc>
          <w:tcPr>
            <w:tcW w:w="160" w:type="dxa"/>
            <w:vAlign w:val="bottom"/>
            <w:tcBorders>
              <w:bottom w:val="single" w:sz="8" w:color="009BDE"/>
            </w:tcBorders>
          </w:tcPr>
          <w:p>
            <w:pPr>
              <w:spacing w:after="0"/>
              <w:rPr>
                <w:sz w:val="9"/>
                <w:szCs w:val="9"/>
                <w:color w:val="auto"/>
              </w:rPr>
            </w:pPr>
          </w:p>
        </w:tc>
        <w:tc>
          <w:tcPr>
            <w:tcW w:w="420" w:type="dxa"/>
            <w:vAlign w:val="bottom"/>
            <w:tcBorders>
              <w:bottom w:val="single" w:sz="8" w:color="009BDE"/>
            </w:tcBorders>
          </w:tcPr>
          <w:p>
            <w:pPr>
              <w:spacing w:after="0"/>
              <w:rPr>
                <w:sz w:val="9"/>
                <w:szCs w:val="9"/>
                <w:color w:val="auto"/>
              </w:rPr>
            </w:pPr>
          </w:p>
        </w:tc>
        <w:tc>
          <w:tcPr>
            <w:tcW w:w="20" w:type="dxa"/>
            <w:vAlign w:val="bottom"/>
            <w:tcBorders>
              <w:bottom w:val="single" w:sz="8" w:color="009BDE"/>
            </w:tcBorders>
          </w:tcPr>
          <w:p>
            <w:pPr>
              <w:spacing w:after="0"/>
              <w:rPr>
                <w:sz w:val="9"/>
                <w:szCs w:val="9"/>
                <w:color w:val="auto"/>
              </w:rPr>
            </w:pPr>
          </w:p>
        </w:tc>
        <w:tc>
          <w:tcPr>
            <w:tcW w:w="160" w:type="dxa"/>
            <w:vAlign w:val="bottom"/>
            <w:tcBorders>
              <w:bottom w:val="single" w:sz="8" w:color="009BDE"/>
            </w:tcBorders>
          </w:tcPr>
          <w:p>
            <w:pPr>
              <w:spacing w:after="0"/>
              <w:rPr>
                <w:sz w:val="9"/>
                <w:szCs w:val="9"/>
                <w:color w:val="auto"/>
              </w:rPr>
            </w:pPr>
          </w:p>
        </w:tc>
        <w:tc>
          <w:tcPr>
            <w:tcW w:w="80" w:type="dxa"/>
            <w:vAlign w:val="bottom"/>
            <w:tcBorders>
              <w:bottom w:val="single" w:sz="8" w:color="009BDE"/>
            </w:tcBorders>
          </w:tcPr>
          <w:p>
            <w:pPr>
              <w:spacing w:after="0"/>
              <w:rPr>
                <w:sz w:val="9"/>
                <w:szCs w:val="9"/>
                <w:color w:val="auto"/>
              </w:rPr>
            </w:pPr>
          </w:p>
        </w:tc>
        <w:tc>
          <w:tcPr>
            <w:tcW w:w="300" w:type="dxa"/>
            <w:vAlign w:val="bottom"/>
            <w:tcBorders>
              <w:bottom w:val="single" w:sz="8" w:color="009BDE"/>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7040" w:type="dxa"/>
            <w:vAlign w:val="bottom"/>
            <w:gridSpan w:val="31"/>
          </w:tcPr>
          <w:p>
            <w:pPr>
              <w:spacing w:after="0" w:line="169" w:lineRule="exact"/>
              <w:rPr>
                <w:sz w:val="20"/>
                <w:szCs w:val="20"/>
                <w:color w:val="auto"/>
              </w:rPr>
            </w:pPr>
            <w:r>
              <w:rPr>
                <w:rFonts w:ascii="Arial" w:cs="Arial" w:eastAsia="Arial" w:hAnsi="Arial"/>
                <w:sz w:val="16"/>
                <w:szCs w:val="16"/>
                <w:color w:val="0000EE"/>
              </w:rPr>
              <w:t>GOVERNANCE OF THE COMPANY</w:t>
            </w:r>
          </w:p>
        </w:tc>
        <w:tc>
          <w:tcPr>
            <w:tcW w:w="300" w:type="dxa"/>
            <w:vAlign w:val="bottom"/>
          </w:tcPr>
          <w:p>
            <w:pPr>
              <w:jc w:val="right"/>
              <w:spacing w:after="0" w:line="169" w:lineRule="exact"/>
              <w:rPr>
                <w:sz w:val="20"/>
                <w:szCs w:val="20"/>
                <w:color w:val="auto"/>
              </w:rPr>
            </w:pPr>
            <w:r>
              <w:rPr>
                <w:rFonts w:ascii="Arial" w:cs="Arial" w:eastAsia="Arial" w:hAnsi="Arial"/>
                <w:sz w:val="16"/>
                <w:szCs w:val="16"/>
                <w:b w:val="1"/>
                <w:bCs w:val="1"/>
                <w:color w:val="009BDE"/>
              </w:rPr>
              <w:t>18</w:t>
            </w:r>
          </w:p>
        </w:tc>
        <w:tc>
          <w:tcPr>
            <w:tcW w:w="0" w:type="dxa"/>
            <w:vAlign w:val="bottom"/>
          </w:tcPr>
          <w:p>
            <w:pPr>
              <w:spacing w:after="0"/>
              <w:rPr>
                <w:sz w:val="1"/>
                <w:szCs w:val="1"/>
                <w:color w:val="auto"/>
              </w:rPr>
            </w:pPr>
          </w:p>
        </w:tc>
      </w:tr>
      <w:tr>
        <w:trPr>
          <w:trHeight w:val="106"/>
        </w:trPr>
        <w:tc>
          <w:tcPr>
            <w:tcW w:w="260" w:type="dxa"/>
            <w:vAlign w:val="bottom"/>
            <w:tcBorders>
              <w:top w:val="single" w:sz="8" w:color="0000EE"/>
              <w:bottom w:val="single" w:sz="8" w:color="009BDE"/>
            </w:tcBorders>
          </w:tcPr>
          <w:p>
            <w:pPr>
              <w:spacing w:after="0"/>
              <w:rPr>
                <w:sz w:val="9"/>
                <w:szCs w:val="9"/>
                <w:color w:val="auto"/>
              </w:rPr>
            </w:pPr>
          </w:p>
        </w:tc>
        <w:tc>
          <w:tcPr>
            <w:tcW w:w="120" w:type="dxa"/>
            <w:vAlign w:val="bottom"/>
            <w:tcBorders>
              <w:top w:val="single" w:sz="8" w:color="0000EE"/>
              <w:bottom w:val="single" w:sz="8" w:color="009BDE"/>
            </w:tcBorders>
          </w:tcPr>
          <w:p>
            <w:pPr>
              <w:spacing w:after="0"/>
              <w:rPr>
                <w:sz w:val="9"/>
                <w:szCs w:val="9"/>
                <w:color w:val="auto"/>
              </w:rPr>
            </w:pPr>
          </w:p>
        </w:tc>
        <w:tc>
          <w:tcPr>
            <w:tcW w:w="460" w:type="dxa"/>
            <w:vAlign w:val="bottom"/>
            <w:tcBorders>
              <w:top w:val="single" w:sz="8" w:color="0000EE"/>
              <w:bottom w:val="single" w:sz="8" w:color="009BDE"/>
            </w:tcBorders>
          </w:tcPr>
          <w:p>
            <w:pPr>
              <w:spacing w:after="0"/>
              <w:rPr>
                <w:sz w:val="9"/>
                <w:szCs w:val="9"/>
                <w:color w:val="auto"/>
              </w:rPr>
            </w:pPr>
          </w:p>
        </w:tc>
        <w:tc>
          <w:tcPr>
            <w:tcW w:w="540" w:type="dxa"/>
            <w:vAlign w:val="bottom"/>
            <w:tcBorders>
              <w:top w:val="single" w:sz="8" w:color="0000EE"/>
              <w:bottom w:val="single" w:sz="8" w:color="009BDE"/>
            </w:tcBorders>
          </w:tcPr>
          <w:p>
            <w:pPr>
              <w:spacing w:after="0"/>
              <w:rPr>
                <w:sz w:val="9"/>
                <w:szCs w:val="9"/>
                <w:color w:val="auto"/>
              </w:rPr>
            </w:pPr>
          </w:p>
        </w:tc>
        <w:tc>
          <w:tcPr>
            <w:tcW w:w="220" w:type="dxa"/>
            <w:vAlign w:val="bottom"/>
            <w:tcBorders>
              <w:top w:val="single" w:sz="8" w:color="0000EE"/>
              <w:bottom w:val="single" w:sz="8" w:color="009BDE"/>
            </w:tcBorders>
          </w:tcPr>
          <w:p>
            <w:pPr>
              <w:spacing w:after="0"/>
              <w:rPr>
                <w:sz w:val="9"/>
                <w:szCs w:val="9"/>
                <w:color w:val="auto"/>
              </w:rPr>
            </w:pPr>
          </w:p>
        </w:tc>
        <w:tc>
          <w:tcPr>
            <w:tcW w:w="120" w:type="dxa"/>
            <w:vAlign w:val="bottom"/>
            <w:tcBorders>
              <w:top w:val="single" w:sz="8" w:color="0000EE"/>
              <w:bottom w:val="single" w:sz="8" w:color="009BDE"/>
            </w:tcBorders>
          </w:tcPr>
          <w:p>
            <w:pPr>
              <w:spacing w:after="0"/>
              <w:rPr>
                <w:sz w:val="9"/>
                <w:szCs w:val="9"/>
                <w:color w:val="auto"/>
              </w:rPr>
            </w:pPr>
          </w:p>
        </w:tc>
        <w:tc>
          <w:tcPr>
            <w:tcW w:w="280" w:type="dxa"/>
            <w:vAlign w:val="bottom"/>
            <w:tcBorders>
              <w:top w:val="single" w:sz="8" w:color="0000EE"/>
              <w:bottom w:val="single" w:sz="8" w:color="009BDE"/>
            </w:tcBorders>
          </w:tcPr>
          <w:p>
            <w:pPr>
              <w:spacing w:after="0"/>
              <w:rPr>
                <w:sz w:val="9"/>
                <w:szCs w:val="9"/>
                <w:color w:val="auto"/>
              </w:rPr>
            </w:pPr>
          </w:p>
        </w:tc>
        <w:tc>
          <w:tcPr>
            <w:tcW w:w="60" w:type="dxa"/>
            <w:vAlign w:val="bottom"/>
            <w:tcBorders>
              <w:top w:val="single" w:sz="8" w:color="0000EE"/>
              <w:bottom w:val="single" w:sz="8" w:color="009BDE"/>
            </w:tcBorders>
          </w:tcPr>
          <w:p>
            <w:pPr>
              <w:spacing w:after="0"/>
              <w:rPr>
                <w:sz w:val="9"/>
                <w:szCs w:val="9"/>
                <w:color w:val="auto"/>
              </w:rPr>
            </w:pPr>
          </w:p>
        </w:tc>
        <w:tc>
          <w:tcPr>
            <w:tcW w:w="260" w:type="dxa"/>
            <w:vAlign w:val="bottom"/>
            <w:tcBorders>
              <w:top w:val="single" w:sz="8" w:color="0000EE"/>
              <w:bottom w:val="single" w:sz="8" w:color="009BDE"/>
            </w:tcBorders>
          </w:tcPr>
          <w:p>
            <w:pPr>
              <w:spacing w:after="0"/>
              <w:rPr>
                <w:sz w:val="9"/>
                <w:szCs w:val="9"/>
                <w:color w:val="auto"/>
              </w:rPr>
            </w:pPr>
          </w:p>
        </w:tc>
        <w:tc>
          <w:tcPr>
            <w:tcW w:w="180" w:type="dxa"/>
            <w:vAlign w:val="bottom"/>
            <w:tcBorders>
              <w:top w:val="single" w:sz="8" w:color="0000EE"/>
              <w:bottom w:val="single" w:sz="8" w:color="009BDE"/>
            </w:tcBorders>
          </w:tcPr>
          <w:p>
            <w:pPr>
              <w:spacing w:after="0"/>
              <w:rPr>
                <w:sz w:val="9"/>
                <w:szCs w:val="9"/>
                <w:color w:val="auto"/>
              </w:rPr>
            </w:pPr>
          </w:p>
        </w:tc>
        <w:tc>
          <w:tcPr>
            <w:tcW w:w="20" w:type="dxa"/>
            <w:vAlign w:val="bottom"/>
            <w:tcBorders>
              <w:top w:val="single" w:sz="8" w:color="0000EE"/>
              <w:bottom w:val="single" w:sz="8" w:color="009BDE"/>
            </w:tcBorders>
          </w:tcPr>
          <w:p>
            <w:pPr>
              <w:spacing w:after="0"/>
              <w:rPr>
                <w:sz w:val="9"/>
                <w:szCs w:val="9"/>
                <w:color w:val="auto"/>
              </w:rPr>
            </w:pPr>
          </w:p>
        </w:tc>
        <w:tc>
          <w:tcPr>
            <w:tcW w:w="20" w:type="dxa"/>
            <w:vAlign w:val="bottom"/>
            <w:tcBorders>
              <w:top w:val="single" w:sz="8" w:color="0000EE"/>
              <w:bottom w:val="single" w:sz="8" w:color="009BDE"/>
            </w:tcBorders>
          </w:tcPr>
          <w:p>
            <w:pPr>
              <w:spacing w:after="0"/>
              <w:rPr>
                <w:sz w:val="9"/>
                <w:szCs w:val="9"/>
                <w:color w:val="auto"/>
              </w:rPr>
            </w:pPr>
          </w:p>
        </w:tc>
        <w:tc>
          <w:tcPr>
            <w:tcW w:w="340" w:type="dxa"/>
            <w:vAlign w:val="bottom"/>
            <w:tcBorders>
              <w:bottom w:val="single" w:sz="8" w:color="009BDE"/>
            </w:tcBorders>
          </w:tcPr>
          <w:p>
            <w:pPr>
              <w:spacing w:after="0"/>
              <w:rPr>
                <w:sz w:val="9"/>
                <w:szCs w:val="9"/>
                <w:color w:val="auto"/>
              </w:rPr>
            </w:pPr>
          </w:p>
        </w:tc>
        <w:tc>
          <w:tcPr>
            <w:tcW w:w="40" w:type="dxa"/>
            <w:vAlign w:val="bottom"/>
            <w:tcBorders>
              <w:bottom w:val="single" w:sz="8" w:color="009BDE"/>
            </w:tcBorders>
          </w:tcPr>
          <w:p>
            <w:pPr>
              <w:spacing w:after="0"/>
              <w:rPr>
                <w:sz w:val="9"/>
                <w:szCs w:val="9"/>
                <w:color w:val="auto"/>
              </w:rPr>
            </w:pPr>
          </w:p>
        </w:tc>
        <w:tc>
          <w:tcPr>
            <w:tcW w:w="40" w:type="dxa"/>
            <w:vAlign w:val="bottom"/>
            <w:tcBorders>
              <w:bottom w:val="single" w:sz="8" w:color="009BDE"/>
            </w:tcBorders>
          </w:tcPr>
          <w:p>
            <w:pPr>
              <w:spacing w:after="0"/>
              <w:rPr>
                <w:sz w:val="9"/>
                <w:szCs w:val="9"/>
                <w:color w:val="auto"/>
              </w:rPr>
            </w:pPr>
          </w:p>
        </w:tc>
        <w:tc>
          <w:tcPr>
            <w:tcW w:w="80" w:type="dxa"/>
            <w:vAlign w:val="bottom"/>
            <w:tcBorders>
              <w:bottom w:val="single" w:sz="8" w:color="009BDE"/>
            </w:tcBorders>
          </w:tcPr>
          <w:p>
            <w:pPr>
              <w:spacing w:after="0"/>
              <w:rPr>
                <w:sz w:val="9"/>
                <w:szCs w:val="9"/>
                <w:color w:val="auto"/>
              </w:rPr>
            </w:pPr>
          </w:p>
        </w:tc>
        <w:tc>
          <w:tcPr>
            <w:tcW w:w="20" w:type="dxa"/>
            <w:vAlign w:val="bottom"/>
            <w:tcBorders>
              <w:bottom w:val="single" w:sz="8" w:color="009BDE"/>
            </w:tcBorders>
          </w:tcPr>
          <w:p>
            <w:pPr>
              <w:spacing w:after="0"/>
              <w:rPr>
                <w:sz w:val="9"/>
                <w:szCs w:val="9"/>
                <w:color w:val="auto"/>
              </w:rPr>
            </w:pPr>
          </w:p>
        </w:tc>
        <w:tc>
          <w:tcPr>
            <w:tcW w:w="360" w:type="dxa"/>
            <w:vAlign w:val="bottom"/>
            <w:tcBorders>
              <w:bottom w:val="single" w:sz="8" w:color="009BDE"/>
            </w:tcBorders>
          </w:tcPr>
          <w:p>
            <w:pPr>
              <w:spacing w:after="0"/>
              <w:rPr>
                <w:sz w:val="9"/>
                <w:szCs w:val="9"/>
                <w:color w:val="auto"/>
              </w:rPr>
            </w:pPr>
          </w:p>
        </w:tc>
        <w:tc>
          <w:tcPr>
            <w:tcW w:w="160" w:type="dxa"/>
            <w:vAlign w:val="bottom"/>
            <w:tcBorders>
              <w:bottom w:val="single" w:sz="8" w:color="009BDE"/>
            </w:tcBorders>
          </w:tcPr>
          <w:p>
            <w:pPr>
              <w:spacing w:after="0"/>
              <w:rPr>
                <w:sz w:val="9"/>
                <w:szCs w:val="9"/>
                <w:color w:val="auto"/>
              </w:rPr>
            </w:pPr>
          </w:p>
        </w:tc>
        <w:tc>
          <w:tcPr>
            <w:tcW w:w="20" w:type="dxa"/>
            <w:vAlign w:val="bottom"/>
            <w:tcBorders>
              <w:bottom w:val="single" w:sz="8" w:color="009BDE"/>
            </w:tcBorders>
          </w:tcPr>
          <w:p>
            <w:pPr>
              <w:spacing w:after="0"/>
              <w:rPr>
                <w:sz w:val="9"/>
                <w:szCs w:val="9"/>
                <w:color w:val="auto"/>
              </w:rPr>
            </w:pPr>
          </w:p>
        </w:tc>
        <w:tc>
          <w:tcPr>
            <w:tcW w:w="120" w:type="dxa"/>
            <w:vAlign w:val="bottom"/>
            <w:tcBorders>
              <w:bottom w:val="single" w:sz="8" w:color="009BDE"/>
            </w:tcBorders>
          </w:tcPr>
          <w:p>
            <w:pPr>
              <w:spacing w:after="0"/>
              <w:rPr>
                <w:sz w:val="9"/>
                <w:szCs w:val="9"/>
                <w:color w:val="auto"/>
              </w:rPr>
            </w:pPr>
          </w:p>
        </w:tc>
        <w:tc>
          <w:tcPr>
            <w:tcW w:w="660" w:type="dxa"/>
            <w:vAlign w:val="bottom"/>
            <w:tcBorders>
              <w:bottom w:val="single" w:sz="8" w:color="009BDE"/>
            </w:tcBorders>
          </w:tcPr>
          <w:p>
            <w:pPr>
              <w:spacing w:after="0"/>
              <w:rPr>
                <w:sz w:val="9"/>
                <w:szCs w:val="9"/>
                <w:color w:val="auto"/>
              </w:rPr>
            </w:pPr>
          </w:p>
        </w:tc>
        <w:tc>
          <w:tcPr>
            <w:tcW w:w="180" w:type="dxa"/>
            <w:vAlign w:val="bottom"/>
            <w:tcBorders>
              <w:bottom w:val="single" w:sz="8" w:color="009BDE"/>
            </w:tcBorders>
          </w:tcPr>
          <w:p>
            <w:pPr>
              <w:spacing w:after="0"/>
              <w:rPr>
                <w:sz w:val="9"/>
                <w:szCs w:val="9"/>
                <w:color w:val="auto"/>
              </w:rPr>
            </w:pPr>
          </w:p>
        </w:tc>
        <w:tc>
          <w:tcPr>
            <w:tcW w:w="620" w:type="dxa"/>
            <w:vAlign w:val="bottom"/>
            <w:tcBorders>
              <w:bottom w:val="single" w:sz="8" w:color="009BDE"/>
            </w:tcBorders>
          </w:tcPr>
          <w:p>
            <w:pPr>
              <w:spacing w:after="0"/>
              <w:rPr>
                <w:sz w:val="9"/>
                <w:szCs w:val="9"/>
                <w:color w:val="auto"/>
              </w:rPr>
            </w:pPr>
          </w:p>
        </w:tc>
        <w:tc>
          <w:tcPr>
            <w:tcW w:w="440" w:type="dxa"/>
            <w:vAlign w:val="bottom"/>
            <w:tcBorders>
              <w:bottom w:val="single" w:sz="8" w:color="009BDE"/>
            </w:tcBorders>
          </w:tcPr>
          <w:p>
            <w:pPr>
              <w:spacing w:after="0"/>
              <w:rPr>
                <w:sz w:val="9"/>
                <w:szCs w:val="9"/>
                <w:color w:val="auto"/>
              </w:rPr>
            </w:pPr>
          </w:p>
        </w:tc>
        <w:tc>
          <w:tcPr>
            <w:tcW w:w="580" w:type="dxa"/>
            <w:vAlign w:val="bottom"/>
            <w:tcBorders>
              <w:bottom w:val="single" w:sz="8" w:color="009BDE"/>
            </w:tcBorders>
          </w:tcPr>
          <w:p>
            <w:pPr>
              <w:spacing w:after="0"/>
              <w:rPr>
                <w:sz w:val="9"/>
                <w:szCs w:val="9"/>
                <w:color w:val="auto"/>
              </w:rPr>
            </w:pPr>
          </w:p>
        </w:tc>
        <w:tc>
          <w:tcPr>
            <w:tcW w:w="160" w:type="dxa"/>
            <w:vAlign w:val="bottom"/>
            <w:tcBorders>
              <w:bottom w:val="single" w:sz="8" w:color="009BDE"/>
            </w:tcBorders>
          </w:tcPr>
          <w:p>
            <w:pPr>
              <w:spacing w:after="0"/>
              <w:rPr>
                <w:sz w:val="9"/>
                <w:szCs w:val="9"/>
                <w:color w:val="auto"/>
              </w:rPr>
            </w:pPr>
          </w:p>
        </w:tc>
        <w:tc>
          <w:tcPr>
            <w:tcW w:w="420" w:type="dxa"/>
            <w:vAlign w:val="bottom"/>
            <w:tcBorders>
              <w:bottom w:val="single" w:sz="8" w:color="009BDE"/>
            </w:tcBorders>
          </w:tcPr>
          <w:p>
            <w:pPr>
              <w:spacing w:after="0"/>
              <w:rPr>
                <w:sz w:val="9"/>
                <w:szCs w:val="9"/>
                <w:color w:val="auto"/>
              </w:rPr>
            </w:pPr>
          </w:p>
        </w:tc>
        <w:tc>
          <w:tcPr>
            <w:tcW w:w="20" w:type="dxa"/>
            <w:vAlign w:val="bottom"/>
            <w:tcBorders>
              <w:bottom w:val="single" w:sz="8" w:color="009BDE"/>
            </w:tcBorders>
          </w:tcPr>
          <w:p>
            <w:pPr>
              <w:spacing w:after="0"/>
              <w:rPr>
                <w:sz w:val="9"/>
                <w:szCs w:val="9"/>
                <w:color w:val="auto"/>
              </w:rPr>
            </w:pPr>
          </w:p>
        </w:tc>
        <w:tc>
          <w:tcPr>
            <w:tcW w:w="160" w:type="dxa"/>
            <w:vAlign w:val="bottom"/>
            <w:tcBorders>
              <w:bottom w:val="single" w:sz="8" w:color="009BDE"/>
            </w:tcBorders>
          </w:tcPr>
          <w:p>
            <w:pPr>
              <w:spacing w:after="0"/>
              <w:rPr>
                <w:sz w:val="9"/>
                <w:szCs w:val="9"/>
                <w:color w:val="auto"/>
              </w:rPr>
            </w:pPr>
          </w:p>
        </w:tc>
        <w:tc>
          <w:tcPr>
            <w:tcW w:w="80" w:type="dxa"/>
            <w:vAlign w:val="bottom"/>
            <w:tcBorders>
              <w:bottom w:val="single" w:sz="8" w:color="009BDE"/>
            </w:tcBorders>
          </w:tcPr>
          <w:p>
            <w:pPr>
              <w:spacing w:after="0"/>
              <w:rPr>
                <w:sz w:val="9"/>
                <w:szCs w:val="9"/>
                <w:color w:val="auto"/>
              </w:rPr>
            </w:pPr>
          </w:p>
        </w:tc>
        <w:tc>
          <w:tcPr>
            <w:tcW w:w="300" w:type="dxa"/>
            <w:vAlign w:val="bottom"/>
            <w:tcBorders>
              <w:bottom w:val="single" w:sz="8" w:color="009BDE"/>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7040" w:type="dxa"/>
            <w:vAlign w:val="bottom"/>
            <w:gridSpan w:val="31"/>
          </w:tcPr>
          <w:p>
            <w:pPr>
              <w:spacing w:after="0" w:line="169" w:lineRule="exact"/>
              <w:rPr>
                <w:sz w:val="20"/>
                <w:szCs w:val="20"/>
                <w:color w:val="auto"/>
              </w:rPr>
            </w:pPr>
            <w:r>
              <w:rPr>
                <w:rFonts w:ascii="Arial" w:cs="Arial" w:eastAsia="Arial" w:hAnsi="Arial"/>
                <w:sz w:val="16"/>
                <w:szCs w:val="16"/>
                <w:color w:val="0000EE"/>
              </w:rPr>
              <w:t>COMPENSATION COMMITTEE REPORT</w:t>
            </w:r>
          </w:p>
        </w:tc>
        <w:tc>
          <w:tcPr>
            <w:tcW w:w="300" w:type="dxa"/>
            <w:vAlign w:val="bottom"/>
          </w:tcPr>
          <w:p>
            <w:pPr>
              <w:jc w:val="right"/>
              <w:spacing w:after="0" w:line="169" w:lineRule="exact"/>
              <w:rPr>
                <w:sz w:val="20"/>
                <w:szCs w:val="20"/>
                <w:color w:val="auto"/>
              </w:rPr>
            </w:pPr>
            <w:r>
              <w:rPr>
                <w:rFonts w:ascii="Arial" w:cs="Arial" w:eastAsia="Arial" w:hAnsi="Arial"/>
                <w:sz w:val="16"/>
                <w:szCs w:val="16"/>
                <w:b w:val="1"/>
                <w:bCs w:val="1"/>
                <w:color w:val="009BDE"/>
              </w:rPr>
              <w:t>25</w:t>
            </w:r>
          </w:p>
        </w:tc>
        <w:tc>
          <w:tcPr>
            <w:tcW w:w="0" w:type="dxa"/>
            <w:vAlign w:val="bottom"/>
          </w:tcPr>
          <w:p>
            <w:pPr>
              <w:spacing w:after="0"/>
              <w:rPr>
                <w:sz w:val="1"/>
                <w:szCs w:val="1"/>
                <w:color w:val="auto"/>
              </w:rPr>
            </w:pPr>
          </w:p>
        </w:tc>
      </w:tr>
      <w:tr>
        <w:trPr>
          <w:trHeight w:val="106"/>
        </w:trPr>
        <w:tc>
          <w:tcPr>
            <w:tcW w:w="260" w:type="dxa"/>
            <w:vAlign w:val="bottom"/>
            <w:tcBorders>
              <w:top w:val="single" w:sz="8" w:color="0000EE"/>
              <w:bottom w:val="single" w:sz="8" w:color="009BDE"/>
            </w:tcBorders>
          </w:tcPr>
          <w:p>
            <w:pPr>
              <w:spacing w:after="0"/>
              <w:rPr>
                <w:sz w:val="9"/>
                <w:szCs w:val="9"/>
                <w:color w:val="auto"/>
              </w:rPr>
            </w:pPr>
          </w:p>
        </w:tc>
        <w:tc>
          <w:tcPr>
            <w:tcW w:w="120" w:type="dxa"/>
            <w:vAlign w:val="bottom"/>
            <w:tcBorders>
              <w:top w:val="single" w:sz="8" w:color="0000EE"/>
              <w:bottom w:val="single" w:sz="8" w:color="009BDE"/>
            </w:tcBorders>
          </w:tcPr>
          <w:p>
            <w:pPr>
              <w:spacing w:after="0"/>
              <w:rPr>
                <w:sz w:val="9"/>
                <w:szCs w:val="9"/>
                <w:color w:val="auto"/>
              </w:rPr>
            </w:pPr>
          </w:p>
        </w:tc>
        <w:tc>
          <w:tcPr>
            <w:tcW w:w="460" w:type="dxa"/>
            <w:vAlign w:val="bottom"/>
            <w:tcBorders>
              <w:top w:val="single" w:sz="8" w:color="0000EE"/>
              <w:bottom w:val="single" w:sz="8" w:color="009BDE"/>
            </w:tcBorders>
          </w:tcPr>
          <w:p>
            <w:pPr>
              <w:spacing w:after="0"/>
              <w:rPr>
                <w:sz w:val="9"/>
                <w:szCs w:val="9"/>
                <w:color w:val="auto"/>
              </w:rPr>
            </w:pPr>
          </w:p>
        </w:tc>
        <w:tc>
          <w:tcPr>
            <w:tcW w:w="540" w:type="dxa"/>
            <w:vAlign w:val="bottom"/>
            <w:tcBorders>
              <w:top w:val="single" w:sz="8" w:color="0000EE"/>
              <w:bottom w:val="single" w:sz="8" w:color="009BDE"/>
            </w:tcBorders>
          </w:tcPr>
          <w:p>
            <w:pPr>
              <w:spacing w:after="0"/>
              <w:rPr>
                <w:sz w:val="9"/>
                <w:szCs w:val="9"/>
                <w:color w:val="auto"/>
              </w:rPr>
            </w:pPr>
          </w:p>
        </w:tc>
        <w:tc>
          <w:tcPr>
            <w:tcW w:w="220" w:type="dxa"/>
            <w:vAlign w:val="bottom"/>
            <w:tcBorders>
              <w:top w:val="single" w:sz="8" w:color="0000EE"/>
              <w:bottom w:val="single" w:sz="8" w:color="009BDE"/>
            </w:tcBorders>
          </w:tcPr>
          <w:p>
            <w:pPr>
              <w:spacing w:after="0"/>
              <w:rPr>
                <w:sz w:val="9"/>
                <w:szCs w:val="9"/>
                <w:color w:val="auto"/>
              </w:rPr>
            </w:pPr>
          </w:p>
        </w:tc>
        <w:tc>
          <w:tcPr>
            <w:tcW w:w="120" w:type="dxa"/>
            <w:vAlign w:val="bottom"/>
            <w:tcBorders>
              <w:top w:val="single" w:sz="8" w:color="0000EE"/>
              <w:bottom w:val="single" w:sz="8" w:color="009BDE"/>
            </w:tcBorders>
          </w:tcPr>
          <w:p>
            <w:pPr>
              <w:spacing w:after="0"/>
              <w:rPr>
                <w:sz w:val="9"/>
                <w:szCs w:val="9"/>
                <w:color w:val="auto"/>
              </w:rPr>
            </w:pPr>
          </w:p>
        </w:tc>
        <w:tc>
          <w:tcPr>
            <w:tcW w:w="280" w:type="dxa"/>
            <w:vAlign w:val="bottom"/>
            <w:tcBorders>
              <w:top w:val="single" w:sz="8" w:color="0000EE"/>
              <w:bottom w:val="single" w:sz="8" w:color="009BDE"/>
            </w:tcBorders>
          </w:tcPr>
          <w:p>
            <w:pPr>
              <w:spacing w:after="0"/>
              <w:rPr>
                <w:sz w:val="9"/>
                <w:szCs w:val="9"/>
                <w:color w:val="auto"/>
              </w:rPr>
            </w:pPr>
          </w:p>
        </w:tc>
        <w:tc>
          <w:tcPr>
            <w:tcW w:w="60" w:type="dxa"/>
            <w:vAlign w:val="bottom"/>
            <w:tcBorders>
              <w:top w:val="single" w:sz="8" w:color="0000EE"/>
              <w:bottom w:val="single" w:sz="8" w:color="009BDE"/>
            </w:tcBorders>
          </w:tcPr>
          <w:p>
            <w:pPr>
              <w:spacing w:after="0"/>
              <w:rPr>
                <w:sz w:val="9"/>
                <w:szCs w:val="9"/>
                <w:color w:val="auto"/>
              </w:rPr>
            </w:pPr>
          </w:p>
        </w:tc>
        <w:tc>
          <w:tcPr>
            <w:tcW w:w="260" w:type="dxa"/>
            <w:vAlign w:val="bottom"/>
            <w:tcBorders>
              <w:top w:val="single" w:sz="8" w:color="0000EE"/>
              <w:bottom w:val="single" w:sz="8" w:color="009BDE"/>
            </w:tcBorders>
          </w:tcPr>
          <w:p>
            <w:pPr>
              <w:spacing w:after="0"/>
              <w:rPr>
                <w:sz w:val="9"/>
                <w:szCs w:val="9"/>
                <w:color w:val="auto"/>
              </w:rPr>
            </w:pPr>
          </w:p>
        </w:tc>
        <w:tc>
          <w:tcPr>
            <w:tcW w:w="180" w:type="dxa"/>
            <w:vAlign w:val="bottom"/>
            <w:tcBorders>
              <w:top w:val="single" w:sz="8" w:color="0000EE"/>
              <w:bottom w:val="single" w:sz="8" w:color="009BDE"/>
            </w:tcBorders>
          </w:tcPr>
          <w:p>
            <w:pPr>
              <w:spacing w:after="0"/>
              <w:rPr>
                <w:sz w:val="9"/>
                <w:szCs w:val="9"/>
                <w:color w:val="auto"/>
              </w:rPr>
            </w:pPr>
          </w:p>
        </w:tc>
        <w:tc>
          <w:tcPr>
            <w:tcW w:w="20" w:type="dxa"/>
            <w:vAlign w:val="bottom"/>
            <w:tcBorders>
              <w:top w:val="single" w:sz="8" w:color="0000EE"/>
              <w:bottom w:val="single" w:sz="8" w:color="009BDE"/>
            </w:tcBorders>
          </w:tcPr>
          <w:p>
            <w:pPr>
              <w:spacing w:after="0"/>
              <w:rPr>
                <w:sz w:val="9"/>
                <w:szCs w:val="9"/>
                <w:color w:val="auto"/>
              </w:rPr>
            </w:pPr>
          </w:p>
        </w:tc>
        <w:tc>
          <w:tcPr>
            <w:tcW w:w="20" w:type="dxa"/>
            <w:vAlign w:val="bottom"/>
            <w:tcBorders>
              <w:top w:val="single" w:sz="8" w:color="0000EE"/>
              <w:bottom w:val="single" w:sz="8" w:color="009BDE"/>
            </w:tcBorders>
          </w:tcPr>
          <w:p>
            <w:pPr>
              <w:spacing w:after="0"/>
              <w:rPr>
                <w:sz w:val="9"/>
                <w:szCs w:val="9"/>
                <w:color w:val="auto"/>
              </w:rPr>
            </w:pPr>
          </w:p>
        </w:tc>
        <w:tc>
          <w:tcPr>
            <w:tcW w:w="340" w:type="dxa"/>
            <w:vAlign w:val="bottom"/>
            <w:tcBorders>
              <w:top w:val="single" w:sz="8" w:color="0000EE"/>
              <w:bottom w:val="single" w:sz="8" w:color="009BDE"/>
            </w:tcBorders>
          </w:tcPr>
          <w:p>
            <w:pPr>
              <w:spacing w:after="0"/>
              <w:rPr>
                <w:sz w:val="9"/>
                <w:szCs w:val="9"/>
                <w:color w:val="auto"/>
              </w:rPr>
            </w:pPr>
          </w:p>
        </w:tc>
        <w:tc>
          <w:tcPr>
            <w:tcW w:w="40" w:type="dxa"/>
            <w:vAlign w:val="bottom"/>
            <w:tcBorders>
              <w:top w:val="single" w:sz="8" w:color="0000EE"/>
              <w:bottom w:val="single" w:sz="8" w:color="009BDE"/>
            </w:tcBorders>
          </w:tcPr>
          <w:p>
            <w:pPr>
              <w:spacing w:after="0"/>
              <w:rPr>
                <w:sz w:val="9"/>
                <w:szCs w:val="9"/>
                <w:color w:val="auto"/>
              </w:rPr>
            </w:pPr>
          </w:p>
        </w:tc>
        <w:tc>
          <w:tcPr>
            <w:tcW w:w="40" w:type="dxa"/>
            <w:vAlign w:val="bottom"/>
            <w:tcBorders>
              <w:bottom w:val="single" w:sz="8" w:color="009BDE"/>
            </w:tcBorders>
          </w:tcPr>
          <w:p>
            <w:pPr>
              <w:spacing w:after="0"/>
              <w:rPr>
                <w:sz w:val="9"/>
                <w:szCs w:val="9"/>
                <w:color w:val="auto"/>
              </w:rPr>
            </w:pPr>
          </w:p>
        </w:tc>
        <w:tc>
          <w:tcPr>
            <w:tcW w:w="80" w:type="dxa"/>
            <w:vAlign w:val="bottom"/>
            <w:tcBorders>
              <w:bottom w:val="single" w:sz="8" w:color="009BDE"/>
            </w:tcBorders>
          </w:tcPr>
          <w:p>
            <w:pPr>
              <w:spacing w:after="0"/>
              <w:rPr>
                <w:sz w:val="9"/>
                <w:szCs w:val="9"/>
                <w:color w:val="auto"/>
              </w:rPr>
            </w:pPr>
          </w:p>
        </w:tc>
        <w:tc>
          <w:tcPr>
            <w:tcW w:w="20" w:type="dxa"/>
            <w:vAlign w:val="bottom"/>
            <w:tcBorders>
              <w:bottom w:val="single" w:sz="8" w:color="009BDE"/>
            </w:tcBorders>
          </w:tcPr>
          <w:p>
            <w:pPr>
              <w:spacing w:after="0"/>
              <w:rPr>
                <w:sz w:val="9"/>
                <w:szCs w:val="9"/>
                <w:color w:val="auto"/>
              </w:rPr>
            </w:pPr>
          </w:p>
        </w:tc>
        <w:tc>
          <w:tcPr>
            <w:tcW w:w="360" w:type="dxa"/>
            <w:vAlign w:val="bottom"/>
            <w:tcBorders>
              <w:bottom w:val="single" w:sz="8" w:color="009BDE"/>
            </w:tcBorders>
          </w:tcPr>
          <w:p>
            <w:pPr>
              <w:spacing w:after="0"/>
              <w:rPr>
                <w:sz w:val="9"/>
                <w:szCs w:val="9"/>
                <w:color w:val="auto"/>
              </w:rPr>
            </w:pPr>
          </w:p>
        </w:tc>
        <w:tc>
          <w:tcPr>
            <w:tcW w:w="160" w:type="dxa"/>
            <w:vAlign w:val="bottom"/>
            <w:tcBorders>
              <w:bottom w:val="single" w:sz="8" w:color="009BDE"/>
            </w:tcBorders>
          </w:tcPr>
          <w:p>
            <w:pPr>
              <w:spacing w:after="0"/>
              <w:rPr>
                <w:sz w:val="9"/>
                <w:szCs w:val="9"/>
                <w:color w:val="auto"/>
              </w:rPr>
            </w:pPr>
          </w:p>
        </w:tc>
        <w:tc>
          <w:tcPr>
            <w:tcW w:w="20" w:type="dxa"/>
            <w:vAlign w:val="bottom"/>
            <w:tcBorders>
              <w:bottom w:val="single" w:sz="8" w:color="009BDE"/>
            </w:tcBorders>
          </w:tcPr>
          <w:p>
            <w:pPr>
              <w:spacing w:after="0"/>
              <w:rPr>
                <w:sz w:val="9"/>
                <w:szCs w:val="9"/>
                <w:color w:val="auto"/>
              </w:rPr>
            </w:pPr>
          </w:p>
        </w:tc>
        <w:tc>
          <w:tcPr>
            <w:tcW w:w="120" w:type="dxa"/>
            <w:vAlign w:val="bottom"/>
            <w:tcBorders>
              <w:bottom w:val="single" w:sz="8" w:color="009BDE"/>
            </w:tcBorders>
          </w:tcPr>
          <w:p>
            <w:pPr>
              <w:spacing w:after="0"/>
              <w:rPr>
                <w:sz w:val="9"/>
                <w:szCs w:val="9"/>
                <w:color w:val="auto"/>
              </w:rPr>
            </w:pPr>
          </w:p>
        </w:tc>
        <w:tc>
          <w:tcPr>
            <w:tcW w:w="660" w:type="dxa"/>
            <w:vAlign w:val="bottom"/>
            <w:tcBorders>
              <w:bottom w:val="single" w:sz="8" w:color="009BDE"/>
            </w:tcBorders>
          </w:tcPr>
          <w:p>
            <w:pPr>
              <w:spacing w:after="0"/>
              <w:rPr>
                <w:sz w:val="9"/>
                <w:szCs w:val="9"/>
                <w:color w:val="auto"/>
              </w:rPr>
            </w:pPr>
          </w:p>
        </w:tc>
        <w:tc>
          <w:tcPr>
            <w:tcW w:w="180" w:type="dxa"/>
            <w:vAlign w:val="bottom"/>
            <w:tcBorders>
              <w:bottom w:val="single" w:sz="8" w:color="009BDE"/>
            </w:tcBorders>
          </w:tcPr>
          <w:p>
            <w:pPr>
              <w:spacing w:after="0"/>
              <w:rPr>
                <w:sz w:val="9"/>
                <w:szCs w:val="9"/>
                <w:color w:val="auto"/>
              </w:rPr>
            </w:pPr>
          </w:p>
        </w:tc>
        <w:tc>
          <w:tcPr>
            <w:tcW w:w="620" w:type="dxa"/>
            <w:vAlign w:val="bottom"/>
            <w:tcBorders>
              <w:bottom w:val="single" w:sz="8" w:color="009BDE"/>
            </w:tcBorders>
          </w:tcPr>
          <w:p>
            <w:pPr>
              <w:spacing w:after="0"/>
              <w:rPr>
                <w:sz w:val="9"/>
                <w:szCs w:val="9"/>
                <w:color w:val="auto"/>
              </w:rPr>
            </w:pPr>
          </w:p>
        </w:tc>
        <w:tc>
          <w:tcPr>
            <w:tcW w:w="440" w:type="dxa"/>
            <w:vAlign w:val="bottom"/>
            <w:tcBorders>
              <w:bottom w:val="single" w:sz="8" w:color="009BDE"/>
            </w:tcBorders>
          </w:tcPr>
          <w:p>
            <w:pPr>
              <w:spacing w:after="0"/>
              <w:rPr>
                <w:sz w:val="9"/>
                <w:szCs w:val="9"/>
                <w:color w:val="auto"/>
              </w:rPr>
            </w:pPr>
          </w:p>
        </w:tc>
        <w:tc>
          <w:tcPr>
            <w:tcW w:w="580" w:type="dxa"/>
            <w:vAlign w:val="bottom"/>
            <w:tcBorders>
              <w:bottom w:val="single" w:sz="8" w:color="009BDE"/>
            </w:tcBorders>
          </w:tcPr>
          <w:p>
            <w:pPr>
              <w:spacing w:after="0"/>
              <w:rPr>
                <w:sz w:val="9"/>
                <w:szCs w:val="9"/>
                <w:color w:val="auto"/>
              </w:rPr>
            </w:pPr>
          </w:p>
        </w:tc>
        <w:tc>
          <w:tcPr>
            <w:tcW w:w="160" w:type="dxa"/>
            <w:vAlign w:val="bottom"/>
            <w:tcBorders>
              <w:bottom w:val="single" w:sz="8" w:color="009BDE"/>
            </w:tcBorders>
          </w:tcPr>
          <w:p>
            <w:pPr>
              <w:spacing w:after="0"/>
              <w:rPr>
                <w:sz w:val="9"/>
                <w:szCs w:val="9"/>
                <w:color w:val="auto"/>
              </w:rPr>
            </w:pPr>
          </w:p>
        </w:tc>
        <w:tc>
          <w:tcPr>
            <w:tcW w:w="420" w:type="dxa"/>
            <w:vAlign w:val="bottom"/>
            <w:tcBorders>
              <w:bottom w:val="single" w:sz="8" w:color="009BDE"/>
            </w:tcBorders>
          </w:tcPr>
          <w:p>
            <w:pPr>
              <w:spacing w:after="0"/>
              <w:rPr>
                <w:sz w:val="9"/>
                <w:szCs w:val="9"/>
                <w:color w:val="auto"/>
              </w:rPr>
            </w:pPr>
          </w:p>
        </w:tc>
        <w:tc>
          <w:tcPr>
            <w:tcW w:w="20" w:type="dxa"/>
            <w:vAlign w:val="bottom"/>
            <w:tcBorders>
              <w:bottom w:val="single" w:sz="8" w:color="009BDE"/>
            </w:tcBorders>
          </w:tcPr>
          <w:p>
            <w:pPr>
              <w:spacing w:after="0"/>
              <w:rPr>
                <w:sz w:val="9"/>
                <w:szCs w:val="9"/>
                <w:color w:val="auto"/>
              </w:rPr>
            </w:pPr>
          </w:p>
        </w:tc>
        <w:tc>
          <w:tcPr>
            <w:tcW w:w="160" w:type="dxa"/>
            <w:vAlign w:val="bottom"/>
            <w:tcBorders>
              <w:bottom w:val="single" w:sz="8" w:color="009BDE"/>
            </w:tcBorders>
          </w:tcPr>
          <w:p>
            <w:pPr>
              <w:spacing w:after="0"/>
              <w:rPr>
                <w:sz w:val="9"/>
                <w:szCs w:val="9"/>
                <w:color w:val="auto"/>
              </w:rPr>
            </w:pPr>
          </w:p>
        </w:tc>
        <w:tc>
          <w:tcPr>
            <w:tcW w:w="80" w:type="dxa"/>
            <w:vAlign w:val="bottom"/>
            <w:tcBorders>
              <w:bottom w:val="single" w:sz="8" w:color="009BDE"/>
            </w:tcBorders>
          </w:tcPr>
          <w:p>
            <w:pPr>
              <w:spacing w:after="0"/>
              <w:rPr>
                <w:sz w:val="9"/>
                <w:szCs w:val="9"/>
                <w:color w:val="auto"/>
              </w:rPr>
            </w:pPr>
          </w:p>
        </w:tc>
        <w:tc>
          <w:tcPr>
            <w:tcW w:w="300" w:type="dxa"/>
            <w:vAlign w:val="bottom"/>
            <w:tcBorders>
              <w:bottom w:val="single" w:sz="8" w:color="009BDE"/>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7040" w:type="dxa"/>
            <w:vAlign w:val="bottom"/>
            <w:gridSpan w:val="31"/>
          </w:tcPr>
          <w:p>
            <w:pPr>
              <w:spacing w:after="0"/>
              <w:rPr>
                <w:sz w:val="20"/>
                <w:szCs w:val="20"/>
                <w:color w:val="auto"/>
              </w:rPr>
            </w:pPr>
            <w:r>
              <w:rPr>
                <w:rFonts w:ascii="Arial" w:cs="Arial" w:eastAsia="Arial" w:hAnsi="Arial"/>
                <w:sz w:val="16"/>
                <w:szCs w:val="16"/>
                <w:color w:val="0000EE"/>
              </w:rPr>
              <w:t>COMPENSATION DISCUSSION AND ANALYSIS</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009BDE"/>
              </w:rPr>
              <w:t>26</w:t>
            </w:r>
          </w:p>
        </w:tc>
        <w:tc>
          <w:tcPr>
            <w:tcW w:w="0" w:type="dxa"/>
            <w:vAlign w:val="bottom"/>
          </w:tcPr>
          <w:p>
            <w:pPr>
              <w:spacing w:after="0"/>
              <w:rPr>
                <w:sz w:val="1"/>
                <w:szCs w:val="1"/>
                <w:color w:val="auto"/>
              </w:rPr>
            </w:pPr>
          </w:p>
        </w:tc>
      </w:tr>
      <w:tr>
        <w:trPr>
          <w:trHeight w:val="61"/>
        </w:trPr>
        <w:tc>
          <w:tcPr>
            <w:tcW w:w="260" w:type="dxa"/>
            <w:vAlign w:val="bottom"/>
            <w:tcBorders>
              <w:top w:val="single" w:sz="8" w:color="0000EE"/>
              <w:bottom w:val="single" w:sz="8" w:color="009BDE"/>
            </w:tcBorders>
          </w:tcPr>
          <w:p>
            <w:pPr>
              <w:spacing w:after="0"/>
              <w:rPr>
                <w:sz w:val="5"/>
                <w:szCs w:val="5"/>
                <w:color w:val="auto"/>
              </w:rPr>
            </w:pPr>
          </w:p>
        </w:tc>
        <w:tc>
          <w:tcPr>
            <w:tcW w:w="120" w:type="dxa"/>
            <w:vAlign w:val="bottom"/>
            <w:tcBorders>
              <w:top w:val="single" w:sz="8" w:color="0000EE"/>
              <w:bottom w:val="single" w:sz="8" w:color="009BDE"/>
            </w:tcBorders>
          </w:tcPr>
          <w:p>
            <w:pPr>
              <w:spacing w:after="0"/>
              <w:rPr>
                <w:sz w:val="5"/>
                <w:szCs w:val="5"/>
                <w:color w:val="auto"/>
              </w:rPr>
            </w:pPr>
          </w:p>
        </w:tc>
        <w:tc>
          <w:tcPr>
            <w:tcW w:w="460" w:type="dxa"/>
            <w:vAlign w:val="bottom"/>
            <w:tcBorders>
              <w:top w:val="single" w:sz="8" w:color="0000EE"/>
              <w:bottom w:val="single" w:sz="8" w:color="009BDE"/>
            </w:tcBorders>
          </w:tcPr>
          <w:p>
            <w:pPr>
              <w:spacing w:after="0"/>
              <w:rPr>
                <w:sz w:val="5"/>
                <w:szCs w:val="5"/>
                <w:color w:val="auto"/>
              </w:rPr>
            </w:pPr>
          </w:p>
        </w:tc>
        <w:tc>
          <w:tcPr>
            <w:tcW w:w="540" w:type="dxa"/>
            <w:vAlign w:val="bottom"/>
            <w:tcBorders>
              <w:top w:val="single" w:sz="8" w:color="0000EE"/>
              <w:bottom w:val="single" w:sz="8" w:color="009BDE"/>
            </w:tcBorders>
          </w:tcPr>
          <w:p>
            <w:pPr>
              <w:spacing w:after="0"/>
              <w:rPr>
                <w:sz w:val="5"/>
                <w:szCs w:val="5"/>
                <w:color w:val="auto"/>
              </w:rPr>
            </w:pPr>
          </w:p>
        </w:tc>
        <w:tc>
          <w:tcPr>
            <w:tcW w:w="220" w:type="dxa"/>
            <w:vAlign w:val="bottom"/>
            <w:tcBorders>
              <w:top w:val="single" w:sz="8" w:color="0000EE"/>
              <w:bottom w:val="single" w:sz="8" w:color="009BDE"/>
            </w:tcBorders>
          </w:tcPr>
          <w:p>
            <w:pPr>
              <w:spacing w:after="0"/>
              <w:rPr>
                <w:sz w:val="5"/>
                <w:szCs w:val="5"/>
                <w:color w:val="auto"/>
              </w:rPr>
            </w:pPr>
          </w:p>
        </w:tc>
        <w:tc>
          <w:tcPr>
            <w:tcW w:w="120" w:type="dxa"/>
            <w:vAlign w:val="bottom"/>
            <w:tcBorders>
              <w:top w:val="single" w:sz="8" w:color="0000EE"/>
              <w:bottom w:val="single" w:sz="8" w:color="009BDE"/>
            </w:tcBorders>
          </w:tcPr>
          <w:p>
            <w:pPr>
              <w:spacing w:after="0"/>
              <w:rPr>
                <w:sz w:val="5"/>
                <w:szCs w:val="5"/>
                <w:color w:val="auto"/>
              </w:rPr>
            </w:pPr>
          </w:p>
        </w:tc>
        <w:tc>
          <w:tcPr>
            <w:tcW w:w="280" w:type="dxa"/>
            <w:vAlign w:val="bottom"/>
            <w:tcBorders>
              <w:top w:val="single" w:sz="8" w:color="0000EE"/>
              <w:bottom w:val="single" w:sz="8" w:color="009BDE"/>
            </w:tcBorders>
          </w:tcPr>
          <w:p>
            <w:pPr>
              <w:spacing w:after="0"/>
              <w:rPr>
                <w:sz w:val="5"/>
                <w:szCs w:val="5"/>
                <w:color w:val="auto"/>
              </w:rPr>
            </w:pPr>
          </w:p>
        </w:tc>
        <w:tc>
          <w:tcPr>
            <w:tcW w:w="60" w:type="dxa"/>
            <w:vAlign w:val="bottom"/>
            <w:tcBorders>
              <w:top w:val="single" w:sz="8" w:color="0000EE"/>
              <w:bottom w:val="single" w:sz="8" w:color="009BDE"/>
            </w:tcBorders>
          </w:tcPr>
          <w:p>
            <w:pPr>
              <w:spacing w:after="0"/>
              <w:rPr>
                <w:sz w:val="5"/>
                <w:szCs w:val="5"/>
                <w:color w:val="auto"/>
              </w:rPr>
            </w:pPr>
          </w:p>
        </w:tc>
        <w:tc>
          <w:tcPr>
            <w:tcW w:w="260" w:type="dxa"/>
            <w:vAlign w:val="bottom"/>
            <w:tcBorders>
              <w:top w:val="single" w:sz="8" w:color="0000EE"/>
              <w:bottom w:val="single" w:sz="8" w:color="009BDE"/>
            </w:tcBorders>
          </w:tcPr>
          <w:p>
            <w:pPr>
              <w:spacing w:after="0"/>
              <w:rPr>
                <w:sz w:val="5"/>
                <w:szCs w:val="5"/>
                <w:color w:val="auto"/>
              </w:rPr>
            </w:pPr>
          </w:p>
        </w:tc>
        <w:tc>
          <w:tcPr>
            <w:tcW w:w="180" w:type="dxa"/>
            <w:vAlign w:val="bottom"/>
            <w:tcBorders>
              <w:top w:val="single" w:sz="8" w:color="0000EE"/>
              <w:bottom w:val="single" w:sz="8" w:color="009BDE"/>
            </w:tcBorders>
          </w:tcPr>
          <w:p>
            <w:pPr>
              <w:spacing w:after="0"/>
              <w:rPr>
                <w:sz w:val="5"/>
                <w:szCs w:val="5"/>
                <w:color w:val="auto"/>
              </w:rPr>
            </w:pPr>
          </w:p>
        </w:tc>
        <w:tc>
          <w:tcPr>
            <w:tcW w:w="20" w:type="dxa"/>
            <w:vAlign w:val="bottom"/>
            <w:tcBorders>
              <w:top w:val="single" w:sz="8" w:color="0000EE"/>
              <w:bottom w:val="single" w:sz="8" w:color="009BDE"/>
            </w:tcBorders>
          </w:tcPr>
          <w:p>
            <w:pPr>
              <w:spacing w:after="0"/>
              <w:rPr>
                <w:sz w:val="5"/>
                <w:szCs w:val="5"/>
                <w:color w:val="auto"/>
              </w:rPr>
            </w:pPr>
          </w:p>
        </w:tc>
        <w:tc>
          <w:tcPr>
            <w:tcW w:w="20" w:type="dxa"/>
            <w:vAlign w:val="bottom"/>
            <w:tcBorders>
              <w:top w:val="single" w:sz="8" w:color="0000EE"/>
              <w:bottom w:val="single" w:sz="8" w:color="009BDE"/>
            </w:tcBorders>
          </w:tcPr>
          <w:p>
            <w:pPr>
              <w:spacing w:after="0"/>
              <w:rPr>
                <w:sz w:val="5"/>
                <w:szCs w:val="5"/>
                <w:color w:val="auto"/>
              </w:rPr>
            </w:pPr>
          </w:p>
        </w:tc>
        <w:tc>
          <w:tcPr>
            <w:tcW w:w="340" w:type="dxa"/>
            <w:vAlign w:val="bottom"/>
            <w:tcBorders>
              <w:top w:val="single" w:sz="8" w:color="0000EE"/>
              <w:bottom w:val="single" w:sz="8" w:color="009BDE"/>
            </w:tcBorders>
          </w:tcPr>
          <w:p>
            <w:pPr>
              <w:spacing w:after="0"/>
              <w:rPr>
                <w:sz w:val="5"/>
                <w:szCs w:val="5"/>
                <w:color w:val="auto"/>
              </w:rPr>
            </w:pPr>
          </w:p>
        </w:tc>
        <w:tc>
          <w:tcPr>
            <w:tcW w:w="40" w:type="dxa"/>
            <w:vAlign w:val="bottom"/>
            <w:tcBorders>
              <w:top w:val="single" w:sz="8" w:color="0000EE"/>
              <w:bottom w:val="single" w:sz="8" w:color="009BDE"/>
            </w:tcBorders>
          </w:tcPr>
          <w:p>
            <w:pPr>
              <w:spacing w:after="0"/>
              <w:rPr>
                <w:sz w:val="5"/>
                <w:szCs w:val="5"/>
                <w:color w:val="auto"/>
              </w:rPr>
            </w:pPr>
          </w:p>
        </w:tc>
        <w:tc>
          <w:tcPr>
            <w:tcW w:w="40" w:type="dxa"/>
            <w:vAlign w:val="bottom"/>
            <w:tcBorders>
              <w:top w:val="single" w:sz="8" w:color="0000EE"/>
              <w:bottom w:val="single" w:sz="8" w:color="009BDE"/>
            </w:tcBorders>
          </w:tcPr>
          <w:p>
            <w:pPr>
              <w:spacing w:after="0"/>
              <w:rPr>
                <w:sz w:val="5"/>
                <w:szCs w:val="5"/>
                <w:color w:val="auto"/>
              </w:rPr>
            </w:pPr>
          </w:p>
        </w:tc>
        <w:tc>
          <w:tcPr>
            <w:tcW w:w="80" w:type="dxa"/>
            <w:vAlign w:val="bottom"/>
            <w:tcBorders>
              <w:top w:val="single" w:sz="8" w:color="0000EE"/>
              <w:bottom w:val="single" w:sz="8" w:color="009BDE"/>
            </w:tcBorders>
          </w:tcPr>
          <w:p>
            <w:pPr>
              <w:spacing w:after="0"/>
              <w:rPr>
                <w:sz w:val="5"/>
                <w:szCs w:val="5"/>
                <w:color w:val="auto"/>
              </w:rPr>
            </w:pPr>
          </w:p>
        </w:tc>
        <w:tc>
          <w:tcPr>
            <w:tcW w:w="20" w:type="dxa"/>
            <w:vAlign w:val="bottom"/>
            <w:tcBorders>
              <w:top w:val="single" w:sz="8" w:color="0000EE"/>
              <w:bottom w:val="single" w:sz="8" w:color="009BDE"/>
            </w:tcBorders>
          </w:tcPr>
          <w:p>
            <w:pPr>
              <w:spacing w:after="0"/>
              <w:rPr>
                <w:sz w:val="5"/>
                <w:szCs w:val="5"/>
                <w:color w:val="auto"/>
              </w:rPr>
            </w:pPr>
          </w:p>
        </w:tc>
        <w:tc>
          <w:tcPr>
            <w:tcW w:w="360" w:type="dxa"/>
            <w:vAlign w:val="bottom"/>
            <w:tcBorders>
              <w:top w:val="single" w:sz="8" w:color="0000EE"/>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20" w:type="dxa"/>
            <w:vAlign w:val="bottom"/>
            <w:tcBorders>
              <w:bottom w:val="single" w:sz="8" w:color="009BDE"/>
            </w:tcBorders>
          </w:tcPr>
          <w:p>
            <w:pPr>
              <w:spacing w:after="0"/>
              <w:rPr>
                <w:sz w:val="5"/>
                <w:szCs w:val="5"/>
                <w:color w:val="auto"/>
              </w:rPr>
            </w:pPr>
          </w:p>
        </w:tc>
        <w:tc>
          <w:tcPr>
            <w:tcW w:w="12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20" w:type="dxa"/>
            <w:vAlign w:val="bottom"/>
            <w:tcBorders>
              <w:bottom w:val="single" w:sz="8" w:color="009BDE"/>
            </w:tcBorders>
          </w:tcPr>
          <w:p>
            <w:pPr>
              <w:spacing w:after="0"/>
              <w:rPr>
                <w:sz w:val="5"/>
                <w:szCs w:val="5"/>
                <w:color w:val="auto"/>
              </w:rPr>
            </w:pPr>
          </w:p>
        </w:tc>
        <w:tc>
          <w:tcPr>
            <w:tcW w:w="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380" w:type="dxa"/>
            <w:vAlign w:val="bottom"/>
            <w:tcBorders>
              <w:bottom w:val="single" w:sz="8" w:color="0000EE"/>
            </w:tcBorders>
            <w:gridSpan w:val="4"/>
          </w:tcPr>
          <w:p>
            <w:pPr>
              <w:spacing w:after="0" w:line="169" w:lineRule="exact"/>
              <w:rPr>
                <w:sz w:val="20"/>
                <w:szCs w:val="20"/>
                <w:color w:val="auto"/>
              </w:rPr>
            </w:pPr>
            <w:r>
              <w:rPr>
                <w:rFonts w:ascii="Arial" w:cs="Arial" w:eastAsia="Arial" w:hAnsi="Arial"/>
                <w:sz w:val="16"/>
                <w:szCs w:val="16"/>
                <w:color w:val="0000EE"/>
                <w:w w:val="95"/>
              </w:rPr>
              <w:t>Executive Summary</w:t>
            </w:r>
          </w:p>
        </w:tc>
        <w:tc>
          <w:tcPr>
            <w:tcW w:w="5660" w:type="dxa"/>
            <w:vAlign w:val="bottom"/>
            <w:gridSpan w:val="27"/>
          </w:tcPr>
          <w:p>
            <w:pPr>
              <w:spacing w:after="0"/>
              <w:rPr>
                <w:sz w:val="14"/>
                <w:szCs w:val="14"/>
                <w:color w:val="auto"/>
              </w:rPr>
            </w:pPr>
          </w:p>
        </w:tc>
        <w:tc>
          <w:tcPr>
            <w:tcW w:w="300" w:type="dxa"/>
            <w:vAlign w:val="bottom"/>
          </w:tcPr>
          <w:p>
            <w:pPr>
              <w:jc w:val="right"/>
              <w:spacing w:after="0" w:line="169" w:lineRule="exact"/>
              <w:rPr>
                <w:sz w:val="20"/>
                <w:szCs w:val="20"/>
                <w:color w:val="auto"/>
              </w:rPr>
            </w:pPr>
            <w:r>
              <w:rPr>
                <w:rFonts w:ascii="Arial" w:cs="Arial" w:eastAsia="Arial" w:hAnsi="Arial"/>
                <w:sz w:val="16"/>
                <w:szCs w:val="16"/>
                <w:b w:val="1"/>
                <w:bCs w:val="1"/>
                <w:color w:val="009BDE"/>
              </w:rPr>
              <w:t>26</w:t>
            </w:r>
          </w:p>
        </w:tc>
        <w:tc>
          <w:tcPr>
            <w:tcW w:w="0" w:type="dxa"/>
            <w:vAlign w:val="bottom"/>
          </w:tcPr>
          <w:p>
            <w:pPr>
              <w:spacing w:after="0"/>
              <w:rPr>
                <w:sz w:val="1"/>
                <w:szCs w:val="1"/>
                <w:color w:val="auto"/>
              </w:rPr>
            </w:pPr>
          </w:p>
        </w:tc>
      </w:tr>
      <w:tr>
        <w:trPr>
          <w:trHeight w:val="205"/>
        </w:trPr>
        <w:tc>
          <w:tcPr>
            <w:tcW w:w="360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w w:val="96"/>
              </w:rPr>
              <w:t>Executive Compensation Philosophy and Objectives</w:t>
            </w:r>
          </w:p>
        </w:tc>
        <w:tc>
          <w:tcPr>
            <w:tcW w:w="3440" w:type="dxa"/>
            <w:vAlign w:val="bottom"/>
            <w:gridSpan w:val="11"/>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009BDE"/>
              </w:rPr>
              <w:t>36</w:t>
            </w:r>
          </w:p>
        </w:tc>
        <w:tc>
          <w:tcPr>
            <w:tcW w:w="0" w:type="dxa"/>
            <w:vAlign w:val="bottom"/>
          </w:tcPr>
          <w:p>
            <w:pPr>
              <w:spacing w:after="0"/>
              <w:rPr>
                <w:sz w:val="1"/>
                <w:szCs w:val="1"/>
                <w:color w:val="auto"/>
              </w:rPr>
            </w:pPr>
          </w:p>
        </w:tc>
      </w:tr>
      <w:tr>
        <w:trPr>
          <w:trHeight w:val="205"/>
        </w:trPr>
        <w:tc>
          <w:tcPr>
            <w:tcW w:w="7040" w:type="dxa"/>
            <w:vAlign w:val="bottom"/>
            <w:gridSpan w:val="31"/>
          </w:tcPr>
          <w:p>
            <w:pPr>
              <w:spacing w:after="0"/>
              <w:rPr>
                <w:sz w:val="20"/>
                <w:szCs w:val="20"/>
                <w:color w:val="auto"/>
              </w:rPr>
            </w:pPr>
            <w:r>
              <w:rPr>
                <w:rFonts w:ascii="Arial" w:cs="Arial" w:eastAsia="Arial" w:hAnsi="Arial"/>
                <w:sz w:val="16"/>
                <w:szCs w:val="16"/>
                <w:color w:val="0000EE"/>
              </w:rPr>
              <w:t>Compensation Process</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009BDE"/>
              </w:rPr>
              <w:t>37</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b w:val="1"/>
                <w:bCs w:val="1"/>
                <w:color w:val="009BDE"/>
              </w:rPr>
              <w:t>40</w:t>
            </w:r>
          </w:p>
        </w:tc>
        <w:tc>
          <w:tcPr>
            <w:tcW w:w="0" w:type="dxa"/>
            <w:vAlign w:val="bottom"/>
          </w:tcPr>
          <w:p>
            <w:pPr>
              <w:spacing w:after="0" w:line="20" w:lineRule="exact"/>
              <w:rPr>
                <w:sz w:val="1"/>
                <w:szCs w:val="1"/>
                <w:color w:val="auto"/>
              </w:rPr>
            </w:pPr>
          </w:p>
        </w:tc>
      </w:tr>
      <w:tr>
        <w:trPr>
          <w:trHeight w:val="205"/>
        </w:trPr>
        <w:tc>
          <w:tcPr>
            <w:tcW w:w="3060" w:type="dxa"/>
            <w:vAlign w:val="bottom"/>
            <w:tcBorders>
              <w:bottom w:val="single" w:sz="8" w:color="0000EE"/>
            </w:tcBorders>
            <w:gridSpan w:val="17"/>
          </w:tcPr>
          <w:p>
            <w:pPr>
              <w:spacing w:after="0"/>
              <w:rPr>
                <w:sz w:val="20"/>
                <w:szCs w:val="20"/>
                <w:color w:val="auto"/>
              </w:rPr>
            </w:pPr>
            <w:r>
              <w:rPr>
                <w:rFonts w:ascii="Arial" w:cs="Arial" w:eastAsia="Arial" w:hAnsi="Arial"/>
                <w:sz w:val="16"/>
                <w:szCs w:val="16"/>
                <w:color w:val="0000EE"/>
                <w:w w:val="96"/>
              </w:rPr>
              <w:t>Executive Compensation Program Elements</w:t>
            </w:r>
          </w:p>
        </w:tc>
        <w:tc>
          <w:tcPr>
            <w:tcW w:w="3980" w:type="dxa"/>
            <w:vAlign w:val="bottom"/>
            <w:gridSpan w:val="14"/>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2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w w:val="96"/>
              </w:rPr>
              <w:t>Other Compensation Considerations</w:t>
            </w:r>
          </w:p>
        </w:tc>
        <w:tc>
          <w:tcPr>
            <w:tcW w:w="4520" w:type="dxa"/>
            <w:vAlign w:val="bottom"/>
            <w:gridSpan w:val="20"/>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009BDE"/>
              </w:rPr>
              <w:t>50</w:t>
            </w:r>
          </w:p>
        </w:tc>
        <w:tc>
          <w:tcPr>
            <w:tcW w:w="0" w:type="dxa"/>
            <w:vAlign w:val="bottom"/>
          </w:tcPr>
          <w:p>
            <w:pPr>
              <w:spacing w:after="0"/>
              <w:rPr>
                <w:sz w:val="1"/>
                <w:szCs w:val="1"/>
                <w:color w:val="auto"/>
              </w:rPr>
            </w:pPr>
          </w:p>
        </w:tc>
      </w:tr>
      <w:tr>
        <w:trPr>
          <w:trHeight w:val="205"/>
        </w:trPr>
        <w:tc>
          <w:tcPr>
            <w:tcW w:w="172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w w:val="96"/>
              </w:rPr>
              <w:t>Executive Compensation</w:t>
            </w:r>
          </w:p>
        </w:tc>
        <w:tc>
          <w:tcPr>
            <w:tcW w:w="5320" w:type="dxa"/>
            <w:vAlign w:val="bottom"/>
            <w:gridSpan w:val="25"/>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009BDE"/>
              </w:rPr>
              <w:t>52</w:t>
            </w: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1800" w:type="dxa"/>
            <w:vAlign w:val="bottom"/>
            <w:tcBorders>
              <w:bottom w:val="single" w:sz="8" w:color="0000EE"/>
            </w:tcBorders>
            <w:gridSpan w:val="7"/>
          </w:tcPr>
          <w:p>
            <w:pPr>
              <w:spacing w:after="0"/>
              <w:rPr>
                <w:sz w:val="20"/>
                <w:szCs w:val="20"/>
                <w:color w:val="auto"/>
              </w:rPr>
            </w:pPr>
            <w:r>
              <w:rPr>
                <w:rFonts w:ascii="Arial" w:cs="Arial" w:eastAsia="Arial" w:hAnsi="Arial"/>
                <w:sz w:val="13"/>
                <w:szCs w:val="13"/>
                <w:color w:val="0000EE"/>
                <w:w w:val="99"/>
              </w:rPr>
              <w:t>Summary Compensation Table</w:t>
            </w:r>
          </w:p>
        </w:tc>
        <w:tc>
          <w:tcPr>
            <w:tcW w:w="4980" w:type="dxa"/>
            <w:vAlign w:val="bottom"/>
            <w:gridSpan w:val="23"/>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009BDE"/>
              </w:rPr>
              <w:t>52</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740" w:type="dxa"/>
            <w:vAlign w:val="bottom"/>
            <w:tcBorders>
              <w:bottom w:val="single" w:sz="8" w:color="0000EE"/>
            </w:tcBorders>
            <w:gridSpan w:val="6"/>
          </w:tcPr>
          <w:p>
            <w:pPr>
              <w:spacing w:after="0"/>
              <w:rPr>
                <w:sz w:val="20"/>
                <w:szCs w:val="20"/>
                <w:color w:val="auto"/>
              </w:rPr>
            </w:pPr>
            <w:r>
              <w:rPr>
                <w:rFonts w:ascii="Arial" w:cs="Arial" w:eastAsia="Arial" w:hAnsi="Arial"/>
                <w:sz w:val="13"/>
                <w:szCs w:val="13"/>
                <w:color w:val="0000EE"/>
              </w:rPr>
              <w:t>Grants of Plan-Based Awards</w:t>
            </w:r>
          </w:p>
        </w:tc>
        <w:tc>
          <w:tcPr>
            <w:tcW w:w="5040" w:type="dxa"/>
            <w:vAlign w:val="bottom"/>
            <w:gridSpan w:val="24"/>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009BDE"/>
              </w:rPr>
              <w:t>55</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2700" w:type="dxa"/>
            <w:vAlign w:val="bottom"/>
            <w:tcBorders>
              <w:bottom w:val="single" w:sz="8" w:color="0000EE"/>
            </w:tcBorders>
            <w:gridSpan w:val="14"/>
          </w:tcPr>
          <w:p>
            <w:pPr>
              <w:spacing w:after="0"/>
              <w:rPr>
                <w:sz w:val="20"/>
                <w:szCs w:val="20"/>
                <w:color w:val="auto"/>
              </w:rPr>
            </w:pPr>
            <w:r>
              <w:rPr>
                <w:rFonts w:ascii="Arial" w:cs="Arial" w:eastAsia="Arial" w:hAnsi="Arial"/>
                <w:sz w:val="13"/>
                <w:szCs w:val="13"/>
                <w:color w:val="0000EE"/>
              </w:rPr>
              <w:t>Outstanding Equity Awards at Fiscal Year-End</w:t>
            </w:r>
          </w:p>
        </w:tc>
        <w:tc>
          <w:tcPr>
            <w:tcW w:w="4080" w:type="dxa"/>
            <w:vAlign w:val="bottom"/>
            <w:gridSpan w:val="16"/>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009BDE"/>
              </w:rPr>
              <w:t>56</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2060" w:type="dxa"/>
            <w:vAlign w:val="bottom"/>
            <w:tcBorders>
              <w:bottom w:val="single" w:sz="8" w:color="0000EE"/>
            </w:tcBorders>
            <w:gridSpan w:val="8"/>
          </w:tcPr>
          <w:p>
            <w:pPr>
              <w:spacing w:after="0"/>
              <w:rPr>
                <w:sz w:val="20"/>
                <w:szCs w:val="20"/>
                <w:color w:val="auto"/>
              </w:rPr>
            </w:pPr>
            <w:r>
              <w:rPr>
                <w:rFonts w:ascii="Arial" w:cs="Arial" w:eastAsia="Arial" w:hAnsi="Arial"/>
                <w:sz w:val="13"/>
                <w:szCs w:val="13"/>
                <w:color w:val="0000EE"/>
              </w:rPr>
              <w:t>Option Exercises and Stock Vested</w:t>
            </w:r>
          </w:p>
        </w:tc>
        <w:tc>
          <w:tcPr>
            <w:tcW w:w="4720" w:type="dxa"/>
            <w:vAlign w:val="bottom"/>
            <w:gridSpan w:val="22"/>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009BDE"/>
              </w:rPr>
              <w:t>58</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780" w:type="dxa"/>
            <w:vAlign w:val="bottom"/>
            <w:gridSpan w:val="30"/>
          </w:tcPr>
          <w:p>
            <w:pPr>
              <w:spacing w:after="0"/>
              <w:rPr>
                <w:sz w:val="20"/>
                <w:szCs w:val="20"/>
                <w:color w:val="auto"/>
              </w:rPr>
            </w:pPr>
            <w:r>
              <w:rPr>
                <w:rFonts w:ascii="Arial" w:cs="Arial" w:eastAsia="Arial" w:hAnsi="Arial"/>
                <w:sz w:val="13"/>
                <w:szCs w:val="13"/>
                <w:color w:val="0000EE"/>
              </w:rPr>
              <w:t>Retirement Plan Annual Benefits and Payments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9BDE"/>
              </w:rPr>
              <w:t>59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b w:val="1"/>
                <w:bCs w:val="1"/>
                <w:color w:val="009BDE"/>
              </w:rPr>
              <w:t>60</w:t>
            </w:r>
          </w:p>
        </w:tc>
        <w:tc>
          <w:tcPr>
            <w:tcW w:w="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4300" w:type="dxa"/>
            <w:vAlign w:val="bottom"/>
            <w:tcBorders>
              <w:bottom w:val="single" w:sz="8" w:color="0000EE"/>
            </w:tcBorders>
            <w:gridSpan w:val="22"/>
          </w:tcPr>
          <w:p>
            <w:pPr>
              <w:spacing w:after="0"/>
              <w:rPr>
                <w:sz w:val="20"/>
                <w:szCs w:val="20"/>
                <w:color w:val="auto"/>
              </w:rPr>
            </w:pPr>
            <w:r>
              <w:rPr>
                <w:rFonts w:ascii="Arial" w:cs="Arial" w:eastAsia="Arial" w:hAnsi="Arial"/>
                <w:sz w:val="13"/>
                <w:szCs w:val="13"/>
                <w:color w:val="0000EE"/>
              </w:rPr>
              <w:t>Non-Qualified Deferred Compensation and Other Deferred Compensation</w:t>
            </w:r>
          </w:p>
        </w:tc>
        <w:tc>
          <w:tcPr>
            <w:tcW w:w="2480" w:type="dxa"/>
            <w:vAlign w:val="bottom"/>
            <w:gridSpan w:val="8"/>
          </w:tcPr>
          <w:p>
            <w:pPr>
              <w:spacing w:after="0"/>
              <w:rPr>
                <w:sz w:val="13"/>
                <w:szCs w:val="13"/>
                <w:color w:val="auto"/>
              </w:rPr>
            </w:pPr>
          </w:p>
        </w:tc>
        <w:tc>
          <w:tcPr>
            <w:tcW w:w="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3460" w:type="dxa"/>
            <w:vAlign w:val="bottom"/>
            <w:tcBorders>
              <w:bottom w:val="single" w:sz="8" w:color="0000EE"/>
            </w:tcBorders>
            <w:gridSpan w:val="20"/>
          </w:tcPr>
          <w:p>
            <w:pPr>
              <w:spacing w:after="0"/>
              <w:rPr>
                <w:sz w:val="20"/>
                <w:szCs w:val="20"/>
                <w:color w:val="auto"/>
              </w:rPr>
            </w:pPr>
            <w:r>
              <w:rPr>
                <w:rFonts w:ascii="Arial" w:cs="Arial" w:eastAsia="Arial" w:hAnsi="Arial"/>
                <w:sz w:val="13"/>
                <w:szCs w:val="13"/>
                <w:color w:val="0000EE"/>
              </w:rPr>
              <w:t>Potential Payments Upon Termination or Change in Control</w:t>
            </w:r>
          </w:p>
        </w:tc>
        <w:tc>
          <w:tcPr>
            <w:tcW w:w="3320" w:type="dxa"/>
            <w:vAlign w:val="bottom"/>
            <w:gridSpan w:val="10"/>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009BDE"/>
              </w:rPr>
              <w:t>61</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780" w:type="dxa"/>
            <w:vAlign w:val="bottom"/>
            <w:gridSpan w:val="30"/>
          </w:tcPr>
          <w:p>
            <w:pPr>
              <w:spacing w:after="0"/>
              <w:rPr>
                <w:sz w:val="20"/>
                <w:szCs w:val="20"/>
                <w:color w:val="auto"/>
              </w:rPr>
            </w:pPr>
            <w:r>
              <w:rPr>
                <w:rFonts w:ascii="Arial" w:cs="Arial" w:eastAsia="Arial" w:hAnsi="Arial"/>
                <w:sz w:val="13"/>
                <w:szCs w:val="13"/>
                <w:color w:val="0000EE"/>
              </w:rPr>
              <w:t>Agreements and Arrangements Providing Post-Employment and Change in Control Benefits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9BDE"/>
              </w:rPr>
              <w:t>63</w:t>
            </w:r>
          </w:p>
        </w:tc>
        <w:tc>
          <w:tcPr>
            <w:tcW w:w="0" w:type="dxa"/>
            <w:vAlign w:val="bottom"/>
          </w:tcPr>
          <w:p>
            <w:pPr>
              <w:spacing w:after="0"/>
              <w:rPr>
                <w:sz w:val="1"/>
                <w:szCs w:val="1"/>
                <w:color w:val="auto"/>
              </w:rPr>
            </w:pPr>
          </w:p>
        </w:tc>
      </w:tr>
      <w:tr>
        <w:trPr>
          <w:trHeight w:val="27"/>
        </w:trPr>
        <w:tc>
          <w:tcPr>
            <w:tcW w:w="260" w:type="dxa"/>
            <w:vAlign w:val="bottom"/>
            <w:shd w:val="clear" w:color="auto" w:fill="009BD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580" w:type="dxa"/>
            <w:vAlign w:val="bottom"/>
            <w:shd w:val="clear" w:color="auto" w:fill="009BDE"/>
          </w:tcPr>
          <w:p>
            <w:pPr>
              <w:spacing w:after="0"/>
              <w:rPr>
                <w:sz w:val="2"/>
                <w:szCs w:val="2"/>
                <w:color w:val="auto"/>
              </w:rPr>
            </w:pPr>
          </w:p>
        </w:tc>
        <w:tc>
          <w:tcPr>
            <w:tcW w:w="160" w:type="dxa"/>
            <w:vAlign w:val="bottom"/>
            <w:shd w:val="clear" w:color="auto" w:fill="009BDE"/>
          </w:tcPr>
          <w:p>
            <w:pPr>
              <w:spacing w:after="0"/>
              <w:rPr>
                <w:sz w:val="2"/>
                <w:szCs w:val="2"/>
                <w:color w:val="auto"/>
              </w:rPr>
            </w:pPr>
          </w:p>
        </w:tc>
        <w:tc>
          <w:tcPr>
            <w:tcW w:w="420" w:type="dxa"/>
            <w:vAlign w:val="bottom"/>
            <w:shd w:val="clear" w:color="auto" w:fill="009BDE"/>
          </w:tcPr>
          <w:p>
            <w:pPr>
              <w:spacing w:after="0"/>
              <w:rPr>
                <w:sz w:val="2"/>
                <w:szCs w:val="2"/>
                <w:color w:val="auto"/>
              </w:rPr>
            </w:pPr>
          </w:p>
        </w:tc>
        <w:tc>
          <w:tcPr>
            <w:tcW w:w="20" w:type="dxa"/>
            <w:vAlign w:val="bottom"/>
            <w:shd w:val="clear" w:color="auto" w:fill="009BDE"/>
          </w:tcPr>
          <w:p>
            <w:pPr>
              <w:spacing w:after="0"/>
              <w:rPr>
                <w:sz w:val="2"/>
                <w:szCs w:val="2"/>
                <w:color w:val="auto"/>
              </w:rPr>
            </w:pPr>
          </w:p>
        </w:tc>
        <w:tc>
          <w:tcPr>
            <w:tcW w:w="160" w:type="dxa"/>
            <w:vAlign w:val="bottom"/>
            <w:shd w:val="clear" w:color="auto" w:fill="009BDE"/>
          </w:tcPr>
          <w:p>
            <w:pPr>
              <w:spacing w:after="0"/>
              <w:rPr>
                <w:sz w:val="2"/>
                <w:szCs w:val="2"/>
                <w:color w:val="auto"/>
              </w:rPr>
            </w:pPr>
          </w:p>
        </w:tc>
        <w:tc>
          <w:tcPr>
            <w:tcW w:w="80" w:type="dxa"/>
            <w:vAlign w:val="bottom"/>
            <w:shd w:val="clear" w:color="auto" w:fill="009BDE"/>
          </w:tcPr>
          <w:p>
            <w:pPr>
              <w:spacing w:after="0"/>
              <w:rPr>
                <w:sz w:val="2"/>
                <w:szCs w:val="2"/>
                <w:color w:val="auto"/>
              </w:rPr>
            </w:pPr>
          </w:p>
        </w:tc>
        <w:tc>
          <w:tcPr>
            <w:tcW w:w="300" w:type="dxa"/>
            <w:vAlign w:val="bottom"/>
            <w:shd w:val="clear" w:color="auto" w:fill="009BD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040" w:type="dxa"/>
            <w:vAlign w:val="bottom"/>
            <w:gridSpan w:val="31"/>
          </w:tcPr>
          <w:p>
            <w:pPr>
              <w:spacing w:after="0" w:line="180" w:lineRule="exact"/>
              <w:rPr>
                <w:sz w:val="20"/>
                <w:szCs w:val="20"/>
                <w:color w:val="auto"/>
              </w:rPr>
            </w:pPr>
            <w:r>
              <w:rPr>
                <w:rFonts w:ascii="Arial" w:cs="Arial" w:eastAsia="Arial" w:hAnsi="Arial"/>
                <w:sz w:val="16"/>
                <w:szCs w:val="16"/>
                <w:color w:val="0000EE"/>
              </w:rPr>
              <w:t>SHAREHOLDER ADVISORY VOTE ON COMPENSATION FOR NAMED EXECUTIVE OFFICERS</w:t>
            </w:r>
          </w:p>
        </w:tc>
        <w:tc>
          <w:tcPr>
            <w:tcW w:w="300" w:type="dxa"/>
            <w:vAlign w:val="bottom"/>
            <w:vMerge w:val="restart"/>
          </w:tcPr>
          <w:p>
            <w:pPr>
              <w:jc w:val="right"/>
              <w:spacing w:after="0"/>
              <w:rPr>
                <w:sz w:val="20"/>
                <w:szCs w:val="20"/>
                <w:color w:val="auto"/>
              </w:rPr>
            </w:pPr>
            <w:r>
              <w:rPr>
                <w:rFonts w:ascii="Arial" w:cs="Arial" w:eastAsia="Arial" w:hAnsi="Arial"/>
                <w:sz w:val="16"/>
                <w:szCs w:val="16"/>
                <w:b w:val="1"/>
                <w:bCs w:val="1"/>
                <w:color w:val="009BDE"/>
              </w:rPr>
              <w:t>75</w:t>
            </w:r>
          </w:p>
        </w:tc>
        <w:tc>
          <w:tcPr>
            <w:tcW w:w="0" w:type="dxa"/>
            <w:vAlign w:val="bottom"/>
          </w:tcPr>
          <w:p>
            <w:pPr>
              <w:spacing w:after="0"/>
              <w:rPr>
                <w:sz w:val="1"/>
                <w:szCs w:val="1"/>
                <w:color w:val="auto"/>
              </w:rPr>
            </w:pPr>
          </w:p>
        </w:tc>
      </w:tr>
      <w:tr>
        <w:trPr>
          <w:trHeight w:val="169"/>
        </w:trPr>
        <w:tc>
          <w:tcPr>
            <w:tcW w:w="6800" w:type="dxa"/>
            <w:vAlign w:val="bottom"/>
            <w:tcBorders>
              <w:top w:val="single" w:sz="8" w:color="0000EE"/>
            </w:tcBorders>
            <w:gridSpan w:val="29"/>
          </w:tcPr>
          <w:p>
            <w:pPr>
              <w:spacing w:after="0" w:line="169" w:lineRule="exact"/>
              <w:rPr>
                <w:sz w:val="20"/>
                <w:szCs w:val="20"/>
                <w:color w:val="auto"/>
              </w:rPr>
            </w:pPr>
            <w:r>
              <w:rPr>
                <w:rFonts w:ascii="Arial" w:cs="Arial" w:eastAsia="Arial" w:hAnsi="Arial"/>
                <w:sz w:val="16"/>
                <w:szCs w:val="16"/>
                <w:color w:val="0000EE"/>
              </w:rPr>
              <w:t>(Proposal 2)</w:t>
            </w:r>
          </w:p>
        </w:tc>
        <w:tc>
          <w:tcPr>
            <w:tcW w:w="240" w:type="dxa"/>
            <w:vAlign w:val="bottom"/>
            <w:gridSpan w:val="2"/>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0000EE"/>
              <w:bottom w:val="single" w:sz="8" w:color="009BDE"/>
            </w:tcBorders>
          </w:tcPr>
          <w:p>
            <w:pPr>
              <w:spacing w:after="0" w:line="20" w:lineRule="exact"/>
              <w:rPr>
                <w:sz w:val="1"/>
                <w:szCs w:val="1"/>
                <w:color w:val="auto"/>
              </w:rPr>
            </w:pPr>
          </w:p>
        </w:tc>
        <w:tc>
          <w:tcPr>
            <w:tcW w:w="120" w:type="dxa"/>
            <w:vAlign w:val="bottom"/>
            <w:tcBorders>
              <w:top w:val="single" w:sz="8" w:color="0000EE"/>
              <w:bottom w:val="single" w:sz="8" w:color="009BDE"/>
            </w:tcBorders>
          </w:tcPr>
          <w:p>
            <w:pPr>
              <w:spacing w:after="0" w:line="20" w:lineRule="exact"/>
              <w:rPr>
                <w:sz w:val="1"/>
                <w:szCs w:val="1"/>
                <w:color w:val="auto"/>
              </w:rPr>
            </w:pPr>
          </w:p>
        </w:tc>
        <w:tc>
          <w:tcPr>
            <w:tcW w:w="460" w:type="dxa"/>
            <w:vAlign w:val="bottom"/>
            <w:tcBorders>
              <w:top w:val="single" w:sz="8" w:color="0000EE"/>
              <w:bottom w:val="single" w:sz="8" w:color="009BDE"/>
            </w:tcBorders>
          </w:tcPr>
          <w:p>
            <w:pPr>
              <w:spacing w:after="0" w:line="20" w:lineRule="exact"/>
              <w:rPr>
                <w:sz w:val="1"/>
                <w:szCs w:val="1"/>
                <w:color w:val="auto"/>
              </w:rPr>
            </w:pPr>
          </w:p>
        </w:tc>
        <w:tc>
          <w:tcPr>
            <w:tcW w:w="540" w:type="dxa"/>
            <w:vAlign w:val="bottom"/>
            <w:tcBorders>
              <w:bottom w:val="single" w:sz="8" w:color="009BDE"/>
            </w:tcBorders>
          </w:tcPr>
          <w:p>
            <w:pPr>
              <w:spacing w:after="0" w:line="20" w:lineRule="exact"/>
              <w:rPr>
                <w:sz w:val="1"/>
                <w:szCs w:val="1"/>
                <w:color w:val="auto"/>
              </w:rPr>
            </w:pPr>
          </w:p>
        </w:tc>
        <w:tc>
          <w:tcPr>
            <w:tcW w:w="220" w:type="dxa"/>
            <w:vAlign w:val="bottom"/>
            <w:tcBorders>
              <w:bottom w:val="single" w:sz="8" w:color="009BDE"/>
            </w:tcBorders>
          </w:tcPr>
          <w:p>
            <w:pPr>
              <w:spacing w:after="0" w:line="20" w:lineRule="exact"/>
              <w:rPr>
                <w:sz w:val="1"/>
                <w:szCs w:val="1"/>
                <w:color w:val="auto"/>
              </w:rPr>
            </w:pPr>
          </w:p>
        </w:tc>
        <w:tc>
          <w:tcPr>
            <w:tcW w:w="120" w:type="dxa"/>
            <w:vAlign w:val="bottom"/>
            <w:tcBorders>
              <w:bottom w:val="single" w:sz="8" w:color="009BDE"/>
            </w:tcBorders>
          </w:tcPr>
          <w:p>
            <w:pPr>
              <w:spacing w:after="0" w:line="20" w:lineRule="exact"/>
              <w:rPr>
                <w:sz w:val="1"/>
                <w:szCs w:val="1"/>
                <w:color w:val="auto"/>
              </w:rPr>
            </w:pPr>
          </w:p>
        </w:tc>
        <w:tc>
          <w:tcPr>
            <w:tcW w:w="280" w:type="dxa"/>
            <w:vAlign w:val="bottom"/>
            <w:tcBorders>
              <w:bottom w:val="single" w:sz="8" w:color="009BDE"/>
            </w:tcBorders>
          </w:tcPr>
          <w:p>
            <w:pPr>
              <w:spacing w:after="0" w:line="20" w:lineRule="exact"/>
              <w:rPr>
                <w:sz w:val="1"/>
                <w:szCs w:val="1"/>
                <w:color w:val="auto"/>
              </w:rPr>
            </w:pPr>
          </w:p>
        </w:tc>
        <w:tc>
          <w:tcPr>
            <w:tcW w:w="60" w:type="dxa"/>
            <w:vAlign w:val="bottom"/>
            <w:tcBorders>
              <w:bottom w:val="single" w:sz="8" w:color="009BDE"/>
            </w:tcBorders>
          </w:tcPr>
          <w:p>
            <w:pPr>
              <w:spacing w:after="0" w:line="20" w:lineRule="exact"/>
              <w:rPr>
                <w:sz w:val="1"/>
                <w:szCs w:val="1"/>
                <w:color w:val="auto"/>
              </w:rPr>
            </w:pPr>
          </w:p>
        </w:tc>
        <w:tc>
          <w:tcPr>
            <w:tcW w:w="260" w:type="dxa"/>
            <w:vAlign w:val="bottom"/>
            <w:tcBorders>
              <w:bottom w:val="single" w:sz="8" w:color="009BDE"/>
            </w:tcBorders>
          </w:tcPr>
          <w:p>
            <w:pPr>
              <w:spacing w:after="0" w:line="20" w:lineRule="exact"/>
              <w:rPr>
                <w:sz w:val="1"/>
                <w:szCs w:val="1"/>
                <w:color w:val="auto"/>
              </w:rPr>
            </w:pPr>
          </w:p>
        </w:tc>
        <w:tc>
          <w:tcPr>
            <w:tcW w:w="180" w:type="dxa"/>
            <w:vAlign w:val="bottom"/>
            <w:tcBorders>
              <w:bottom w:val="single" w:sz="8" w:color="009BDE"/>
            </w:tcBorders>
          </w:tcPr>
          <w:p>
            <w:pPr>
              <w:spacing w:after="0" w:line="20" w:lineRule="exact"/>
              <w:rPr>
                <w:sz w:val="1"/>
                <w:szCs w:val="1"/>
                <w:color w:val="auto"/>
              </w:rPr>
            </w:pPr>
          </w:p>
        </w:tc>
        <w:tc>
          <w:tcPr>
            <w:tcW w:w="20" w:type="dxa"/>
            <w:vAlign w:val="bottom"/>
            <w:tcBorders>
              <w:bottom w:val="single" w:sz="8" w:color="009BDE"/>
            </w:tcBorders>
          </w:tcPr>
          <w:p>
            <w:pPr>
              <w:spacing w:after="0" w:line="20" w:lineRule="exact"/>
              <w:rPr>
                <w:sz w:val="1"/>
                <w:szCs w:val="1"/>
                <w:color w:val="auto"/>
              </w:rPr>
            </w:pPr>
          </w:p>
        </w:tc>
        <w:tc>
          <w:tcPr>
            <w:tcW w:w="20" w:type="dxa"/>
            <w:vAlign w:val="bottom"/>
            <w:tcBorders>
              <w:bottom w:val="single" w:sz="8" w:color="009BDE"/>
            </w:tcBorders>
          </w:tcPr>
          <w:p>
            <w:pPr>
              <w:spacing w:after="0" w:line="20" w:lineRule="exact"/>
              <w:rPr>
                <w:sz w:val="1"/>
                <w:szCs w:val="1"/>
                <w:color w:val="auto"/>
              </w:rPr>
            </w:pPr>
          </w:p>
        </w:tc>
        <w:tc>
          <w:tcPr>
            <w:tcW w:w="340" w:type="dxa"/>
            <w:vAlign w:val="bottom"/>
            <w:tcBorders>
              <w:bottom w:val="single" w:sz="8" w:color="009BDE"/>
            </w:tcBorders>
          </w:tcPr>
          <w:p>
            <w:pPr>
              <w:spacing w:after="0" w:line="20" w:lineRule="exact"/>
              <w:rPr>
                <w:sz w:val="1"/>
                <w:szCs w:val="1"/>
                <w:color w:val="auto"/>
              </w:rPr>
            </w:pPr>
          </w:p>
        </w:tc>
        <w:tc>
          <w:tcPr>
            <w:tcW w:w="40" w:type="dxa"/>
            <w:vAlign w:val="bottom"/>
            <w:tcBorders>
              <w:bottom w:val="single" w:sz="8" w:color="009BDE"/>
            </w:tcBorders>
          </w:tcPr>
          <w:p>
            <w:pPr>
              <w:spacing w:after="0" w:line="20" w:lineRule="exact"/>
              <w:rPr>
                <w:sz w:val="1"/>
                <w:szCs w:val="1"/>
                <w:color w:val="auto"/>
              </w:rPr>
            </w:pPr>
          </w:p>
        </w:tc>
        <w:tc>
          <w:tcPr>
            <w:tcW w:w="40" w:type="dxa"/>
            <w:vAlign w:val="bottom"/>
            <w:tcBorders>
              <w:bottom w:val="single" w:sz="8" w:color="009BDE"/>
            </w:tcBorders>
          </w:tcPr>
          <w:p>
            <w:pPr>
              <w:spacing w:after="0" w:line="20" w:lineRule="exact"/>
              <w:rPr>
                <w:sz w:val="1"/>
                <w:szCs w:val="1"/>
                <w:color w:val="auto"/>
              </w:rPr>
            </w:pPr>
          </w:p>
        </w:tc>
        <w:tc>
          <w:tcPr>
            <w:tcW w:w="80" w:type="dxa"/>
            <w:vAlign w:val="bottom"/>
            <w:tcBorders>
              <w:bottom w:val="single" w:sz="8" w:color="009BDE"/>
            </w:tcBorders>
          </w:tcPr>
          <w:p>
            <w:pPr>
              <w:spacing w:after="0" w:line="20" w:lineRule="exact"/>
              <w:rPr>
                <w:sz w:val="1"/>
                <w:szCs w:val="1"/>
                <w:color w:val="auto"/>
              </w:rPr>
            </w:pPr>
          </w:p>
        </w:tc>
        <w:tc>
          <w:tcPr>
            <w:tcW w:w="20" w:type="dxa"/>
            <w:vAlign w:val="bottom"/>
            <w:tcBorders>
              <w:bottom w:val="single" w:sz="8" w:color="009BDE"/>
            </w:tcBorders>
          </w:tcPr>
          <w:p>
            <w:pPr>
              <w:spacing w:after="0" w:line="20" w:lineRule="exact"/>
              <w:rPr>
                <w:sz w:val="1"/>
                <w:szCs w:val="1"/>
                <w:color w:val="auto"/>
              </w:rPr>
            </w:pPr>
          </w:p>
        </w:tc>
        <w:tc>
          <w:tcPr>
            <w:tcW w:w="360" w:type="dxa"/>
            <w:vAlign w:val="bottom"/>
            <w:tcBorders>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20" w:type="dxa"/>
            <w:vAlign w:val="bottom"/>
            <w:tcBorders>
              <w:bottom w:val="single" w:sz="8" w:color="009BDE"/>
            </w:tcBorders>
          </w:tcPr>
          <w:p>
            <w:pPr>
              <w:spacing w:after="0" w:line="20" w:lineRule="exact"/>
              <w:rPr>
                <w:sz w:val="1"/>
                <w:szCs w:val="1"/>
                <w:color w:val="auto"/>
              </w:rPr>
            </w:pPr>
          </w:p>
        </w:tc>
        <w:tc>
          <w:tcPr>
            <w:tcW w:w="120" w:type="dxa"/>
            <w:vAlign w:val="bottom"/>
            <w:tcBorders>
              <w:bottom w:val="single" w:sz="8" w:color="009BDE"/>
            </w:tcBorders>
          </w:tcPr>
          <w:p>
            <w:pPr>
              <w:spacing w:after="0" w:line="20" w:lineRule="exact"/>
              <w:rPr>
                <w:sz w:val="1"/>
                <w:szCs w:val="1"/>
                <w:color w:val="auto"/>
              </w:rPr>
            </w:pPr>
          </w:p>
        </w:tc>
        <w:tc>
          <w:tcPr>
            <w:tcW w:w="660" w:type="dxa"/>
            <w:vAlign w:val="bottom"/>
            <w:tcBorders>
              <w:bottom w:val="single" w:sz="8" w:color="009BDE"/>
            </w:tcBorders>
          </w:tcPr>
          <w:p>
            <w:pPr>
              <w:spacing w:after="0" w:line="20" w:lineRule="exact"/>
              <w:rPr>
                <w:sz w:val="1"/>
                <w:szCs w:val="1"/>
                <w:color w:val="auto"/>
              </w:rPr>
            </w:pPr>
          </w:p>
        </w:tc>
        <w:tc>
          <w:tcPr>
            <w:tcW w:w="180" w:type="dxa"/>
            <w:vAlign w:val="bottom"/>
            <w:tcBorders>
              <w:bottom w:val="single" w:sz="8" w:color="009BDE"/>
            </w:tcBorders>
          </w:tcPr>
          <w:p>
            <w:pPr>
              <w:spacing w:after="0" w:line="20" w:lineRule="exact"/>
              <w:rPr>
                <w:sz w:val="1"/>
                <w:szCs w:val="1"/>
                <w:color w:val="auto"/>
              </w:rPr>
            </w:pPr>
          </w:p>
        </w:tc>
        <w:tc>
          <w:tcPr>
            <w:tcW w:w="620" w:type="dxa"/>
            <w:vAlign w:val="bottom"/>
            <w:tcBorders>
              <w:bottom w:val="single" w:sz="8" w:color="009BDE"/>
            </w:tcBorders>
          </w:tcPr>
          <w:p>
            <w:pPr>
              <w:spacing w:after="0" w:line="20" w:lineRule="exact"/>
              <w:rPr>
                <w:sz w:val="1"/>
                <w:szCs w:val="1"/>
                <w:color w:val="auto"/>
              </w:rPr>
            </w:pPr>
          </w:p>
        </w:tc>
        <w:tc>
          <w:tcPr>
            <w:tcW w:w="440" w:type="dxa"/>
            <w:vAlign w:val="bottom"/>
            <w:tcBorders>
              <w:bottom w:val="single" w:sz="8" w:color="009BDE"/>
            </w:tcBorders>
          </w:tcPr>
          <w:p>
            <w:pPr>
              <w:spacing w:after="0" w:line="20" w:lineRule="exact"/>
              <w:rPr>
                <w:sz w:val="1"/>
                <w:szCs w:val="1"/>
                <w:color w:val="auto"/>
              </w:rPr>
            </w:pPr>
          </w:p>
        </w:tc>
        <w:tc>
          <w:tcPr>
            <w:tcW w:w="580" w:type="dxa"/>
            <w:vAlign w:val="bottom"/>
            <w:tcBorders>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420" w:type="dxa"/>
            <w:vAlign w:val="bottom"/>
            <w:tcBorders>
              <w:bottom w:val="single" w:sz="8" w:color="009BDE"/>
            </w:tcBorders>
          </w:tcPr>
          <w:p>
            <w:pPr>
              <w:spacing w:after="0" w:line="20" w:lineRule="exact"/>
              <w:rPr>
                <w:sz w:val="1"/>
                <w:szCs w:val="1"/>
                <w:color w:val="auto"/>
              </w:rPr>
            </w:pPr>
          </w:p>
        </w:tc>
        <w:tc>
          <w:tcPr>
            <w:tcW w:w="20" w:type="dxa"/>
            <w:vAlign w:val="bottom"/>
            <w:tcBorders>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80" w:type="dxa"/>
            <w:vAlign w:val="bottom"/>
            <w:tcBorders>
              <w:bottom w:val="single" w:sz="8" w:color="009BDE"/>
            </w:tcBorders>
          </w:tcPr>
          <w:p>
            <w:pPr>
              <w:spacing w:after="0" w:line="20" w:lineRule="exact"/>
              <w:rPr>
                <w:sz w:val="1"/>
                <w:szCs w:val="1"/>
                <w:color w:val="auto"/>
              </w:rPr>
            </w:pPr>
          </w:p>
        </w:tc>
        <w:tc>
          <w:tcPr>
            <w:tcW w:w="300" w:type="dxa"/>
            <w:vAlign w:val="bottom"/>
            <w:tcBorders>
              <w:bottom w:val="single" w:sz="8" w:color="009B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040" w:type="dxa"/>
            <w:vAlign w:val="bottom"/>
            <w:gridSpan w:val="31"/>
          </w:tcPr>
          <w:p>
            <w:pPr>
              <w:spacing w:after="0" w:line="165" w:lineRule="exact"/>
              <w:rPr>
                <w:sz w:val="20"/>
                <w:szCs w:val="20"/>
                <w:color w:val="auto"/>
              </w:rPr>
            </w:pPr>
            <w:r>
              <w:rPr>
                <w:rFonts w:ascii="Arial" w:cs="Arial" w:eastAsia="Arial" w:hAnsi="Arial"/>
                <w:sz w:val="16"/>
                <w:szCs w:val="16"/>
                <w:color w:val="0000EE"/>
              </w:rPr>
              <w:t>SHAREHOLDER ADVISORY VOTE ON THE FREQUENCY OF THE VOTE ON COMPENSATION</w:t>
            </w:r>
          </w:p>
        </w:tc>
        <w:tc>
          <w:tcPr>
            <w:tcW w:w="300" w:type="dxa"/>
            <w:vAlign w:val="bottom"/>
            <w:vMerge w:val="restart"/>
          </w:tcPr>
          <w:p>
            <w:pPr>
              <w:jc w:val="right"/>
              <w:spacing w:after="0"/>
              <w:rPr>
                <w:sz w:val="20"/>
                <w:szCs w:val="20"/>
                <w:color w:val="auto"/>
              </w:rPr>
            </w:pPr>
            <w:r>
              <w:rPr>
                <w:rFonts w:ascii="Arial" w:cs="Arial" w:eastAsia="Arial" w:hAnsi="Arial"/>
                <w:sz w:val="16"/>
                <w:szCs w:val="16"/>
                <w:b w:val="1"/>
                <w:bCs w:val="1"/>
                <w:color w:val="009BDE"/>
              </w:rPr>
              <w:t>76</w:t>
            </w:r>
          </w:p>
        </w:tc>
        <w:tc>
          <w:tcPr>
            <w:tcW w:w="0" w:type="dxa"/>
            <w:vAlign w:val="bottom"/>
          </w:tcPr>
          <w:p>
            <w:pPr>
              <w:spacing w:after="0"/>
              <w:rPr>
                <w:sz w:val="1"/>
                <w:szCs w:val="1"/>
                <w:color w:val="auto"/>
              </w:rPr>
            </w:pPr>
          </w:p>
        </w:tc>
      </w:tr>
      <w:tr>
        <w:trPr>
          <w:trHeight w:val="169"/>
        </w:trPr>
        <w:tc>
          <w:tcPr>
            <w:tcW w:w="6800" w:type="dxa"/>
            <w:vAlign w:val="bottom"/>
            <w:tcBorders>
              <w:top w:val="single" w:sz="8" w:color="0000EE"/>
            </w:tcBorders>
            <w:gridSpan w:val="29"/>
          </w:tcPr>
          <w:p>
            <w:pPr>
              <w:spacing w:after="0" w:line="169" w:lineRule="exact"/>
              <w:rPr>
                <w:sz w:val="20"/>
                <w:szCs w:val="20"/>
                <w:color w:val="auto"/>
              </w:rPr>
            </w:pPr>
            <w:r>
              <w:rPr>
                <w:rFonts w:ascii="Arial" w:cs="Arial" w:eastAsia="Arial" w:hAnsi="Arial"/>
                <w:sz w:val="16"/>
                <w:szCs w:val="16"/>
                <w:color w:val="0000EE"/>
              </w:rPr>
              <w:t>FOR NAMED EXECUTIVE OFFICERS (Proposal 3)</w:t>
            </w:r>
          </w:p>
        </w:tc>
        <w:tc>
          <w:tcPr>
            <w:tcW w:w="240" w:type="dxa"/>
            <w:vAlign w:val="bottom"/>
            <w:gridSpan w:val="2"/>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0000EE"/>
              <w:bottom w:val="single" w:sz="8" w:color="009BDE"/>
            </w:tcBorders>
          </w:tcPr>
          <w:p>
            <w:pPr>
              <w:spacing w:after="0" w:line="20" w:lineRule="exact"/>
              <w:rPr>
                <w:sz w:val="1"/>
                <w:szCs w:val="1"/>
                <w:color w:val="auto"/>
              </w:rPr>
            </w:pPr>
          </w:p>
        </w:tc>
        <w:tc>
          <w:tcPr>
            <w:tcW w:w="120" w:type="dxa"/>
            <w:vAlign w:val="bottom"/>
            <w:tcBorders>
              <w:top w:val="single" w:sz="8" w:color="0000EE"/>
              <w:bottom w:val="single" w:sz="8" w:color="009BDE"/>
            </w:tcBorders>
          </w:tcPr>
          <w:p>
            <w:pPr>
              <w:spacing w:after="0" w:line="20" w:lineRule="exact"/>
              <w:rPr>
                <w:sz w:val="1"/>
                <w:szCs w:val="1"/>
                <w:color w:val="auto"/>
              </w:rPr>
            </w:pPr>
          </w:p>
        </w:tc>
        <w:tc>
          <w:tcPr>
            <w:tcW w:w="460" w:type="dxa"/>
            <w:vAlign w:val="bottom"/>
            <w:tcBorders>
              <w:top w:val="single" w:sz="8" w:color="0000EE"/>
              <w:bottom w:val="single" w:sz="8" w:color="009BDE"/>
            </w:tcBorders>
          </w:tcPr>
          <w:p>
            <w:pPr>
              <w:spacing w:after="0" w:line="20" w:lineRule="exact"/>
              <w:rPr>
                <w:sz w:val="1"/>
                <w:szCs w:val="1"/>
                <w:color w:val="auto"/>
              </w:rPr>
            </w:pPr>
          </w:p>
        </w:tc>
        <w:tc>
          <w:tcPr>
            <w:tcW w:w="540" w:type="dxa"/>
            <w:vAlign w:val="bottom"/>
            <w:tcBorders>
              <w:top w:val="single" w:sz="8" w:color="0000EE"/>
              <w:bottom w:val="single" w:sz="8" w:color="009BDE"/>
            </w:tcBorders>
          </w:tcPr>
          <w:p>
            <w:pPr>
              <w:spacing w:after="0" w:line="20" w:lineRule="exact"/>
              <w:rPr>
                <w:sz w:val="1"/>
                <w:szCs w:val="1"/>
                <w:color w:val="auto"/>
              </w:rPr>
            </w:pPr>
          </w:p>
        </w:tc>
        <w:tc>
          <w:tcPr>
            <w:tcW w:w="220" w:type="dxa"/>
            <w:vAlign w:val="bottom"/>
            <w:tcBorders>
              <w:top w:val="single" w:sz="8" w:color="0000EE"/>
              <w:bottom w:val="single" w:sz="8" w:color="009BDE"/>
            </w:tcBorders>
          </w:tcPr>
          <w:p>
            <w:pPr>
              <w:spacing w:after="0" w:line="20" w:lineRule="exact"/>
              <w:rPr>
                <w:sz w:val="1"/>
                <w:szCs w:val="1"/>
                <w:color w:val="auto"/>
              </w:rPr>
            </w:pPr>
          </w:p>
        </w:tc>
        <w:tc>
          <w:tcPr>
            <w:tcW w:w="120" w:type="dxa"/>
            <w:vAlign w:val="bottom"/>
            <w:tcBorders>
              <w:top w:val="single" w:sz="8" w:color="0000EE"/>
              <w:bottom w:val="single" w:sz="8" w:color="009BDE"/>
            </w:tcBorders>
          </w:tcPr>
          <w:p>
            <w:pPr>
              <w:spacing w:after="0" w:line="20" w:lineRule="exact"/>
              <w:rPr>
                <w:sz w:val="1"/>
                <w:szCs w:val="1"/>
                <w:color w:val="auto"/>
              </w:rPr>
            </w:pPr>
          </w:p>
        </w:tc>
        <w:tc>
          <w:tcPr>
            <w:tcW w:w="280" w:type="dxa"/>
            <w:vAlign w:val="bottom"/>
            <w:tcBorders>
              <w:top w:val="single" w:sz="8" w:color="0000EE"/>
              <w:bottom w:val="single" w:sz="8" w:color="009BDE"/>
            </w:tcBorders>
          </w:tcPr>
          <w:p>
            <w:pPr>
              <w:spacing w:after="0" w:line="20" w:lineRule="exact"/>
              <w:rPr>
                <w:sz w:val="1"/>
                <w:szCs w:val="1"/>
                <w:color w:val="auto"/>
              </w:rPr>
            </w:pPr>
          </w:p>
        </w:tc>
        <w:tc>
          <w:tcPr>
            <w:tcW w:w="60" w:type="dxa"/>
            <w:vAlign w:val="bottom"/>
            <w:tcBorders>
              <w:top w:val="single" w:sz="8" w:color="0000EE"/>
              <w:bottom w:val="single" w:sz="8" w:color="009BDE"/>
            </w:tcBorders>
          </w:tcPr>
          <w:p>
            <w:pPr>
              <w:spacing w:after="0" w:line="20" w:lineRule="exact"/>
              <w:rPr>
                <w:sz w:val="1"/>
                <w:szCs w:val="1"/>
                <w:color w:val="auto"/>
              </w:rPr>
            </w:pPr>
          </w:p>
        </w:tc>
        <w:tc>
          <w:tcPr>
            <w:tcW w:w="260" w:type="dxa"/>
            <w:vAlign w:val="bottom"/>
            <w:tcBorders>
              <w:top w:val="single" w:sz="8" w:color="0000EE"/>
              <w:bottom w:val="single" w:sz="8" w:color="009BDE"/>
            </w:tcBorders>
          </w:tcPr>
          <w:p>
            <w:pPr>
              <w:spacing w:after="0" w:line="20" w:lineRule="exact"/>
              <w:rPr>
                <w:sz w:val="1"/>
                <w:szCs w:val="1"/>
                <w:color w:val="auto"/>
              </w:rPr>
            </w:pPr>
          </w:p>
        </w:tc>
        <w:tc>
          <w:tcPr>
            <w:tcW w:w="18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340" w:type="dxa"/>
            <w:vAlign w:val="bottom"/>
            <w:tcBorders>
              <w:top w:val="single" w:sz="8" w:color="0000EE"/>
              <w:bottom w:val="single" w:sz="8" w:color="009BDE"/>
            </w:tcBorders>
          </w:tcPr>
          <w:p>
            <w:pPr>
              <w:spacing w:after="0" w:line="20" w:lineRule="exact"/>
              <w:rPr>
                <w:sz w:val="1"/>
                <w:szCs w:val="1"/>
                <w:color w:val="auto"/>
              </w:rPr>
            </w:pPr>
          </w:p>
        </w:tc>
        <w:tc>
          <w:tcPr>
            <w:tcW w:w="40" w:type="dxa"/>
            <w:vAlign w:val="bottom"/>
            <w:tcBorders>
              <w:top w:val="single" w:sz="8" w:color="0000EE"/>
              <w:bottom w:val="single" w:sz="8" w:color="009BDE"/>
            </w:tcBorders>
          </w:tcPr>
          <w:p>
            <w:pPr>
              <w:spacing w:after="0" w:line="20" w:lineRule="exact"/>
              <w:rPr>
                <w:sz w:val="1"/>
                <w:szCs w:val="1"/>
                <w:color w:val="auto"/>
              </w:rPr>
            </w:pPr>
          </w:p>
        </w:tc>
        <w:tc>
          <w:tcPr>
            <w:tcW w:w="40" w:type="dxa"/>
            <w:vAlign w:val="bottom"/>
            <w:tcBorders>
              <w:top w:val="single" w:sz="8" w:color="0000EE"/>
              <w:bottom w:val="single" w:sz="8" w:color="009BDE"/>
            </w:tcBorders>
          </w:tcPr>
          <w:p>
            <w:pPr>
              <w:spacing w:after="0" w:line="20" w:lineRule="exact"/>
              <w:rPr>
                <w:sz w:val="1"/>
                <w:szCs w:val="1"/>
                <w:color w:val="auto"/>
              </w:rPr>
            </w:pPr>
          </w:p>
        </w:tc>
        <w:tc>
          <w:tcPr>
            <w:tcW w:w="8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360" w:type="dxa"/>
            <w:vAlign w:val="bottom"/>
            <w:tcBorders>
              <w:top w:val="single" w:sz="8" w:color="0000EE"/>
              <w:bottom w:val="single" w:sz="8" w:color="009BDE"/>
            </w:tcBorders>
          </w:tcPr>
          <w:p>
            <w:pPr>
              <w:spacing w:after="0" w:line="20" w:lineRule="exact"/>
              <w:rPr>
                <w:sz w:val="1"/>
                <w:szCs w:val="1"/>
                <w:color w:val="auto"/>
              </w:rPr>
            </w:pPr>
          </w:p>
        </w:tc>
        <w:tc>
          <w:tcPr>
            <w:tcW w:w="16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bottom w:val="single" w:sz="8" w:color="009BDE"/>
            </w:tcBorders>
          </w:tcPr>
          <w:p>
            <w:pPr>
              <w:spacing w:after="0" w:line="20" w:lineRule="exact"/>
              <w:rPr>
                <w:sz w:val="1"/>
                <w:szCs w:val="1"/>
                <w:color w:val="auto"/>
              </w:rPr>
            </w:pPr>
          </w:p>
        </w:tc>
        <w:tc>
          <w:tcPr>
            <w:tcW w:w="120" w:type="dxa"/>
            <w:vAlign w:val="bottom"/>
            <w:tcBorders>
              <w:bottom w:val="single" w:sz="8" w:color="009BDE"/>
            </w:tcBorders>
          </w:tcPr>
          <w:p>
            <w:pPr>
              <w:spacing w:after="0" w:line="20" w:lineRule="exact"/>
              <w:rPr>
                <w:sz w:val="1"/>
                <w:szCs w:val="1"/>
                <w:color w:val="auto"/>
              </w:rPr>
            </w:pPr>
          </w:p>
        </w:tc>
        <w:tc>
          <w:tcPr>
            <w:tcW w:w="660" w:type="dxa"/>
            <w:vAlign w:val="bottom"/>
            <w:tcBorders>
              <w:bottom w:val="single" w:sz="8" w:color="009BDE"/>
            </w:tcBorders>
          </w:tcPr>
          <w:p>
            <w:pPr>
              <w:spacing w:after="0" w:line="20" w:lineRule="exact"/>
              <w:rPr>
                <w:sz w:val="1"/>
                <w:szCs w:val="1"/>
                <w:color w:val="auto"/>
              </w:rPr>
            </w:pPr>
          </w:p>
        </w:tc>
        <w:tc>
          <w:tcPr>
            <w:tcW w:w="180" w:type="dxa"/>
            <w:vAlign w:val="bottom"/>
            <w:tcBorders>
              <w:bottom w:val="single" w:sz="8" w:color="009BDE"/>
            </w:tcBorders>
          </w:tcPr>
          <w:p>
            <w:pPr>
              <w:spacing w:after="0" w:line="20" w:lineRule="exact"/>
              <w:rPr>
                <w:sz w:val="1"/>
                <w:szCs w:val="1"/>
                <w:color w:val="auto"/>
              </w:rPr>
            </w:pPr>
          </w:p>
        </w:tc>
        <w:tc>
          <w:tcPr>
            <w:tcW w:w="620" w:type="dxa"/>
            <w:vAlign w:val="bottom"/>
            <w:tcBorders>
              <w:bottom w:val="single" w:sz="8" w:color="009BDE"/>
            </w:tcBorders>
          </w:tcPr>
          <w:p>
            <w:pPr>
              <w:spacing w:after="0" w:line="20" w:lineRule="exact"/>
              <w:rPr>
                <w:sz w:val="1"/>
                <w:szCs w:val="1"/>
                <w:color w:val="auto"/>
              </w:rPr>
            </w:pPr>
          </w:p>
        </w:tc>
        <w:tc>
          <w:tcPr>
            <w:tcW w:w="440" w:type="dxa"/>
            <w:vAlign w:val="bottom"/>
            <w:tcBorders>
              <w:bottom w:val="single" w:sz="8" w:color="009BDE"/>
            </w:tcBorders>
          </w:tcPr>
          <w:p>
            <w:pPr>
              <w:spacing w:after="0" w:line="20" w:lineRule="exact"/>
              <w:rPr>
                <w:sz w:val="1"/>
                <w:szCs w:val="1"/>
                <w:color w:val="auto"/>
              </w:rPr>
            </w:pPr>
          </w:p>
        </w:tc>
        <w:tc>
          <w:tcPr>
            <w:tcW w:w="580" w:type="dxa"/>
            <w:vAlign w:val="bottom"/>
            <w:tcBorders>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420" w:type="dxa"/>
            <w:vAlign w:val="bottom"/>
            <w:tcBorders>
              <w:bottom w:val="single" w:sz="8" w:color="009BDE"/>
            </w:tcBorders>
          </w:tcPr>
          <w:p>
            <w:pPr>
              <w:spacing w:after="0" w:line="20" w:lineRule="exact"/>
              <w:rPr>
                <w:sz w:val="1"/>
                <w:szCs w:val="1"/>
                <w:color w:val="auto"/>
              </w:rPr>
            </w:pPr>
          </w:p>
        </w:tc>
        <w:tc>
          <w:tcPr>
            <w:tcW w:w="20" w:type="dxa"/>
            <w:vAlign w:val="bottom"/>
            <w:tcBorders>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80" w:type="dxa"/>
            <w:vAlign w:val="bottom"/>
            <w:tcBorders>
              <w:bottom w:val="single" w:sz="8" w:color="009BDE"/>
            </w:tcBorders>
          </w:tcPr>
          <w:p>
            <w:pPr>
              <w:spacing w:after="0" w:line="20" w:lineRule="exact"/>
              <w:rPr>
                <w:sz w:val="1"/>
                <w:szCs w:val="1"/>
                <w:color w:val="auto"/>
              </w:rPr>
            </w:pPr>
          </w:p>
        </w:tc>
        <w:tc>
          <w:tcPr>
            <w:tcW w:w="300" w:type="dxa"/>
            <w:vAlign w:val="bottom"/>
            <w:tcBorders>
              <w:bottom w:val="single" w:sz="8" w:color="009B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040" w:type="dxa"/>
            <w:vAlign w:val="bottom"/>
            <w:gridSpan w:val="31"/>
          </w:tcPr>
          <w:p>
            <w:pPr>
              <w:spacing w:after="0" w:line="165" w:lineRule="exact"/>
              <w:rPr>
                <w:sz w:val="20"/>
                <w:szCs w:val="20"/>
                <w:color w:val="auto"/>
              </w:rPr>
            </w:pPr>
            <w:r>
              <w:rPr>
                <w:rFonts w:ascii="Arial" w:cs="Arial" w:eastAsia="Arial" w:hAnsi="Arial"/>
                <w:sz w:val="16"/>
                <w:szCs w:val="16"/>
                <w:color w:val="0000EE"/>
              </w:rPr>
              <w:t>PROPOSAL TO APPROVE AMENDMENTS TO THE RESTATED 2003 STOCK INCENTIVE</w:t>
            </w:r>
          </w:p>
        </w:tc>
        <w:tc>
          <w:tcPr>
            <w:tcW w:w="300" w:type="dxa"/>
            <w:vAlign w:val="bottom"/>
            <w:vMerge w:val="restart"/>
          </w:tcPr>
          <w:p>
            <w:pPr>
              <w:jc w:val="right"/>
              <w:spacing w:after="0"/>
              <w:rPr>
                <w:sz w:val="20"/>
                <w:szCs w:val="20"/>
                <w:color w:val="auto"/>
              </w:rPr>
            </w:pPr>
            <w:r>
              <w:rPr>
                <w:rFonts w:ascii="Arial" w:cs="Arial" w:eastAsia="Arial" w:hAnsi="Arial"/>
                <w:sz w:val="16"/>
                <w:szCs w:val="16"/>
                <w:b w:val="1"/>
                <w:bCs w:val="1"/>
                <w:color w:val="009BDE"/>
              </w:rPr>
              <w:t>78</w:t>
            </w:r>
          </w:p>
        </w:tc>
        <w:tc>
          <w:tcPr>
            <w:tcW w:w="0" w:type="dxa"/>
            <w:vAlign w:val="bottom"/>
          </w:tcPr>
          <w:p>
            <w:pPr>
              <w:spacing w:after="0"/>
              <w:rPr>
                <w:sz w:val="1"/>
                <w:szCs w:val="1"/>
                <w:color w:val="auto"/>
              </w:rPr>
            </w:pPr>
          </w:p>
        </w:tc>
      </w:tr>
      <w:tr>
        <w:trPr>
          <w:trHeight w:val="169"/>
        </w:trPr>
        <w:tc>
          <w:tcPr>
            <w:tcW w:w="6360" w:type="dxa"/>
            <w:vAlign w:val="bottom"/>
            <w:tcBorders>
              <w:top w:val="single" w:sz="8" w:color="0000EE"/>
            </w:tcBorders>
            <w:gridSpan w:val="27"/>
          </w:tcPr>
          <w:p>
            <w:pPr>
              <w:spacing w:after="0" w:line="169" w:lineRule="exact"/>
              <w:rPr>
                <w:sz w:val="20"/>
                <w:szCs w:val="20"/>
                <w:color w:val="auto"/>
              </w:rPr>
            </w:pPr>
            <w:r>
              <w:rPr>
                <w:rFonts w:ascii="Arial" w:cs="Arial" w:eastAsia="Arial" w:hAnsi="Arial"/>
                <w:sz w:val="16"/>
                <w:szCs w:val="16"/>
                <w:color w:val="0000EE"/>
              </w:rPr>
              <w:t>PERFORMANCE PLAN (Proposal 4)</w:t>
            </w:r>
          </w:p>
        </w:tc>
        <w:tc>
          <w:tcPr>
            <w:tcW w:w="680" w:type="dxa"/>
            <w:vAlign w:val="bottom"/>
            <w:gridSpan w:val="4"/>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0000EE"/>
              <w:bottom w:val="single" w:sz="8" w:color="009BDE"/>
            </w:tcBorders>
          </w:tcPr>
          <w:p>
            <w:pPr>
              <w:spacing w:after="0" w:line="20" w:lineRule="exact"/>
              <w:rPr>
                <w:sz w:val="1"/>
                <w:szCs w:val="1"/>
                <w:color w:val="auto"/>
              </w:rPr>
            </w:pPr>
          </w:p>
        </w:tc>
        <w:tc>
          <w:tcPr>
            <w:tcW w:w="120" w:type="dxa"/>
            <w:vAlign w:val="bottom"/>
            <w:tcBorders>
              <w:top w:val="single" w:sz="8" w:color="0000EE"/>
              <w:bottom w:val="single" w:sz="8" w:color="009BDE"/>
            </w:tcBorders>
          </w:tcPr>
          <w:p>
            <w:pPr>
              <w:spacing w:after="0" w:line="20" w:lineRule="exact"/>
              <w:rPr>
                <w:sz w:val="1"/>
                <w:szCs w:val="1"/>
                <w:color w:val="auto"/>
              </w:rPr>
            </w:pPr>
          </w:p>
        </w:tc>
        <w:tc>
          <w:tcPr>
            <w:tcW w:w="460" w:type="dxa"/>
            <w:vAlign w:val="bottom"/>
            <w:tcBorders>
              <w:top w:val="single" w:sz="8" w:color="0000EE"/>
              <w:bottom w:val="single" w:sz="8" w:color="009BDE"/>
            </w:tcBorders>
          </w:tcPr>
          <w:p>
            <w:pPr>
              <w:spacing w:after="0" w:line="20" w:lineRule="exact"/>
              <w:rPr>
                <w:sz w:val="1"/>
                <w:szCs w:val="1"/>
                <w:color w:val="auto"/>
              </w:rPr>
            </w:pPr>
          </w:p>
        </w:tc>
        <w:tc>
          <w:tcPr>
            <w:tcW w:w="540" w:type="dxa"/>
            <w:vAlign w:val="bottom"/>
            <w:tcBorders>
              <w:top w:val="single" w:sz="8" w:color="0000EE"/>
              <w:bottom w:val="single" w:sz="8" w:color="009BDE"/>
            </w:tcBorders>
          </w:tcPr>
          <w:p>
            <w:pPr>
              <w:spacing w:after="0" w:line="20" w:lineRule="exact"/>
              <w:rPr>
                <w:sz w:val="1"/>
                <w:szCs w:val="1"/>
                <w:color w:val="auto"/>
              </w:rPr>
            </w:pPr>
          </w:p>
        </w:tc>
        <w:tc>
          <w:tcPr>
            <w:tcW w:w="220" w:type="dxa"/>
            <w:vAlign w:val="bottom"/>
            <w:tcBorders>
              <w:top w:val="single" w:sz="8" w:color="0000EE"/>
              <w:bottom w:val="single" w:sz="8" w:color="009BDE"/>
            </w:tcBorders>
          </w:tcPr>
          <w:p>
            <w:pPr>
              <w:spacing w:after="0" w:line="20" w:lineRule="exact"/>
              <w:rPr>
                <w:sz w:val="1"/>
                <w:szCs w:val="1"/>
                <w:color w:val="auto"/>
              </w:rPr>
            </w:pPr>
          </w:p>
        </w:tc>
        <w:tc>
          <w:tcPr>
            <w:tcW w:w="120" w:type="dxa"/>
            <w:vAlign w:val="bottom"/>
            <w:tcBorders>
              <w:top w:val="single" w:sz="8" w:color="0000EE"/>
              <w:bottom w:val="single" w:sz="8" w:color="009BDE"/>
            </w:tcBorders>
          </w:tcPr>
          <w:p>
            <w:pPr>
              <w:spacing w:after="0" w:line="20" w:lineRule="exact"/>
              <w:rPr>
                <w:sz w:val="1"/>
                <w:szCs w:val="1"/>
                <w:color w:val="auto"/>
              </w:rPr>
            </w:pPr>
          </w:p>
        </w:tc>
        <w:tc>
          <w:tcPr>
            <w:tcW w:w="280" w:type="dxa"/>
            <w:vAlign w:val="bottom"/>
            <w:tcBorders>
              <w:top w:val="single" w:sz="8" w:color="0000EE"/>
              <w:bottom w:val="single" w:sz="8" w:color="009BDE"/>
            </w:tcBorders>
          </w:tcPr>
          <w:p>
            <w:pPr>
              <w:spacing w:after="0" w:line="20" w:lineRule="exact"/>
              <w:rPr>
                <w:sz w:val="1"/>
                <w:szCs w:val="1"/>
                <w:color w:val="auto"/>
              </w:rPr>
            </w:pPr>
          </w:p>
        </w:tc>
        <w:tc>
          <w:tcPr>
            <w:tcW w:w="60" w:type="dxa"/>
            <w:vAlign w:val="bottom"/>
            <w:tcBorders>
              <w:top w:val="single" w:sz="8" w:color="0000EE"/>
              <w:bottom w:val="single" w:sz="8" w:color="009BDE"/>
            </w:tcBorders>
          </w:tcPr>
          <w:p>
            <w:pPr>
              <w:spacing w:after="0" w:line="20" w:lineRule="exact"/>
              <w:rPr>
                <w:sz w:val="1"/>
                <w:szCs w:val="1"/>
                <w:color w:val="auto"/>
              </w:rPr>
            </w:pPr>
          </w:p>
        </w:tc>
        <w:tc>
          <w:tcPr>
            <w:tcW w:w="260" w:type="dxa"/>
            <w:vAlign w:val="bottom"/>
            <w:tcBorders>
              <w:top w:val="single" w:sz="8" w:color="0000EE"/>
              <w:bottom w:val="single" w:sz="8" w:color="009BDE"/>
            </w:tcBorders>
          </w:tcPr>
          <w:p>
            <w:pPr>
              <w:spacing w:after="0" w:line="20" w:lineRule="exact"/>
              <w:rPr>
                <w:sz w:val="1"/>
                <w:szCs w:val="1"/>
                <w:color w:val="auto"/>
              </w:rPr>
            </w:pPr>
          </w:p>
        </w:tc>
        <w:tc>
          <w:tcPr>
            <w:tcW w:w="18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340" w:type="dxa"/>
            <w:vAlign w:val="bottom"/>
            <w:tcBorders>
              <w:bottom w:val="single" w:sz="8" w:color="009BDE"/>
            </w:tcBorders>
          </w:tcPr>
          <w:p>
            <w:pPr>
              <w:spacing w:after="0" w:line="20" w:lineRule="exact"/>
              <w:rPr>
                <w:sz w:val="1"/>
                <w:szCs w:val="1"/>
                <w:color w:val="auto"/>
              </w:rPr>
            </w:pPr>
          </w:p>
        </w:tc>
        <w:tc>
          <w:tcPr>
            <w:tcW w:w="40" w:type="dxa"/>
            <w:vAlign w:val="bottom"/>
            <w:tcBorders>
              <w:bottom w:val="single" w:sz="8" w:color="009BDE"/>
            </w:tcBorders>
          </w:tcPr>
          <w:p>
            <w:pPr>
              <w:spacing w:after="0" w:line="20" w:lineRule="exact"/>
              <w:rPr>
                <w:sz w:val="1"/>
                <w:szCs w:val="1"/>
                <w:color w:val="auto"/>
              </w:rPr>
            </w:pPr>
          </w:p>
        </w:tc>
        <w:tc>
          <w:tcPr>
            <w:tcW w:w="40" w:type="dxa"/>
            <w:vAlign w:val="bottom"/>
            <w:tcBorders>
              <w:bottom w:val="single" w:sz="8" w:color="009BDE"/>
            </w:tcBorders>
          </w:tcPr>
          <w:p>
            <w:pPr>
              <w:spacing w:after="0" w:line="20" w:lineRule="exact"/>
              <w:rPr>
                <w:sz w:val="1"/>
                <w:szCs w:val="1"/>
                <w:color w:val="auto"/>
              </w:rPr>
            </w:pPr>
          </w:p>
        </w:tc>
        <w:tc>
          <w:tcPr>
            <w:tcW w:w="80" w:type="dxa"/>
            <w:vAlign w:val="bottom"/>
            <w:tcBorders>
              <w:bottom w:val="single" w:sz="8" w:color="009BDE"/>
            </w:tcBorders>
          </w:tcPr>
          <w:p>
            <w:pPr>
              <w:spacing w:after="0" w:line="20" w:lineRule="exact"/>
              <w:rPr>
                <w:sz w:val="1"/>
                <w:szCs w:val="1"/>
                <w:color w:val="auto"/>
              </w:rPr>
            </w:pPr>
          </w:p>
        </w:tc>
        <w:tc>
          <w:tcPr>
            <w:tcW w:w="20" w:type="dxa"/>
            <w:vAlign w:val="bottom"/>
            <w:tcBorders>
              <w:bottom w:val="single" w:sz="8" w:color="009BDE"/>
            </w:tcBorders>
          </w:tcPr>
          <w:p>
            <w:pPr>
              <w:spacing w:after="0" w:line="20" w:lineRule="exact"/>
              <w:rPr>
                <w:sz w:val="1"/>
                <w:szCs w:val="1"/>
                <w:color w:val="auto"/>
              </w:rPr>
            </w:pPr>
          </w:p>
        </w:tc>
        <w:tc>
          <w:tcPr>
            <w:tcW w:w="360" w:type="dxa"/>
            <w:vAlign w:val="bottom"/>
            <w:tcBorders>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20" w:type="dxa"/>
            <w:vAlign w:val="bottom"/>
            <w:tcBorders>
              <w:bottom w:val="single" w:sz="8" w:color="009BDE"/>
            </w:tcBorders>
          </w:tcPr>
          <w:p>
            <w:pPr>
              <w:spacing w:after="0" w:line="20" w:lineRule="exact"/>
              <w:rPr>
                <w:sz w:val="1"/>
                <w:szCs w:val="1"/>
                <w:color w:val="auto"/>
              </w:rPr>
            </w:pPr>
          </w:p>
        </w:tc>
        <w:tc>
          <w:tcPr>
            <w:tcW w:w="120" w:type="dxa"/>
            <w:vAlign w:val="bottom"/>
            <w:tcBorders>
              <w:bottom w:val="single" w:sz="8" w:color="009BDE"/>
            </w:tcBorders>
          </w:tcPr>
          <w:p>
            <w:pPr>
              <w:spacing w:after="0" w:line="20" w:lineRule="exact"/>
              <w:rPr>
                <w:sz w:val="1"/>
                <w:szCs w:val="1"/>
                <w:color w:val="auto"/>
              </w:rPr>
            </w:pPr>
          </w:p>
        </w:tc>
        <w:tc>
          <w:tcPr>
            <w:tcW w:w="660" w:type="dxa"/>
            <w:vAlign w:val="bottom"/>
            <w:tcBorders>
              <w:bottom w:val="single" w:sz="8" w:color="009BDE"/>
            </w:tcBorders>
          </w:tcPr>
          <w:p>
            <w:pPr>
              <w:spacing w:after="0" w:line="20" w:lineRule="exact"/>
              <w:rPr>
                <w:sz w:val="1"/>
                <w:szCs w:val="1"/>
                <w:color w:val="auto"/>
              </w:rPr>
            </w:pPr>
          </w:p>
        </w:tc>
        <w:tc>
          <w:tcPr>
            <w:tcW w:w="180" w:type="dxa"/>
            <w:vAlign w:val="bottom"/>
            <w:tcBorders>
              <w:bottom w:val="single" w:sz="8" w:color="009BDE"/>
            </w:tcBorders>
          </w:tcPr>
          <w:p>
            <w:pPr>
              <w:spacing w:after="0" w:line="20" w:lineRule="exact"/>
              <w:rPr>
                <w:sz w:val="1"/>
                <w:szCs w:val="1"/>
                <w:color w:val="auto"/>
              </w:rPr>
            </w:pPr>
          </w:p>
        </w:tc>
        <w:tc>
          <w:tcPr>
            <w:tcW w:w="620" w:type="dxa"/>
            <w:vAlign w:val="bottom"/>
            <w:tcBorders>
              <w:bottom w:val="single" w:sz="8" w:color="009BDE"/>
            </w:tcBorders>
          </w:tcPr>
          <w:p>
            <w:pPr>
              <w:spacing w:after="0" w:line="20" w:lineRule="exact"/>
              <w:rPr>
                <w:sz w:val="1"/>
                <w:szCs w:val="1"/>
                <w:color w:val="auto"/>
              </w:rPr>
            </w:pPr>
          </w:p>
        </w:tc>
        <w:tc>
          <w:tcPr>
            <w:tcW w:w="440" w:type="dxa"/>
            <w:vAlign w:val="bottom"/>
            <w:tcBorders>
              <w:bottom w:val="single" w:sz="8" w:color="009BDE"/>
            </w:tcBorders>
          </w:tcPr>
          <w:p>
            <w:pPr>
              <w:spacing w:after="0" w:line="20" w:lineRule="exact"/>
              <w:rPr>
                <w:sz w:val="1"/>
                <w:szCs w:val="1"/>
                <w:color w:val="auto"/>
              </w:rPr>
            </w:pPr>
          </w:p>
        </w:tc>
        <w:tc>
          <w:tcPr>
            <w:tcW w:w="580" w:type="dxa"/>
            <w:vAlign w:val="bottom"/>
            <w:tcBorders>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420" w:type="dxa"/>
            <w:vAlign w:val="bottom"/>
            <w:tcBorders>
              <w:bottom w:val="single" w:sz="8" w:color="009BDE"/>
            </w:tcBorders>
          </w:tcPr>
          <w:p>
            <w:pPr>
              <w:spacing w:after="0" w:line="20" w:lineRule="exact"/>
              <w:rPr>
                <w:sz w:val="1"/>
                <w:szCs w:val="1"/>
                <w:color w:val="auto"/>
              </w:rPr>
            </w:pPr>
          </w:p>
        </w:tc>
        <w:tc>
          <w:tcPr>
            <w:tcW w:w="20" w:type="dxa"/>
            <w:vAlign w:val="bottom"/>
            <w:tcBorders>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80" w:type="dxa"/>
            <w:vAlign w:val="bottom"/>
            <w:tcBorders>
              <w:bottom w:val="single" w:sz="8" w:color="009BDE"/>
            </w:tcBorders>
          </w:tcPr>
          <w:p>
            <w:pPr>
              <w:spacing w:after="0" w:line="20" w:lineRule="exact"/>
              <w:rPr>
                <w:sz w:val="1"/>
                <w:szCs w:val="1"/>
                <w:color w:val="auto"/>
              </w:rPr>
            </w:pPr>
          </w:p>
        </w:tc>
        <w:tc>
          <w:tcPr>
            <w:tcW w:w="300" w:type="dxa"/>
            <w:vAlign w:val="bottom"/>
            <w:tcBorders>
              <w:bottom w:val="single" w:sz="8" w:color="009B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040" w:type="dxa"/>
            <w:vAlign w:val="bottom"/>
            <w:gridSpan w:val="31"/>
          </w:tcPr>
          <w:p>
            <w:pPr>
              <w:spacing w:after="0" w:line="165" w:lineRule="exact"/>
              <w:rPr>
                <w:sz w:val="20"/>
                <w:szCs w:val="20"/>
                <w:color w:val="auto"/>
              </w:rPr>
            </w:pPr>
            <w:r>
              <w:rPr>
                <w:rFonts w:ascii="Arial" w:cs="Arial" w:eastAsia="Arial" w:hAnsi="Arial"/>
                <w:sz w:val="16"/>
                <w:szCs w:val="16"/>
                <w:color w:val="0000EE"/>
              </w:rPr>
              <w:t>PROPOSAL TO RATIFY THE SELECTION OF KPMG LLP AS THE COMPANY’S INDEPENDENT</w:t>
            </w:r>
          </w:p>
        </w:tc>
        <w:tc>
          <w:tcPr>
            <w:tcW w:w="300" w:type="dxa"/>
            <w:vAlign w:val="bottom"/>
            <w:vMerge w:val="restart"/>
          </w:tcPr>
          <w:p>
            <w:pPr>
              <w:jc w:val="right"/>
              <w:spacing w:after="0"/>
              <w:rPr>
                <w:sz w:val="20"/>
                <w:szCs w:val="20"/>
                <w:color w:val="auto"/>
              </w:rPr>
            </w:pPr>
            <w:r>
              <w:rPr>
                <w:rFonts w:ascii="Arial" w:cs="Arial" w:eastAsia="Arial" w:hAnsi="Arial"/>
                <w:sz w:val="16"/>
                <w:szCs w:val="16"/>
                <w:b w:val="1"/>
                <w:bCs w:val="1"/>
                <w:color w:val="009BDE"/>
              </w:rPr>
              <w:t>86</w:t>
            </w:r>
          </w:p>
        </w:tc>
        <w:tc>
          <w:tcPr>
            <w:tcW w:w="0" w:type="dxa"/>
            <w:vAlign w:val="bottom"/>
          </w:tcPr>
          <w:p>
            <w:pPr>
              <w:spacing w:after="0"/>
              <w:rPr>
                <w:sz w:val="1"/>
                <w:szCs w:val="1"/>
                <w:color w:val="auto"/>
              </w:rPr>
            </w:pPr>
          </w:p>
        </w:tc>
      </w:tr>
      <w:tr>
        <w:trPr>
          <w:trHeight w:val="169"/>
        </w:trPr>
        <w:tc>
          <w:tcPr>
            <w:tcW w:w="6780" w:type="dxa"/>
            <w:vAlign w:val="bottom"/>
            <w:tcBorders>
              <w:top w:val="single" w:sz="8" w:color="0000EE"/>
            </w:tcBorders>
            <w:gridSpan w:val="28"/>
          </w:tcPr>
          <w:p>
            <w:pPr>
              <w:spacing w:after="0" w:line="169" w:lineRule="exact"/>
              <w:rPr>
                <w:sz w:val="20"/>
                <w:szCs w:val="20"/>
                <w:color w:val="auto"/>
              </w:rPr>
            </w:pPr>
            <w:r>
              <w:rPr>
                <w:rFonts w:ascii="Arial" w:cs="Arial" w:eastAsia="Arial" w:hAnsi="Arial"/>
                <w:sz w:val="16"/>
                <w:szCs w:val="16"/>
                <w:color w:val="0000EE"/>
              </w:rPr>
              <w:t>REGISTERED PUBLIC ACCOUNTING FIRM FOR THE 2023 FISCAL YEAR (Proposal 5)</w:t>
            </w:r>
          </w:p>
        </w:tc>
        <w:tc>
          <w:tcPr>
            <w:tcW w:w="260" w:type="dxa"/>
            <w:vAlign w:val="bottom"/>
            <w:gridSpan w:val="3"/>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0000EE"/>
              <w:bottom w:val="single" w:sz="8" w:color="009BDE"/>
            </w:tcBorders>
          </w:tcPr>
          <w:p>
            <w:pPr>
              <w:spacing w:after="0" w:line="20" w:lineRule="exact"/>
              <w:rPr>
                <w:sz w:val="1"/>
                <w:szCs w:val="1"/>
                <w:color w:val="auto"/>
              </w:rPr>
            </w:pPr>
          </w:p>
        </w:tc>
        <w:tc>
          <w:tcPr>
            <w:tcW w:w="120" w:type="dxa"/>
            <w:vAlign w:val="bottom"/>
            <w:tcBorders>
              <w:top w:val="single" w:sz="8" w:color="0000EE"/>
              <w:bottom w:val="single" w:sz="8" w:color="009BDE"/>
            </w:tcBorders>
          </w:tcPr>
          <w:p>
            <w:pPr>
              <w:spacing w:after="0" w:line="20" w:lineRule="exact"/>
              <w:rPr>
                <w:sz w:val="1"/>
                <w:szCs w:val="1"/>
                <w:color w:val="auto"/>
              </w:rPr>
            </w:pPr>
          </w:p>
        </w:tc>
        <w:tc>
          <w:tcPr>
            <w:tcW w:w="460" w:type="dxa"/>
            <w:vAlign w:val="bottom"/>
            <w:tcBorders>
              <w:top w:val="single" w:sz="8" w:color="0000EE"/>
              <w:bottom w:val="single" w:sz="8" w:color="009BDE"/>
            </w:tcBorders>
          </w:tcPr>
          <w:p>
            <w:pPr>
              <w:spacing w:after="0" w:line="20" w:lineRule="exact"/>
              <w:rPr>
                <w:sz w:val="1"/>
                <w:szCs w:val="1"/>
                <w:color w:val="auto"/>
              </w:rPr>
            </w:pPr>
          </w:p>
        </w:tc>
        <w:tc>
          <w:tcPr>
            <w:tcW w:w="540" w:type="dxa"/>
            <w:vAlign w:val="bottom"/>
            <w:tcBorders>
              <w:top w:val="single" w:sz="8" w:color="0000EE"/>
              <w:bottom w:val="single" w:sz="8" w:color="009BDE"/>
            </w:tcBorders>
          </w:tcPr>
          <w:p>
            <w:pPr>
              <w:spacing w:after="0" w:line="20" w:lineRule="exact"/>
              <w:rPr>
                <w:sz w:val="1"/>
                <w:szCs w:val="1"/>
                <w:color w:val="auto"/>
              </w:rPr>
            </w:pPr>
          </w:p>
        </w:tc>
        <w:tc>
          <w:tcPr>
            <w:tcW w:w="220" w:type="dxa"/>
            <w:vAlign w:val="bottom"/>
            <w:tcBorders>
              <w:top w:val="single" w:sz="8" w:color="0000EE"/>
              <w:bottom w:val="single" w:sz="8" w:color="009BDE"/>
            </w:tcBorders>
          </w:tcPr>
          <w:p>
            <w:pPr>
              <w:spacing w:after="0" w:line="20" w:lineRule="exact"/>
              <w:rPr>
                <w:sz w:val="1"/>
                <w:szCs w:val="1"/>
                <w:color w:val="auto"/>
              </w:rPr>
            </w:pPr>
          </w:p>
        </w:tc>
        <w:tc>
          <w:tcPr>
            <w:tcW w:w="120" w:type="dxa"/>
            <w:vAlign w:val="bottom"/>
            <w:tcBorders>
              <w:top w:val="single" w:sz="8" w:color="0000EE"/>
              <w:bottom w:val="single" w:sz="8" w:color="009BDE"/>
            </w:tcBorders>
          </w:tcPr>
          <w:p>
            <w:pPr>
              <w:spacing w:after="0" w:line="20" w:lineRule="exact"/>
              <w:rPr>
                <w:sz w:val="1"/>
                <w:szCs w:val="1"/>
                <w:color w:val="auto"/>
              </w:rPr>
            </w:pPr>
          </w:p>
        </w:tc>
        <w:tc>
          <w:tcPr>
            <w:tcW w:w="280" w:type="dxa"/>
            <w:vAlign w:val="bottom"/>
            <w:tcBorders>
              <w:top w:val="single" w:sz="8" w:color="0000EE"/>
              <w:bottom w:val="single" w:sz="8" w:color="009BDE"/>
            </w:tcBorders>
          </w:tcPr>
          <w:p>
            <w:pPr>
              <w:spacing w:after="0" w:line="20" w:lineRule="exact"/>
              <w:rPr>
                <w:sz w:val="1"/>
                <w:szCs w:val="1"/>
                <w:color w:val="auto"/>
              </w:rPr>
            </w:pPr>
          </w:p>
        </w:tc>
        <w:tc>
          <w:tcPr>
            <w:tcW w:w="60" w:type="dxa"/>
            <w:vAlign w:val="bottom"/>
            <w:tcBorders>
              <w:top w:val="single" w:sz="8" w:color="0000EE"/>
              <w:bottom w:val="single" w:sz="8" w:color="009BDE"/>
            </w:tcBorders>
          </w:tcPr>
          <w:p>
            <w:pPr>
              <w:spacing w:after="0" w:line="20" w:lineRule="exact"/>
              <w:rPr>
                <w:sz w:val="1"/>
                <w:szCs w:val="1"/>
                <w:color w:val="auto"/>
              </w:rPr>
            </w:pPr>
          </w:p>
        </w:tc>
        <w:tc>
          <w:tcPr>
            <w:tcW w:w="260" w:type="dxa"/>
            <w:vAlign w:val="bottom"/>
            <w:tcBorders>
              <w:top w:val="single" w:sz="8" w:color="0000EE"/>
              <w:bottom w:val="single" w:sz="8" w:color="009BDE"/>
            </w:tcBorders>
          </w:tcPr>
          <w:p>
            <w:pPr>
              <w:spacing w:after="0" w:line="20" w:lineRule="exact"/>
              <w:rPr>
                <w:sz w:val="1"/>
                <w:szCs w:val="1"/>
                <w:color w:val="auto"/>
              </w:rPr>
            </w:pPr>
          </w:p>
        </w:tc>
        <w:tc>
          <w:tcPr>
            <w:tcW w:w="18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340" w:type="dxa"/>
            <w:vAlign w:val="bottom"/>
            <w:tcBorders>
              <w:top w:val="single" w:sz="8" w:color="0000EE"/>
              <w:bottom w:val="single" w:sz="8" w:color="009BDE"/>
            </w:tcBorders>
          </w:tcPr>
          <w:p>
            <w:pPr>
              <w:spacing w:after="0" w:line="20" w:lineRule="exact"/>
              <w:rPr>
                <w:sz w:val="1"/>
                <w:szCs w:val="1"/>
                <w:color w:val="auto"/>
              </w:rPr>
            </w:pPr>
          </w:p>
        </w:tc>
        <w:tc>
          <w:tcPr>
            <w:tcW w:w="40" w:type="dxa"/>
            <w:vAlign w:val="bottom"/>
            <w:tcBorders>
              <w:top w:val="single" w:sz="8" w:color="0000EE"/>
              <w:bottom w:val="single" w:sz="8" w:color="009BDE"/>
            </w:tcBorders>
          </w:tcPr>
          <w:p>
            <w:pPr>
              <w:spacing w:after="0" w:line="20" w:lineRule="exact"/>
              <w:rPr>
                <w:sz w:val="1"/>
                <w:szCs w:val="1"/>
                <w:color w:val="auto"/>
              </w:rPr>
            </w:pPr>
          </w:p>
        </w:tc>
        <w:tc>
          <w:tcPr>
            <w:tcW w:w="40" w:type="dxa"/>
            <w:vAlign w:val="bottom"/>
            <w:tcBorders>
              <w:top w:val="single" w:sz="8" w:color="0000EE"/>
              <w:bottom w:val="single" w:sz="8" w:color="009BDE"/>
            </w:tcBorders>
          </w:tcPr>
          <w:p>
            <w:pPr>
              <w:spacing w:after="0" w:line="20" w:lineRule="exact"/>
              <w:rPr>
                <w:sz w:val="1"/>
                <w:szCs w:val="1"/>
                <w:color w:val="auto"/>
              </w:rPr>
            </w:pPr>
          </w:p>
        </w:tc>
        <w:tc>
          <w:tcPr>
            <w:tcW w:w="8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360" w:type="dxa"/>
            <w:vAlign w:val="bottom"/>
            <w:tcBorders>
              <w:top w:val="single" w:sz="8" w:color="0000EE"/>
              <w:bottom w:val="single" w:sz="8" w:color="009BDE"/>
            </w:tcBorders>
          </w:tcPr>
          <w:p>
            <w:pPr>
              <w:spacing w:after="0" w:line="20" w:lineRule="exact"/>
              <w:rPr>
                <w:sz w:val="1"/>
                <w:szCs w:val="1"/>
                <w:color w:val="auto"/>
              </w:rPr>
            </w:pPr>
          </w:p>
        </w:tc>
        <w:tc>
          <w:tcPr>
            <w:tcW w:w="16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120" w:type="dxa"/>
            <w:vAlign w:val="bottom"/>
            <w:tcBorders>
              <w:top w:val="single" w:sz="8" w:color="0000EE"/>
              <w:bottom w:val="single" w:sz="8" w:color="009BDE"/>
            </w:tcBorders>
          </w:tcPr>
          <w:p>
            <w:pPr>
              <w:spacing w:after="0" w:line="20" w:lineRule="exact"/>
              <w:rPr>
                <w:sz w:val="1"/>
                <w:szCs w:val="1"/>
                <w:color w:val="auto"/>
              </w:rPr>
            </w:pPr>
          </w:p>
        </w:tc>
        <w:tc>
          <w:tcPr>
            <w:tcW w:w="660" w:type="dxa"/>
            <w:vAlign w:val="bottom"/>
            <w:tcBorders>
              <w:top w:val="single" w:sz="8" w:color="0000EE"/>
              <w:bottom w:val="single" w:sz="8" w:color="009BDE"/>
            </w:tcBorders>
          </w:tcPr>
          <w:p>
            <w:pPr>
              <w:spacing w:after="0" w:line="20" w:lineRule="exact"/>
              <w:rPr>
                <w:sz w:val="1"/>
                <w:szCs w:val="1"/>
                <w:color w:val="auto"/>
              </w:rPr>
            </w:pPr>
          </w:p>
        </w:tc>
        <w:tc>
          <w:tcPr>
            <w:tcW w:w="180" w:type="dxa"/>
            <w:vAlign w:val="bottom"/>
            <w:tcBorders>
              <w:top w:val="single" w:sz="8" w:color="0000EE"/>
              <w:bottom w:val="single" w:sz="8" w:color="009BDE"/>
            </w:tcBorders>
          </w:tcPr>
          <w:p>
            <w:pPr>
              <w:spacing w:after="0" w:line="20" w:lineRule="exact"/>
              <w:rPr>
                <w:sz w:val="1"/>
                <w:szCs w:val="1"/>
                <w:color w:val="auto"/>
              </w:rPr>
            </w:pPr>
          </w:p>
        </w:tc>
        <w:tc>
          <w:tcPr>
            <w:tcW w:w="620" w:type="dxa"/>
            <w:vAlign w:val="bottom"/>
            <w:tcBorders>
              <w:top w:val="single" w:sz="8" w:color="0000EE"/>
              <w:bottom w:val="single" w:sz="8" w:color="009BDE"/>
            </w:tcBorders>
          </w:tcPr>
          <w:p>
            <w:pPr>
              <w:spacing w:after="0" w:line="20" w:lineRule="exact"/>
              <w:rPr>
                <w:sz w:val="1"/>
                <w:szCs w:val="1"/>
                <w:color w:val="auto"/>
              </w:rPr>
            </w:pPr>
          </w:p>
        </w:tc>
        <w:tc>
          <w:tcPr>
            <w:tcW w:w="440" w:type="dxa"/>
            <w:vAlign w:val="bottom"/>
            <w:tcBorders>
              <w:top w:val="single" w:sz="8" w:color="0000EE"/>
              <w:bottom w:val="single" w:sz="8" w:color="009BDE"/>
            </w:tcBorders>
          </w:tcPr>
          <w:p>
            <w:pPr>
              <w:spacing w:after="0" w:line="20" w:lineRule="exact"/>
              <w:rPr>
                <w:sz w:val="1"/>
                <w:szCs w:val="1"/>
                <w:color w:val="auto"/>
              </w:rPr>
            </w:pPr>
          </w:p>
        </w:tc>
        <w:tc>
          <w:tcPr>
            <w:tcW w:w="580" w:type="dxa"/>
            <w:vAlign w:val="bottom"/>
            <w:tcBorders>
              <w:top w:val="single" w:sz="8" w:color="0000EE"/>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420" w:type="dxa"/>
            <w:vAlign w:val="bottom"/>
            <w:tcBorders>
              <w:bottom w:val="single" w:sz="8" w:color="009BDE"/>
            </w:tcBorders>
          </w:tcPr>
          <w:p>
            <w:pPr>
              <w:spacing w:after="0" w:line="20" w:lineRule="exact"/>
              <w:rPr>
                <w:sz w:val="1"/>
                <w:szCs w:val="1"/>
                <w:color w:val="auto"/>
              </w:rPr>
            </w:pPr>
          </w:p>
        </w:tc>
        <w:tc>
          <w:tcPr>
            <w:tcW w:w="20" w:type="dxa"/>
            <w:vAlign w:val="bottom"/>
            <w:tcBorders>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80" w:type="dxa"/>
            <w:vAlign w:val="bottom"/>
            <w:tcBorders>
              <w:bottom w:val="single" w:sz="8" w:color="009BDE"/>
            </w:tcBorders>
          </w:tcPr>
          <w:p>
            <w:pPr>
              <w:spacing w:after="0" w:line="20" w:lineRule="exact"/>
              <w:rPr>
                <w:sz w:val="1"/>
                <w:szCs w:val="1"/>
                <w:color w:val="auto"/>
              </w:rPr>
            </w:pPr>
          </w:p>
        </w:tc>
        <w:tc>
          <w:tcPr>
            <w:tcW w:w="300" w:type="dxa"/>
            <w:vAlign w:val="bottom"/>
            <w:tcBorders>
              <w:bottom w:val="single" w:sz="8" w:color="009B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040" w:type="dxa"/>
            <w:vAlign w:val="bottom"/>
            <w:gridSpan w:val="31"/>
          </w:tcPr>
          <w:p>
            <w:pPr>
              <w:spacing w:after="0" w:line="165" w:lineRule="exact"/>
              <w:rPr>
                <w:sz w:val="20"/>
                <w:szCs w:val="20"/>
                <w:color w:val="auto"/>
              </w:rPr>
            </w:pPr>
            <w:r>
              <w:rPr>
                <w:rFonts w:ascii="Arial" w:cs="Arial" w:eastAsia="Arial" w:hAnsi="Arial"/>
                <w:sz w:val="16"/>
                <w:szCs w:val="16"/>
                <w:color w:val="0000EE"/>
              </w:rPr>
              <w:t>REPORT OF THE AUDIT COMMITTEE OF THE BOARD OF DIRECTORS</w:t>
            </w:r>
          </w:p>
        </w:tc>
        <w:tc>
          <w:tcPr>
            <w:tcW w:w="300" w:type="dxa"/>
            <w:vAlign w:val="bottom"/>
          </w:tcPr>
          <w:p>
            <w:pPr>
              <w:jc w:val="right"/>
              <w:spacing w:after="0" w:line="165" w:lineRule="exact"/>
              <w:rPr>
                <w:sz w:val="20"/>
                <w:szCs w:val="20"/>
                <w:color w:val="auto"/>
              </w:rPr>
            </w:pPr>
            <w:r>
              <w:rPr>
                <w:rFonts w:ascii="Arial" w:cs="Arial" w:eastAsia="Arial" w:hAnsi="Arial"/>
                <w:sz w:val="16"/>
                <w:szCs w:val="16"/>
                <w:b w:val="1"/>
                <w:bCs w:val="1"/>
                <w:color w:val="009BDE"/>
              </w:rPr>
              <w:t>87</w:t>
            </w:r>
          </w:p>
        </w:tc>
        <w:tc>
          <w:tcPr>
            <w:tcW w:w="0" w:type="dxa"/>
            <w:vAlign w:val="bottom"/>
          </w:tcPr>
          <w:p>
            <w:pPr>
              <w:spacing w:after="0"/>
              <w:rPr>
                <w:sz w:val="1"/>
                <w:szCs w:val="1"/>
                <w:color w:val="auto"/>
              </w:rPr>
            </w:pPr>
          </w:p>
        </w:tc>
      </w:tr>
      <w:tr>
        <w:trPr>
          <w:trHeight w:val="20"/>
        </w:trPr>
        <w:tc>
          <w:tcPr>
            <w:tcW w:w="260" w:type="dxa"/>
            <w:vAlign w:val="bottom"/>
            <w:tcBorders>
              <w:top w:val="single" w:sz="8" w:color="0000EE"/>
              <w:bottom w:val="single" w:sz="8" w:color="009BDE"/>
            </w:tcBorders>
          </w:tcPr>
          <w:p>
            <w:pPr>
              <w:spacing w:after="0" w:line="20" w:lineRule="exact"/>
              <w:rPr>
                <w:sz w:val="1"/>
                <w:szCs w:val="1"/>
                <w:color w:val="auto"/>
              </w:rPr>
            </w:pPr>
          </w:p>
        </w:tc>
        <w:tc>
          <w:tcPr>
            <w:tcW w:w="120" w:type="dxa"/>
            <w:vAlign w:val="bottom"/>
            <w:tcBorders>
              <w:top w:val="single" w:sz="8" w:color="0000EE"/>
              <w:bottom w:val="single" w:sz="8" w:color="009BDE"/>
            </w:tcBorders>
          </w:tcPr>
          <w:p>
            <w:pPr>
              <w:spacing w:after="0" w:line="20" w:lineRule="exact"/>
              <w:rPr>
                <w:sz w:val="1"/>
                <w:szCs w:val="1"/>
                <w:color w:val="auto"/>
              </w:rPr>
            </w:pPr>
          </w:p>
        </w:tc>
        <w:tc>
          <w:tcPr>
            <w:tcW w:w="460" w:type="dxa"/>
            <w:vAlign w:val="bottom"/>
            <w:tcBorders>
              <w:top w:val="single" w:sz="8" w:color="0000EE"/>
              <w:bottom w:val="single" w:sz="8" w:color="009BDE"/>
            </w:tcBorders>
          </w:tcPr>
          <w:p>
            <w:pPr>
              <w:spacing w:after="0" w:line="20" w:lineRule="exact"/>
              <w:rPr>
                <w:sz w:val="1"/>
                <w:szCs w:val="1"/>
                <w:color w:val="auto"/>
              </w:rPr>
            </w:pPr>
          </w:p>
        </w:tc>
        <w:tc>
          <w:tcPr>
            <w:tcW w:w="540" w:type="dxa"/>
            <w:vAlign w:val="bottom"/>
            <w:tcBorders>
              <w:top w:val="single" w:sz="8" w:color="0000EE"/>
              <w:bottom w:val="single" w:sz="8" w:color="009BDE"/>
            </w:tcBorders>
          </w:tcPr>
          <w:p>
            <w:pPr>
              <w:spacing w:after="0" w:line="20" w:lineRule="exact"/>
              <w:rPr>
                <w:sz w:val="1"/>
                <w:szCs w:val="1"/>
                <w:color w:val="auto"/>
              </w:rPr>
            </w:pPr>
          </w:p>
        </w:tc>
        <w:tc>
          <w:tcPr>
            <w:tcW w:w="220" w:type="dxa"/>
            <w:vAlign w:val="bottom"/>
            <w:tcBorders>
              <w:top w:val="single" w:sz="8" w:color="0000EE"/>
              <w:bottom w:val="single" w:sz="8" w:color="009BDE"/>
            </w:tcBorders>
          </w:tcPr>
          <w:p>
            <w:pPr>
              <w:spacing w:after="0" w:line="20" w:lineRule="exact"/>
              <w:rPr>
                <w:sz w:val="1"/>
                <w:szCs w:val="1"/>
                <w:color w:val="auto"/>
              </w:rPr>
            </w:pPr>
          </w:p>
        </w:tc>
        <w:tc>
          <w:tcPr>
            <w:tcW w:w="120" w:type="dxa"/>
            <w:vAlign w:val="bottom"/>
            <w:tcBorders>
              <w:top w:val="single" w:sz="8" w:color="0000EE"/>
              <w:bottom w:val="single" w:sz="8" w:color="009BDE"/>
            </w:tcBorders>
          </w:tcPr>
          <w:p>
            <w:pPr>
              <w:spacing w:after="0" w:line="20" w:lineRule="exact"/>
              <w:rPr>
                <w:sz w:val="1"/>
                <w:szCs w:val="1"/>
                <w:color w:val="auto"/>
              </w:rPr>
            </w:pPr>
          </w:p>
        </w:tc>
        <w:tc>
          <w:tcPr>
            <w:tcW w:w="280" w:type="dxa"/>
            <w:vAlign w:val="bottom"/>
            <w:tcBorders>
              <w:top w:val="single" w:sz="8" w:color="0000EE"/>
              <w:bottom w:val="single" w:sz="8" w:color="009BDE"/>
            </w:tcBorders>
          </w:tcPr>
          <w:p>
            <w:pPr>
              <w:spacing w:after="0" w:line="20" w:lineRule="exact"/>
              <w:rPr>
                <w:sz w:val="1"/>
                <w:szCs w:val="1"/>
                <w:color w:val="auto"/>
              </w:rPr>
            </w:pPr>
          </w:p>
        </w:tc>
        <w:tc>
          <w:tcPr>
            <w:tcW w:w="60" w:type="dxa"/>
            <w:vAlign w:val="bottom"/>
            <w:tcBorders>
              <w:top w:val="single" w:sz="8" w:color="0000EE"/>
              <w:bottom w:val="single" w:sz="8" w:color="009BDE"/>
            </w:tcBorders>
          </w:tcPr>
          <w:p>
            <w:pPr>
              <w:spacing w:after="0" w:line="20" w:lineRule="exact"/>
              <w:rPr>
                <w:sz w:val="1"/>
                <w:szCs w:val="1"/>
                <w:color w:val="auto"/>
              </w:rPr>
            </w:pPr>
          </w:p>
        </w:tc>
        <w:tc>
          <w:tcPr>
            <w:tcW w:w="260" w:type="dxa"/>
            <w:vAlign w:val="bottom"/>
            <w:tcBorders>
              <w:top w:val="single" w:sz="8" w:color="0000EE"/>
              <w:bottom w:val="single" w:sz="8" w:color="009BDE"/>
            </w:tcBorders>
          </w:tcPr>
          <w:p>
            <w:pPr>
              <w:spacing w:after="0" w:line="20" w:lineRule="exact"/>
              <w:rPr>
                <w:sz w:val="1"/>
                <w:szCs w:val="1"/>
                <w:color w:val="auto"/>
              </w:rPr>
            </w:pPr>
          </w:p>
        </w:tc>
        <w:tc>
          <w:tcPr>
            <w:tcW w:w="18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340" w:type="dxa"/>
            <w:vAlign w:val="bottom"/>
            <w:tcBorders>
              <w:top w:val="single" w:sz="8" w:color="0000EE"/>
              <w:bottom w:val="single" w:sz="8" w:color="009BDE"/>
            </w:tcBorders>
          </w:tcPr>
          <w:p>
            <w:pPr>
              <w:spacing w:after="0" w:line="20" w:lineRule="exact"/>
              <w:rPr>
                <w:sz w:val="1"/>
                <w:szCs w:val="1"/>
                <w:color w:val="auto"/>
              </w:rPr>
            </w:pPr>
          </w:p>
        </w:tc>
        <w:tc>
          <w:tcPr>
            <w:tcW w:w="40" w:type="dxa"/>
            <w:vAlign w:val="bottom"/>
            <w:tcBorders>
              <w:top w:val="single" w:sz="8" w:color="0000EE"/>
              <w:bottom w:val="single" w:sz="8" w:color="009BDE"/>
            </w:tcBorders>
          </w:tcPr>
          <w:p>
            <w:pPr>
              <w:spacing w:after="0" w:line="20" w:lineRule="exact"/>
              <w:rPr>
                <w:sz w:val="1"/>
                <w:szCs w:val="1"/>
                <w:color w:val="auto"/>
              </w:rPr>
            </w:pPr>
          </w:p>
        </w:tc>
        <w:tc>
          <w:tcPr>
            <w:tcW w:w="40" w:type="dxa"/>
            <w:vAlign w:val="bottom"/>
            <w:tcBorders>
              <w:top w:val="single" w:sz="8" w:color="0000EE"/>
              <w:bottom w:val="single" w:sz="8" w:color="009BDE"/>
            </w:tcBorders>
          </w:tcPr>
          <w:p>
            <w:pPr>
              <w:spacing w:after="0" w:line="20" w:lineRule="exact"/>
              <w:rPr>
                <w:sz w:val="1"/>
                <w:szCs w:val="1"/>
                <w:color w:val="auto"/>
              </w:rPr>
            </w:pPr>
          </w:p>
        </w:tc>
        <w:tc>
          <w:tcPr>
            <w:tcW w:w="8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360" w:type="dxa"/>
            <w:vAlign w:val="bottom"/>
            <w:tcBorders>
              <w:top w:val="single" w:sz="8" w:color="0000EE"/>
              <w:bottom w:val="single" w:sz="8" w:color="009BDE"/>
            </w:tcBorders>
          </w:tcPr>
          <w:p>
            <w:pPr>
              <w:spacing w:after="0" w:line="20" w:lineRule="exact"/>
              <w:rPr>
                <w:sz w:val="1"/>
                <w:szCs w:val="1"/>
                <w:color w:val="auto"/>
              </w:rPr>
            </w:pPr>
          </w:p>
        </w:tc>
        <w:tc>
          <w:tcPr>
            <w:tcW w:w="16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120" w:type="dxa"/>
            <w:vAlign w:val="bottom"/>
            <w:tcBorders>
              <w:top w:val="single" w:sz="8" w:color="0000EE"/>
              <w:bottom w:val="single" w:sz="8" w:color="009BDE"/>
            </w:tcBorders>
          </w:tcPr>
          <w:p>
            <w:pPr>
              <w:spacing w:after="0" w:line="20" w:lineRule="exact"/>
              <w:rPr>
                <w:sz w:val="1"/>
                <w:szCs w:val="1"/>
                <w:color w:val="auto"/>
              </w:rPr>
            </w:pPr>
          </w:p>
        </w:tc>
        <w:tc>
          <w:tcPr>
            <w:tcW w:w="660" w:type="dxa"/>
            <w:vAlign w:val="bottom"/>
            <w:tcBorders>
              <w:top w:val="single" w:sz="8" w:color="0000EE"/>
              <w:bottom w:val="single" w:sz="8" w:color="009BDE"/>
            </w:tcBorders>
          </w:tcPr>
          <w:p>
            <w:pPr>
              <w:spacing w:after="0" w:line="20" w:lineRule="exact"/>
              <w:rPr>
                <w:sz w:val="1"/>
                <w:szCs w:val="1"/>
                <w:color w:val="auto"/>
              </w:rPr>
            </w:pPr>
          </w:p>
        </w:tc>
        <w:tc>
          <w:tcPr>
            <w:tcW w:w="180" w:type="dxa"/>
            <w:vAlign w:val="bottom"/>
            <w:tcBorders>
              <w:top w:val="single" w:sz="8" w:color="0000EE"/>
              <w:bottom w:val="single" w:sz="8" w:color="009BDE"/>
            </w:tcBorders>
          </w:tcPr>
          <w:p>
            <w:pPr>
              <w:spacing w:after="0" w:line="20" w:lineRule="exact"/>
              <w:rPr>
                <w:sz w:val="1"/>
                <w:szCs w:val="1"/>
                <w:color w:val="auto"/>
              </w:rPr>
            </w:pPr>
          </w:p>
        </w:tc>
        <w:tc>
          <w:tcPr>
            <w:tcW w:w="620" w:type="dxa"/>
            <w:vAlign w:val="bottom"/>
            <w:tcBorders>
              <w:top w:val="single" w:sz="8" w:color="0000EE"/>
              <w:bottom w:val="single" w:sz="8" w:color="009BDE"/>
            </w:tcBorders>
          </w:tcPr>
          <w:p>
            <w:pPr>
              <w:spacing w:after="0" w:line="20" w:lineRule="exact"/>
              <w:rPr>
                <w:sz w:val="1"/>
                <w:szCs w:val="1"/>
                <w:color w:val="auto"/>
              </w:rPr>
            </w:pPr>
          </w:p>
        </w:tc>
        <w:tc>
          <w:tcPr>
            <w:tcW w:w="440" w:type="dxa"/>
            <w:vAlign w:val="bottom"/>
            <w:tcBorders>
              <w:bottom w:val="single" w:sz="8" w:color="009BDE"/>
            </w:tcBorders>
          </w:tcPr>
          <w:p>
            <w:pPr>
              <w:spacing w:after="0" w:line="20" w:lineRule="exact"/>
              <w:rPr>
                <w:sz w:val="1"/>
                <w:szCs w:val="1"/>
                <w:color w:val="auto"/>
              </w:rPr>
            </w:pPr>
          </w:p>
        </w:tc>
        <w:tc>
          <w:tcPr>
            <w:tcW w:w="580" w:type="dxa"/>
            <w:vAlign w:val="bottom"/>
            <w:tcBorders>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420" w:type="dxa"/>
            <w:vAlign w:val="bottom"/>
            <w:tcBorders>
              <w:bottom w:val="single" w:sz="8" w:color="009BDE"/>
            </w:tcBorders>
          </w:tcPr>
          <w:p>
            <w:pPr>
              <w:spacing w:after="0" w:line="20" w:lineRule="exact"/>
              <w:rPr>
                <w:sz w:val="1"/>
                <w:szCs w:val="1"/>
                <w:color w:val="auto"/>
              </w:rPr>
            </w:pPr>
          </w:p>
        </w:tc>
        <w:tc>
          <w:tcPr>
            <w:tcW w:w="20" w:type="dxa"/>
            <w:vAlign w:val="bottom"/>
            <w:tcBorders>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80" w:type="dxa"/>
            <w:vAlign w:val="bottom"/>
            <w:tcBorders>
              <w:bottom w:val="single" w:sz="8" w:color="009BDE"/>
            </w:tcBorders>
          </w:tcPr>
          <w:p>
            <w:pPr>
              <w:spacing w:after="0" w:line="20" w:lineRule="exact"/>
              <w:rPr>
                <w:sz w:val="1"/>
                <w:szCs w:val="1"/>
                <w:color w:val="auto"/>
              </w:rPr>
            </w:pPr>
          </w:p>
        </w:tc>
        <w:tc>
          <w:tcPr>
            <w:tcW w:w="300" w:type="dxa"/>
            <w:vAlign w:val="bottom"/>
            <w:tcBorders>
              <w:bottom w:val="single" w:sz="8" w:color="009B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960" w:type="dxa"/>
            <w:vAlign w:val="bottom"/>
            <w:tcBorders>
              <w:bottom w:val="single" w:sz="8" w:color="0000EE"/>
            </w:tcBorders>
            <w:gridSpan w:val="30"/>
          </w:tcPr>
          <w:p>
            <w:pPr>
              <w:spacing w:after="0" w:line="165" w:lineRule="exact"/>
              <w:rPr>
                <w:sz w:val="20"/>
                <w:szCs w:val="20"/>
                <w:color w:val="auto"/>
              </w:rPr>
            </w:pPr>
            <w:r>
              <w:rPr>
                <w:rFonts w:ascii="Arial" w:cs="Arial" w:eastAsia="Arial" w:hAnsi="Arial"/>
                <w:sz w:val="16"/>
                <w:szCs w:val="16"/>
                <w:color w:val="0000EE"/>
                <w:w w:val="96"/>
              </w:rPr>
              <w:t>ADDITIONAL INFORMATION REGARDING INDEPENDENT REGISTERED PUBLIC ACCOUNTING</w:t>
            </w:r>
          </w:p>
        </w:tc>
        <w:tc>
          <w:tcPr>
            <w:tcW w:w="8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b w:val="1"/>
                <w:bCs w:val="1"/>
                <w:color w:val="009BDE"/>
              </w:rPr>
              <w:t>90</w:t>
            </w:r>
          </w:p>
        </w:tc>
        <w:tc>
          <w:tcPr>
            <w:tcW w:w="0" w:type="dxa"/>
            <w:vAlign w:val="bottom"/>
          </w:tcPr>
          <w:p>
            <w:pPr>
              <w:spacing w:after="0"/>
              <w:rPr>
                <w:sz w:val="1"/>
                <w:szCs w:val="1"/>
                <w:color w:val="auto"/>
              </w:rPr>
            </w:pPr>
          </w:p>
        </w:tc>
      </w:tr>
      <w:tr>
        <w:trPr>
          <w:trHeight w:val="169"/>
        </w:trPr>
        <w:tc>
          <w:tcPr>
            <w:tcW w:w="7040" w:type="dxa"/>
            <w:vAlign w:val="bottom"/>
            <w:gridSpan w:val="31"/>
          </w:tcPr>
          <w:p>
            <w:pPr>
              <w:spacing w:after="0" w:line="169" w:lineRule="exact"/>
              <w:rPr>
                <w:sz w:val="20"/>
                <w:szCs w:val="20"/>
                <w:color w:val="auto"/>
              </w:rPr>
            </w:pPr>
            <w:r>
              <w:rPr>
                <w:rFonts w:ascii="Arial" w:cs="Arial" w:eastAsia="Arial" w:hAnsi="Arial"/>
                <w:sz w:val="16"/>
                <w:szCs w:val="16"/>
                <w:color w:val="0000EE"/>
              </w:rPr>
              <w:t>FIRM</w:t>
            </w: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0000EE"/>
              <w:bottom w:val="single" w:sz="8" w:color="009BDE"/>
            </w:tcBorders>
          </w:tcPr>
          <w:p>
            <w:pPr>
              <w:spacing w:after="0" w:line="20" w:lineRule="exact"/>
              <w:rPr>
                <w:sz w:val="1"/>
                <w:szCs w:val="1"/>
                <w:color w:val="auto"/>
              </w:rPr>
            </w:pPr>
          </w:p>
        </w:tc>
        <w:tc>
          <w:tcPr>
            <w:tcW w:w="120" w:type="dxa"/>
            <w:vAlign w:val="bottom"/>
            <w:tcBorders>
              <w:top w:val="single" w:sz="8" w:color="0000EE"/>
              <w:bottom w:val="single" w:sz="8" w:color="009BDE"/>
            </w:tcBorders>
          </w:tcPr>
          <w:p>
            <w:pPr>
              <w:spacing w:after="0" w:line="20" w:lineRule="exact"/>
              <w:rPr>
                <w:sz w:val="1"/>
                <w:szCs w:val="1"/>
                <w:color w:val="auto"/>
              </w:rPr>
            </w:pPr>
          </w:p>
        </w:tc>
        <w:tc>
          <w:tcPr>
            <w:tcW w:w="460" w:type="dxa"/>
            <w:vAlign w:val="bottom"/>
            <w:tcBorders>
              <w:bottom w:val="single" w:sz="8" w:color="009BDE"/>
            </w:tcBorders>
          </w:tcPr>
          <w:p>
            <w:pPr>
              <w:spacing w:after="0" w:line="20" w:lineRule="exact"/>
              <w:rPr>
                <w:sz w:val="1"/>
                <w:szCs w:val="1"/>
                <w:color w:val="auto"/>
              </w:rPr>
            </w:pPr>
          </w:p>
        </w:tc>
        <w:tc>
          <w:tcPr>
            <w:tcW w:w="540" w:type="dxa"/>
            <w:vAlign w:val="bottom"/>
            <w:tcBorders>
              <w:bottom w:val="single" w:sz="8" w:color="009BDE"/>
            </w:tcBorders>
          </w:tcPr>
          <w:p>
            <w:pPr>
              <w:spacing w:after="0" w:line="20" w:lineRule="exact"/>
              <w:rPr>
                <w:sz w:val="1"/>
                <w:szCs w:val="1"/>
                <w:color w:val="auto"/>
              </w:rPr>
            </w:pPr>
          </w:p>
        </w:tc>
        <w:tc>
          <w:tcPr>
            <w:tcW w:w="220" w:type="dxa"/>
            <w:vAlign w:val="bottom"/>
            <w:tcBorders>
              <w:bottom w:val="single" w:sz="8" w:color="009BDE"/>
            </w:tcBorders>
          </w:tcPr>
          <w:p>
            <w:pPr>
              <w:spacing w:after="0" w:line="20" w:lineRule="exact"/>
              <w:rPr>
                <w:sz w:val="1"/>
                <w:szCs w:val="1"/>
                <w:color w:val="auto"/>
              </w:rPr>
            </w:pPr>
          </w:p>
        </w:tc>
        <w:tc>
          <w:tcPr>
            <w:tcW w:w="120" w:type="dxa"/>
            <w:vAlign w:val="bottom"/>
            <w:tcBorders>
              <w:bottom w:val="single" w:sz="8" w:color="009BDE"/>
            </w:tcBorders>
          </w:tcPr>
          <w:p>
            <w:pPr>
              <w:spacing w:after="0" w:line="20" w:lineRule="exact"/>
              <w:rPr>
                <w:sz w:val="1"/>
                <w:szCs w:val="1"/>
                <w:color w:val="auto"/>
              </w:rPr>
            </w:pPr>
          </w:p>
        </w:tc>
        <w:tc>
          <w:tcPr>
            <w:tcW w:w="280" w:type="dxa"/>
            <w:vAlign w:val="bottom"/>
            <w:tcBorders>
              <w:bottom w:val="single" w:sz="8" w:color="009BDE"/>
            </w:tcBorders>
          </w:tcPr>
          <w:p>
            <w:pPr>
              <w:spacing w:after="0" w:line="20" w:lineRule="exact"/>
              <w:rPr>
                <w:sz w:val="1"/>
                <w:szCs w:val="1"/>
                <w:color w:val="auto"/>
              </w:rPr>
            </w:pPr>
          </w:p>
        </w:tc>
        <w:tc>
          <w:tcPr>
            <w:tcW w:w="60" w:type="dxa"/>
            <w:vAlign w:val="bottom"/>
            <w:tcBorders>
              <w:bottom w:val="single" w:sz="8" w:color="009BDE"/>
            </w:tcBorders>
          </w:tcPr>
          <w:p>
            <w:pPr>
              <w:spacing w:after="0" w:line="20" w:lineRule="exact"/>
              <w:rPr>
                <w:sz w:val="1"/>
                <w:szCs w:val="1"/>
                <w:color w:val="auto"/>
              </w:rPr>
            </w:pPr>
          </w:p>
        </w:tc>
        <w:tc>
          <w:tcPr>
            <w:tcW w:w="260" w:type="dxa"/>
            <w:vAlign w:val="bottom"/>
            <w:tcBorders>
              <w:bottom w:val="single" w:sz="8" w:color="009BDE"/>
            </w:tcBorders>
          </w:tcPr>
          <w:p>
            <w:pPr>
              <w:spacing w:after="0" w:line="20" w:lineRule="exact"/>
              <w:rPr>
                <w:sz w:val="1"/>
                <w:szCs w:val="1"/>
                <w:color w:val="auto"/>
              </w:rPr>
            </w:pPr>
          </w:p>
        </w:tc>
        <w:tc>
          <w:tcPr>
            <w:tcW w:w="180" w:type="dxa"/>
            <w:vAlign w:val="bottom"/>
            <w:tcBorders>
              <w:bottom w:val="single" w:sz="8" w:color="009BDE"/>
            </w:tcBorders>
          </w:tcPr>
          <w:p>
            <w:pPr>
              <w:spacing w:after="0" w:line="20" w:lineRule="exact"/>
              <w:rPr>
                <w:sz w:val="1"/>
                <w:szCs w:val="1"/>
                <w:color w:val="auto"/>
              </w:rPr>
            </w:pPr>
          </w:p>
        </w:tc>
        <w:tc>
          <w:tcPr>
            <w:tcW w:w="20" w:type="dxa"/>
            <w:vAlign w:val="bottom"/>
            <w:tcBorders>
              <w:bottom w:val="single" w:sz="8" w:color="009BDE"/>
            </w:tcBorders>
          </w:tcPr>
          <w:p>
            <w:pPr>
              <w:spacing w:after="0" w:line="20" w:lineRule="exact"/>
              <w:rPr>
                <w:sz w:val="1"/>
                <w:szCs w:val="1"/>
                <w:color w:val="auto"/>
              </w:rPr>
            </w:pPr>
          </w:p>
        </w:tc>
        <w:tc>
          <w:tcPr>
            <w:tcW w:w="20" w:type="dxa"/>
            <w:vAlign w:val="bottom"/>
            <w:tcBorders>
              <w:bottom w:val="single" w:sz="8" w:color="009BDE"/>
            </w:tcBorders>
          </w:tcPr>
          <w:p>
            <w:pPr>
              <w:spacing w:after="0" w:line="20" w:lineRule="exact"/>
              <w:rPr>
                <w:sz w:val="1"/>
                <w:szCs w:val="1"/>
                <w:color w:val="auto"/>
              </w:rPr>
            </w:pPr>
          </w:p>
        </w:tc>
        <w:tc>
          <w:tcPr>
            <w:tcW w:w="340" w:type="dxa"/>
            <w:vAlign w:val="bottom"/>
            <w:tcBorders>
              <w:bottom w:val="single" w:sz="8" w:color="009BDE"/>
            </w:tcBorders>
          </w:tcPr>
          <w:p>
            <w:pPr>
              <w:spacing w:after="0" w:line="20" w:lineRule="exact"/>
              <w:rPr>
                <w:sz w:val="1"/>
                <w:szCs w:val="1"/>
                <w:color w:val="auto"/>
              </w:rPr>
            </w:pPr>
          </w:p>
        </w:tc>
        <w:tc>
          <w:tcPr>
            <w:tcW w:w="40" w:type="dxa"/>
            <w:vAlign w:val="bottom"/>
            <w:tcBorders>
              <w:bottom w:val="single" w:sz="8" w:color="009BDE"/>
            </w:tcBorders>
          </w:tcPr>
          <w:p>
            <w:pPr>
              <w:spacing w:after="0" w:line="20" w:lineRule="exact"/>
              <w:rPr>
                <w:sz w:val="1"/>
                <w:szCs w:val="1"/>
                <w:color w:val="auto"/>
              </w:rPr>
            </w:pPr>
          </w:p>
        </w:tc>
        <w:tc>
          <w:tcPr>
            <w:tcW w:w="40" w:type="dxa"/>
            <w:vAlign w:val="bottom"/>
            <w:tcBorders>
              <w:bottom w:val="single" w:sz="8" w:color="009BDE"/>
            </w:tcBorders>
          </w:tcPr>
          <w:p>
            <w:pPr>
              <w:spacing w:after="0" w:line="20" w:lineRule="exact"/>
              <w:rPr>
                <w:sz w:val="1"/>
                <w:szCs w:val="1"/>
                <w:color w:val="auto"/>
              </w:rPr>
            </w:pPr>
          </w:p>
        </w:tc>
        <w:tc>
          <w:tcPr>
            <w:tcW w:w="80" w:type="dxa"/>
            <w:vAlign w:val="bottom"/>
            <w:tcBorders>
              <w:bottom w:val="single" w:sz="8" w:color="009BDE"/>
            </w:tcBorders>
          </w:tcPr>
          <w:p>
            <w:pPr>
              <w:spacing w:after="0" w:line="20" w:lineRule="exact"/>
              <w:rPr>
                <w:sz w:val="1"/>
                <w:szCs w:val="1"/>
                <w:color w:val="auto"/>
              </w:rPr>
            </w:pPr>
          </w:p>
        </w:tc>
        <w:tc>
          <w:tcPr>
            <w:tcW w:w="20" w:type="dxa"/>
            <w:vAlign w:val="bottom"/>
            <w:tcBorders>
              <w:bottom w:val="single" w:sz="8" w:color="009BDE"/>
            </w:tcBorders>
          </w:tcPr>
          <w:p>
            <w:pPr>
              <w:spacing w:after="0" w:line="20" w:lineRule="exact"/>
              <w:rPr>
                <w:sz w:val="1"/>
                <w:szCs w:val="1"/>
                <w:color w:val="auto"/>
              </w:rPr>
            </w:pPr>
          </w:p>
        </w:tc>
        <w:tc>
          <w:tcPr>
            <w:tcW w:w="360" w:type="dxa"/>
            <w:vAlign w:val="bottom"/>
            <w:tcBorders>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20" w:type="dxa"/>
            <w:vAlign w:val="bottom"/>
            <w:tcBorders>
              <w:bottom w:val="single" w:sz="8" w:color="009BDE"/>
            </w:tcBorders>
          </w:tcPr>
          <w:p>
            <w:pPr>
              <w:spacing w:after="0" w:line="20" w:lineRule="exact"/>
              <w:rPr>
                <w:sz w:val="1"/>
                <w:szCs w:val="1"/>
                <w:color w:val="auto"/>
              </w:rPr>
            </w:pPr>
          </w:p>
        </w:tc>
        <w:tc>
          <w:tcPr>
            <w:tcW w:w="120" w:type="dxa"/>
            <w:vAlign w:val="bottom"/>
            <w:tcBorders>
              <w:bottom w:val="single" w:sz="8" w:color="009BDE"/>
            </w:tcBorders>
          </w:tcPr>
          <w:p>
            <w:pPr>
              <w:spacing w:after="0" w:line="20" w:lineRule="exact"/>
              <w:rPr>
                <w:sz w:val="1"/>
                <w:szCs w:val="1"/>
                <w:color w:val="auto"/>
              </w:rPr>
            </w:pPr>
          </w:p>
        </w:tc>
        <w:tc>
          <w:tcPr>
            <w:tcW w:w="660" w:type="dxa"/>
            <w:vAlign w:val="bottom"/>
            <w:tcBorders>
              <w:bottom w:val="single" w:sz="8" w:color="009BDE"/>
            </w:tcBorders>
          </w:tcPr>
          <w:p>
            <w:pPr>
              <w:spacing w:after="0" w:line="20" w:lineRule="exact"/>
              <w:rPr>
                <w:sz w:val="1"/>
                <w:szCs w:val="1"/>
                <w:color w:val="auto"/>
              </w:rPr>
            </w:pPr>
          </w:p>
        </w:tc>
        <w:tc>
          <w:tcPr>
            <w:tcW w:w="180" w:type="dxa"/>
            <w:vAlign w:val="bottom"/>
            <w:tcBorders>
              <w:bottom w:val="single" w:sz="8" w:color="009BDE"/>
            </w:tcBorders>
          </w:tcPr>
          <w:p>
            <w:pPr>
              <w:spacing w:after="0" w:line="20" w:lineRule="exact"/>
              <w:rPr>
                <w:sz w:val="1"/>
                <w:szCs w:val="1"/>
                <w:color w:val="auto"/>
              </w:rPr>
            </w:pPr>
          </w:p>
        </w:tc>
        <w:tc>
          <w:tcPr>
            <w:tcW w:w="620" w:type="dxa"/>
            <w:vAlign w:val="bottom"/>
            <w:tcBorders>
              <w:bottom w:val="single" w:sz="8" w:color="009BDE"/>
            </w:tcBorders>
          </w:tcPr>
          <w:p>
            <w:pPr>
              <w:spacing w:after="0" w:line="20" w:lineRule="exact"/>
              <w:rPr>
                <w:sz w:val="1"/>
                <w:szCs w:val="1"/>
                <w:color w:val="auto"/>
              </w:rPr>
            </w:pPr>
          </w:p>
        </w:tc>
        <w:tc>
          <w:tcPr>
            <w:tcW w:w="440" w:type="dxa"/>
            <w:vAlign w:val="bottom"/>
            <w:tcBorders>
              <w:bottom w:val="single" w:sz="8" w:color="009BDE"/>
            </w:tcBorders>
          </w:tcPr>
          <w:p>
            <w:pPr>
              <w:spacing w:after="0" w:line="20" w:lineRule="exact"/>
              <w:rPr>
                <w:sz w:val="1"/>
                <w:szCs w:val="1"/>
                <w:color w:val="auto"/>
              </w:rPr>
            </w:pPr>
          </w:p>
        </w:tc>
        <w:tc>
          <w:tcPr>
            <w:tcW w:w="580" w:type="dxa"/>
            <w:vAlign w:val="bottom"/>
            <w:tcBorders>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420" w:type="dxa"/>
            <w:vAlign w:val="bottom"/>
            <w:tcBorders>
              <w:bottom w:val="single" w:sz="8" w:color="009BDE"/>
            </w:tcBorders>
          </w:tcPr>
          <w:p>
            <w:pPr>
              <w:spacing w:after="0" w:line="20" w:lineRule="exact"/>
              <w:rPr>
                <w:sz w:val="1"/>
                <w:szCs w:val="1"/>
                <w:color w:val="auto"/>
              </w:rPr>
            </w:pPr>
          </w:p>
        </w:tc>
        <w:tc>
          <w:tcPr>
            <w:tcW w:w="20" w:type="dxa"/>
            <w:vAlign w:val="bottom"/>
            <w:tcBorders>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80" w:type="dxa"/>
            <w:vAlign w:val="bottom"/>
            <w:tcBorders>
              <w:bottom w:val="single" w:sz="8" w:color="009BDE"/>
            </w:tcBorders>
          </w:tcPr>
          <w:p>
            <w:pPr>
              <w:spacing w:after="0" w:line="20" w:lineRule="exact"/>
              <w:rPr>
                <w:sz w:val="1"/>
                <w:szCs w:val="1"/>
                <w:color w:val="auto"/>
              </w:rPr>
            </w:pPr>
          </w:p>
        </w:tc>
        <w:tc>
          <w:tcPr>
            <w:tcW w:w="300" w:type="dxa"/>
            <w:vAlign w:val="bottom"/>
            <w:tcBorders>
              <w:bottom w:val="single" w:sz="8" w:color="009B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040" w:type="dxa"/>
            <w:vAlign w:val="bottom"/>
            <w:gridSpan w:val="31"/>
          </w:tcPr>
          <w:p>
            <w:pPr>
              <w:spacing w:after="0" w:line="165" w:lineRule="exact"/>
              <w:rPr>
                <w:sz w:val="20"/>
                <w:szCs w:val="20"/>
                <w:color w:val="auto"/>
              </w:rPr>
            </w:pPr>
            <w:r>
              <w:rPr>
                <w:rFonts w:ascii="Arial" w:cs="Arial" w:eastAsia="Arial" w:hAnsi="Arial"/>
                <w:sz w:val="16"/>
                <w:szCs w:val="16"/>
                <w:color w:val="0000EE"/>
              </w:rPr>
              <w:t>VOTING SECURITIES AND PRINCIPAL HOLDERS THEREOF</w:t>
            </w:r>
          </w:p>
        </w:tc>
        <w:tc>
          <w:tcPr>
            <w:tcW w:w="300" w:type="dxa"/>
            <w:vAlign w:val="bottom"/>
          </w:tcPr>
          <w:p>
            <w:pPr>
              <w:jc w:val="right"/>
              <w:spacing w:after="0" w:line="165" w:lineRule="exact"/>
              <w:rPr>
                <w:sz w:val="20"/>
                <w:szCs w:val="20"/>
                <w:color w:val="auto"/>
              </w:rPr>
            </w:pPr>
            <w:r>
              <w:rPr>
                <w:rFonts w:ascii="Arial" w:cs="Arial" w:eastAsia="Arial" w:hAnsi="Arial"/>
                <w:sz w:val="16"/>
                <w:szCs w:val="16"/>
                <w:b w:val="1"/>
                <w:bCs w:val="1"/>
                <w:color w:val="009BDE"/>
              </w:rPr>
              <w:t>92</w:t>
            </w:r>
          </w:p>
        </w:tc>
        <w:tc>
          <w:tcPr>
            <w:tcW w:w="0" w:type="dxa"/>
            <w:vAlign w:val="bottom"/>
          </w:tcPr>
          <w:p>
            <w:pPr>
              <w:spacing w:after="0"/>
              <w:rPr>
                <w:sz w:val="1"/>
                <w:szCs w:val="1"/>
                <w:color w:val="auto"/>
              </w:rPr>
            </w:pPr>
          </w:p>
        </w:tc>
      </w:tr>
      <w:tr>
        <w:trPr>
          <w:trHeight w:val="20"/>
        </w:trPr>
        <w:tc>
          <w:tcPr>
            <w:tcW w:w="260" w:type="dxa"/>
            <w:vAlign w:val="bottom"/>
            <w:tcBorders>
              <w:top w:val="single" w:sz="8" w:color="0000EE"/>
              <w:bottom w:val="single" w:sz="8" w:color="009BDE"/>
            </w:tcBorders>
          </w:tcPr>
          <w:p>
            <w:pPr>
              <w:spacing w:after="0" w:line="20" w:lineRule="exact"/>
              <w:rPr>
                <w:sz w:val="1"/>
                <w:szCs w:val="1"/>
                <w:color w:val="auto"/>
              </w:rPr>
            </w:pPr>
          </w:p>
        </w:tc>
        <w:tc>
          <w:tcPr>
            <w:tcW w:w="120" w:type="dxa"/>
            <w:vAlign w:val="bottom"/>
            <w:tcBorders>
              <w:top w:val="single" w:sz="8" w:color="0000EE"/>
              <w:bottom w:val="single" w:sz="8" w:color="009BDE"/>
            </w:tcBorders>
          </w:tcPr>
          <w:p>
            <w:pPr>
              <w:spacing w:after="0" w:line="20" w:lineRule="exact"/>
              <w:rPr>
                <w:sz w:val="1"/>
                <w:szCs w:val="1"/>
                <w:color w:val="auto"/>
              </w:rPr>
            </w:pPr>
          </w:p>
        </w:tc>
        <w:tc>
          <w:tcPr>
            <w:tcW w:w="460" w:type="dxa"/>
            <w:vAlign w:val="bottom"/>
            <w:tcBorders>
              <w:top w:val="single" w:sz="8" w:color="0000EE"/>
              <w:bottom w:val="single" w:sz="8" w:color="009BDE"/>
            </w:tcBorders>
          </w:tcPr>
          <w:p>
            <w:pPr>
              <w:spacing w:after="0" w:line="20" w:lineRule="exact"/>
              <w:rPr>
                <w:sz w:val="1"/>
                <w:szCs w:val="1"/>
                <w:color w:val="auto"/>
              </w:rPr>
            </w:pPr>
          </w:p>
        </w:tc>
        <w:tc>
          <w:tcPr>
            <w:tcW w:w="540" w:type="dxa"/>
            <w:vAlign w:val="bottom"/>
            <w:tcBorders>
              <w:top w:val="single" w:sz="8" w:color="0000EE"/>
              <w:bottom w:val="single" w:sz="8" w:color="009BDE"/>
            </w:tcBorders>
          </w:tcPr>
          <w:p>
            <w:pPr>
              <w:spacing w:after="0" w:line="20" w:lineRule="exact"/>
              <w:rPr>
                <w:sz w:val="1"/>
                <w:szCs w:val="1"/>
                <w:color w:val="auto"/>
              </w:rPr>
            </w:pPr>
          </w:p>
        </w:tc>
        <w:tc>
          <w:tcPr>
            <w:tcW w:w="220" w:type="dxa"/>
            <w:vAlign w:val="bottom"/>
            <w:tcBorders>
              <w:top w:val="single" w:sz="8" w:color="0000EE"/>
              <w:bottom w:val="single" w:sz="8" w:color="009BDE"/>
            </w:tcBorders>
          </w:tcPr>
          <w:p>
            <w:pPr>
              <w:spacing w:after="0" w:line="20" w:lineRule="exact"/>
              <w:rPr>
                <w:sz w:val="1"/>
                <w:szCs w:val="1"/>
                <w:color w:val="auto"/>
              </w:rPr>
            </w:pPr>
          </w:p>
        </w:tc>
        <w:tc>
          <w:tcPr>
            <w:tcW w:w="120" w:type="dxa"/>
            <w:vAlign w:val="bottom"/>
            <w:tcBorders>
              <w:top w:val="single" w:sz="8" w:color="0000EE"/>
              <w:bottom w:val="single" w:sz="8" w:color="009BDE"/>
            </w:tcBorders>
          </w:tcPr>
          <w:p>
            <w:pPr>
              <w:spacing w:after="0" w:line="20" w:lineRule="exact"/>
              <w:rPr>
                <w:sz w:val="1"/>
                <w:szCs w:val="1"/>
                <w:color w:val="auto"/>
              </w:rPr>
            </w:pPr>
          </w:p>
        </w:tc>
        <w:tc>
          <w:tcPr>
            <w:tcW w:w="280" w:type="dxa"/>
            <w:vAlign w:val="bottom"/>
            <w:tcBorders>
              <w:top w:val="single" w:sz="8" w:color="0000EE"/>
              <w:bottom w:val="single" w:sz="8" w:color="009BDE"/>
            </w:tcBorders>
          </w:tcPr>
          <w:p>
            <w:pPr>
              <w:spacing w:after="0" w:line="20" w:lineRule="exact"/>
              <w:rPr>
                <w:sz w:val="1"/>
                <w:szCs w:val="1"/>
                <w:color w:val="auto"/>
              </w:rPr>
            </w:pPr>
          </w:p>
        </w:tc>
        <w:tc>
          <w:tcPr>
            <w:tcW w:w="60" w:type="dxa"/>
            <w:vAlign w:val="bottom"/>
            <w:tcBorders>
              <w:top w:val="single" w:sz="8" w:color="0000EE"/>
              <w:bottom w:val="single" w:sz="8" w:color="009BDE"/>
            </w:tcBorders>
          </w:tcPr>
          <w:p>
            <w:pPr>
              <w:spacing w:after="0" w:line="20" w:lineRule="exact"/>
              <w:rPr>
                <w:sz w:val="1"/>
                <w:szCs w:val="1"/>
                <w:color w:val="auto"/>
              </w:rPr>
            </w:pPr>
          </w:p>
        </w:tc>
        <w:tc>
          <w:tcPr>
            <w:tcW w:w="260" w:type="dxa"/>
            <w:vAlign w:val="bottom"/>
            <w:tcBorders>
              <w:top w:val="single" w:sz="8" w:color="0000EE"/>
              <w:bottom w:val="single" w:sz="8" w:color="009BDE"/>
            </w:tcBorders>
          </w:tcPr>
          <w:p>
            <w:pPr>
              <w:spacing w:after="0" w:line="20" w:lineRule="exact"/>
              <w:rPr>
                <w:sz w:val="1"/>
                <w:szCs w:val="1"/>
                <w:color w:val="auto"/>
              </w:rPr>
            </w:pPr>
          </w:p>
        </w:tc>
        <w:tc>
          <w:tcPr>
            <w:tcW w:w="18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340" w:type="dxa"/>
            <w:vAlign w:val="bottom"/>
            <w:tcBorders>
              <w:top w:val="single" w:sz="8" w:color="0000EE"/>
              <w:bottom w:val="single" w:sz="8" w:color="009BDE"/>
            </w:tcBorders>
          </w:tcPr>
          <w:p>
            <w:pPr>
              <w:spacing w:after="0" w:line="20" w:lineRule="exact"/>
              <w:rPr>
                <w:sz w:val="1"/>
                <w:szCs w:val="1"/>
                <w:color w:val="auto"/>
              </w:rPr>
            </w:pPr>
          </w:p>
        </w:tc>
        <w:tc>
          <w:tcPr>
            <w:tcW w:w="40" w:type="dxa"/>
            <w:vAlign w:val="bottom"/>
            <w:tcBorders>
              <w:top w:val="single" w:sz="8" w:color="0000EE"/>
              <w:bottom w:val="single" w:sz="8" w:color="009BDE"/>
            </w:tcBorders>
          </w:tcPr>
          <w:p>
            <w:pPr>
              <w:spacing w:after="0" w:line="20" w:lineRule="exact"/>
              <w:rPr>
                <w:sz w:val="1"/>
                <w:szCs w:val="1"/>
                <w:color w:val="auto"/>
              </w:rPr>
            </w:pPr>
          </w:p>
        </w:tc>
        <w:tc>
          <w:tcPr>
            <w:tcW w:w="40" w:type="dxa"/>
            <w:vAlign w:val="bottom"/>
            <w:tcBorders>
              <w:top w:val="single" w:sz="8" w:color="0000EE"/>
              <w:bottom w:val="single" w:sz="8" w:color="009BDE"/>
            </w:tcBorders>
          </w:tcPr>
          <w:p>
            <w:pPr>
              <w:spacing w:after="0" w:line="20" w:lineRule="exact"/>
              <w:rPr>
                <w:sz w:val="1"/>
                <w:szCs w:val="1"/>
                <w:color w:val="auto"/>
              </w:rPr>
            </w:pPr>
          </w:p>
        </w:tc>
        <w:tc>
          <w:tcPr>
            <w:tcW w:w="8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360" w:type="dxa"/>
            <w:vAlign w:val="bottom"/>
            <w:tcBorders>
              <w:top w:val="single" w:sz="8" w:color="0000EE"/>
              <w:bottom w:val="single" w:sz="8" w:color="009BDE"/>
            </w:tcBorders>
          </w:tcPr>
          <w:p>
            <w:pPr>
              <w:spacing w:after="0" w:line="20" w:lineRule="exact"/>
              <w:rPr>
                <w:sz w:val="1"/>
                <w:szCs w:val="1"/>
                <w:color w:val="auto"/>
              </w:rPr>
            </w:pPr>
          </w:p>
        </w:tc>
        <w:tc>
          <w:tcPr>
            <w:tcW w:w="16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120" w:type="dxa"/>
            <w:vAlign w:val="bottom"/>
            <w:tcBorders>
              <w:top w:val="single" w:sz="8" w:color="0000EE"/>
              <w:bottom w:val="single" w:sz="8" w:color="009BDE"/>
            </w:tcBorders>
          </w:tcPr>
          <w:p>
            <w:pPr>
              <w:spacing w:after="0" w:line="20" w:lineRule="exact"/>
              <w:rPr>
                <w:sz w:val="1"/>
                <w:szCs w:val="1"/>
                <w:color w:val="auto"/>
              </w:rPr>
            </w:pPr>
          </w:p>
        </w:tc>
        <w:tc>
          <w:tcPr>
            <w:tcW w:w="660" w:type="dxa"/>
            <w:vAlign w:val="bottom"/>
            <w:tcBorders>
              <w:top w:val="single" w:sz="8" w:color="0000EE"/>
              <w:bottom w:val="single" w:sz="8" w:color="009BDE"/>
            </w:tcBorders>
          </w:tcPr>
          <w:p>
            <w:pPr>
              <w:spacing w:after="0" w:line="20" w:lineRule="exact"/>
              <w:rPr>
                <w:sz w:val="1"/>
                <w:szCs w:val="1"/>
                <w:color w:val="auto"/>
              </w:rPr>
            </w:pPr>
          </w:p>
        </w:tc>
        <w:tc>
          <w:tcPr>
            <w:tcW w:w="180" w:type="dxa"/>
            <w:vAlign w:val="bottom"/>
            <w:tcBorders>
              <w:bottom w:val="single" w:sz="8" w:color="009BDE"/>
            </w:tcBorders>
          </w:tcPr>
          <w:p>
            <w:pPr>
              <w:spacing w:after="0" w:line="20" w:lineRule="exact"/>
              <w:rPr>
                <w:sz w:val="1"/>
                <w:szCs w:val="1"/>
                <w:color w:val="auto"/>
              </w:rPr>
            </w:pPr>
          </w:p>
        </w:tc>
        <w:tc>
          <w:tcPr>
            <w:tcW w:w="620" w:type="dxa"/>
            <w:vAlign w:val="bottom"/>
            <w:tcBorders>
              <w:bottom w:val="single" w:sz="8" w:color="009BDE"/>
            </w:tcBorders>
          </w:tcPr>
          <w:p>
            <w:pPr>
              <w:spacing w:after="0" w:line="20" w:lineRule="exact"/>
              <w:rPr>
                <w:sz w:val="1"/>
                <w:szCs w:val="1"/>
                <w:color w:val="auto"/>
              </w:rPr>
            </w:pPr>
          </w:p>
        </w:tc>
        <w:tc>
          <w:tcPr>
            <w:tcW w:w="440" w:type="dxa"/>
            <w:vAlign w:val="bottom"/>
            <w:tcBorders>
              <w:bottom w:val="single" w:sz="8" w:color="009BDE"/>
            </w:tcBorders>
          </w:tcPr>
          <w:p>
            <w:pPr>
              <w:spacing w:after="0" w:line="20" w:lineRule="exact"/>
              <w:rPr>
                <w:sz w:val="1"/>
                <w:szCs w:val="1"/>
                <w:color w:val="auto"/>
              </w:rPr>
            </w:pPr>
          </w:p>
        </w:tc>
        <w:tc>
          <w:tcPr>
            <w:tcW w:w="580" w:type="dxa"/>
            <w:vAlign w:val="bottom"/>
            <w:tcBorders>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420" w:type="dxa"/>
            <w:vAlign w:val="bottom"/>
            <w:tcBorders>
              <w:bottom w:val="single" w:sz="8" w:color="009BDE"/>
            </w:tcBorders>
          </w:tcPr>
          <w:p>
            <w:pPr>
              <w:spacing w:after="0" w:line="20" w:lineRule="exact"/>
              <w:rPr>
                <w:sz w:val="1"/>
                <w:szCs w:val="1"/>
                <w:color w:val="auto"/>
              </w:rPr>
            </w:pPr>
          </w:p>
        </w:tc>
        <w:tc>
          <w:tcPr>
            <w:tcW w:w="20" w:type="dxa"/>
            <w:vAlign w:val="bottom"/>
            <w:tcBorders>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80" w:type="dxa"/>
            <w:vAlign w:val="bottom"/>
            <w:tcBorders>
              <w:bottom w:val="single" w:sz="8" w:color="009BDE"/>
            </w:tcBorders>
          </w:tcPr>
          <w:p>
            <w:pPr>
              <w:spacing w:after="0" w:line="20" w:lineRule="exact"/>
              <w:rPr>
                <w:sz w:val="1"/>
                <w:szCs w:val="1"/>
                <w:color w:val="auto"/>
              </w:rPr>
            </w:pPr>
          </w:p>
        </w:tc>
        <w:tc>
          <w:tcPr>
            <w:tcW w:w="300" w:type="dxa"/>
            <w:vAlign w:val="bottom"/>
            <w:tcBorders>
              <w:bottom w:val="single" w:sz="8" w:color="009B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40" w:type="dxa"/>
            <w:vAlign w:val="bottom"/>
            <w:gridSpan w:val="31"/>
          </w:tcPr>
          <w:p>
            <w:pPr>
              <w:spacing w:after="0" w:line="156" w:lineRule="exact"/>
              <w:rPr>
                <w:sz w:val="20"/>
                <w:szCs w:val="20"/>
                <w:color w:val="auto"/>
              </w:rPr>
            </w:pPr>
            <w:r>
              <w:rPr>
                <w:rFonts w:ascii="Arial" w:cs="Arial" w:eastAsia="Arial" w:hAnsi="Arial"/>
                <w:sz w:val="16"/>
                <w:szCs w:val="16"/>
                <w:u w:val="single" w:color="auto"/>
                <w:color w:val="0000EE"/>
              </w:rPr>
              <w:t>EQUITY COMPENSATION PLANS</w:t>
            </w:r>
          </w:p>
        </w:tc>
        <w:tc>
          <w:tcPr>
            <w:tcW w:w="300" w:type="dxa"/>
            <w:vAlign w:val="bottom"/>
          </w:tcPr>
          <w:p>
            <w:pPr>
              <w:jc w:val="right"/>
              <w:spacing w:after="0" w:line="156" w:lineRule="exact"/>
              <w:rPr>
                <w:sz w:val="20"/>
                <w:szCs w:val="20"/>
                <w:color w:val="auto"/>
              </w:rPr>
            </w:pPr>
            <w:r>
              <w:rPr>
                <w:rFonts w:ascii="Arial" w:cs="Arial" w:eastAsia="Arial" w:hAnsi="Arial"/>
                <w:sz w:val="16"/>
                <w:szCs w:val="16"/>
                <w:b w:val="1"/>
                <w:bCs w:val="1"/>
                <w:color w:val="009BDE"/>
              </w:rPr>
              <w:t>95</w:t>
            </w:r>
          </w:p>
        </w:tc>
        <w:tc>
          <w:tcPr>
            <w:tcW w:w="0" w:type="dxa"/>
            <w:vAlign w:val="bottom"/>
          </w:tcPr>
          <w:p>
            <w:pPr>
              <w:spacing w:after="0"/>
              <w:rPr>
                <w:sz w:val="1"/>
                <w:szCs w:val="1"/>
                <w:color w:val="auto"/>
              </w:rPr>
            </w:pPr>
          </w:p>
        </w:tc>
      </w:tr>
      <w:tr>
        <w:trPr>
          <w:trHeight w:val="159"/>
        </w:trPr>
        <w:tc>
          <w:tcPr>
            <w:tcW w:w="260" w:type="dxa"/>
            <w:vAlign w:val="bottom"/>
          </w:tcPr>
          <w:p>
            <w:pPr>
              <w:ind w:left="160"/>
              <w:spacing w:after="0"/>
              <w:rPr>
                <w:sz w:val="20"/>
                <w:szCs w:val="20"/>
                <w:color w:val="auto"/>
              </w:rPr>
            </w:pPr>
            <w:r>
              <w:rPr>
                <w:rFonts w:ascii="Arial" w:cs="Arial" w:eastAsia="Arial" w:hAnsi="Arial"/>
                <w:sz w:val="12"/>
                <w:szCs w:val="12"/>
                <w:b w:val="1"/>
                <w:bCs w:val="1"/>
                <w:color w:val="FCFCFC"/>
              </w:rPr>
              <w:t>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-8890</wp:posOffset>
            </wp:positionV>
            <wp:extent cx="3977640" cy="571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977640" cy="57150"/>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84" w:lineRule="exact"/>
        <w:rPr>
          <w:sz w:val="20"/>
          <w:szCs w:val="20"/>
          <w:color w:val="auto"/>
        </w:rPr>
      </w:pPr>
    </w:p>
    <w:tbl>
      <w:tblPr>
        <w:tblLayout w:type="fixed"/>
        <w:tblInd w:w="1980" w:type="dxa"/>
        <w:tblCellMar>
          <w:top w:w="0" w:type="dxa"/>
          <w:left w:w="0" w:type="dxa"/>
          <w:bottom w:w="0" w:type="dxa"/>
          <w:right w:w="0" w:type="dxa"/>
        </w:tblCellMar>
      </w:tblPr>
      <w:tr>
        <w:trPr>
          <w:trHeight w:val="184"/>
        </w:trPr>
        <w:tc>
          <w:tcPr>
            <w:tcW w:w="6880" w:type="dxa"/>
            <w:vAlign w:val="bottom"/>
            <w:gridSpan w:val="13"/>
          </w:tcPr>
          <w:p>
            <w:pPr>
              <w:spacing w:after="0"/>
              <w:rPr>
                <w:sz w:val="20"/>
                <w:szCs w:val="20"/>
                <w:color w:val="auto"/>
              </w:rPr>
            </w:pPr>
            <w:r>
              <w:rPr>
                <w:rFonts w:ascii="Arial" w:cs="Arial" w:eastAsia="Arial" w:hAnsi="Arial"/>
                <w:sz w:val="16"/>
                <w:szCs w:val="16"/>
                <w:color w:val="0000EE"/>
              </w:rPr>
              <w:t>CERTAIN RELATIONSHIPS AND RELATED PERSON TRANSACTIONS</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009BDE"/>
              </w:rPr>
              <w:t>96</w:t>
            </w:r>
          </w:p>
        </w:tc>
        <w:tc>
          <w:tcPr>
            <w:tcW w:w="0" w:type="dxa"/>
            <w:vAlign w:val="bottom"/>
          </w:tcPr>
          <w:p>
            <w:pPr>
              <w:spacing w:after="0"/>
              <w:rPr>
                <w:sz w:val="1"/>
                <w:szCs w:val="1"/>
                <w:color w:val="auto"/>
              </w:rPr>
            </w:pPr>
          </w:p>
        </w:tc>
      </w:tr>
      <w:tr>
        <w:trPr>
          <w:trHeight w:val="20"/>
        </w:trPr>
        <w:tc>
          <w:tcPr>
            <w:tcW w:w="38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1160" w:type="dxa"/>
            <w:vAlign w:val="bottom"/>
            <w:tcBorders>
              <w:top w:val="single" w:sz="8" w:color="0000EE"/>
              <w:bottom w:val="single" w:sz="8" w:color="009BDE"/>
            </w:tcBorders>
          </w:tcPr>
          <w:p>
            <w:pPr>
              <w:spacing w:after="0" w:line="20" w:lineRule="exact"/>
              <w:rPr>
                <w:sz w:val="1"/>
                <w:szCs w:val="1"/>
                <w:color w:val="auto"/>
              </w:rPr>
            </w:pPr>
          </w:p>
        </w:tc>
        <w:tc>
          <w:tcPr>
            <w:tcW w:w="500" w:type="dxa"/>
            <w:vAlign w:val="bottom"/>
            <w:tcBorders>
              <w:top w:val="single" w:sz="8" w:color="0000EE"/>
              <w:bottom w:val="single" w:sz="8" w:color="009BDE"/>
            </w:tcBorders>
          </w:tcPr>
          <w:p>
            <w:pPr>
              <w:spacing w:after="0" w:line="20" w:lineRule="exact"/>
              <w:rPr>
                <w:sz w:val="1"/>
                <w:szCs w:val="1"/>
                <w:color w:val="auto"/>
              </w:rPr>
            </w:pPr>
          </w:p>
        </w:tc>
        <w:tc>
          <w:tcPr>
            <w:tcW w:w="880" w:type="dxa"/>
            <w:vAlign w:val="bottom"/>
            <w:tcBorders>
              <w:top w:val="single" w:sz="8" w:color="0000EE"/>
              <w:bottom w:val="single" w:sz="8" w:color="009BDE"/>
            </w:tcBorders>
          </w:tcPr>
          <w:p>
            <w:pPr>
              <w:spacing w:after="0" w:line="20" w:lineRule="exact"/>
              <w:rPr>
                <w:sz w:val="1"/>
                <w:szCs w:val="1"/>
                <w:color w:val="auto"/>
              </w:rPr>
            </w:pPr>
          </w:p>
        </w:tc>
        <w:tc>
          <w:tcPr>
            <w:tcW w:w="1400" w:type="dxa"/>
            <w:vAlign w:val="bottom"/>
            <w:tcBorders>
              <w:top w:val="single" w:sz="8" w:color="0000EE"/>
              <w:bottom w:val="single" w:sz="8" w:color="009BDE"/>
            </w:tcBorders>
          </w:tcPr>
          <w:p>
            <w:pPr>
              <w:spacing w:after="0" w:line="20" w:lineRule="exact"/>
              <w:rPr>
                <w:sz w:val="1"/>
                <w:szCs w:val="1"/>
                <w:color w:val="auto"/>
              </w:rPr>
            </w:pPr>
          </w:p>
        </w:tc>
        <w:tc>
          <w:tcPr>
            <w:tcW w:w="100" w:type="dxa"/>
            <w:vAlign w:val="bottom"/>
            <w:tcBorders>
              <w:top w:val="single" w:sz="8" w:color="0000EE"/>
              <w:bottom w:val="single" w:sz="8" w:color="009BDE"/>
            </w:tcBorders>
          </w:tcPr>
          <w:p>
            <w:pPr>
              <w:spacing w:after="0" w:line="20" w:lineRule="exact"/>
              <w:rPr>
                <w:sz w:val="1"/>
                <w:szCs w:val="1"/>
                <w:color w:val="auto"/>
              </w:rPr>
            </w:pPr>
          </w:p>
        </w:tc>
        <w:tc>
          <w:tcPr>
            <w:tcW w:w="560" w:type="dxa"/>
            <w:vAlign w:val="bottom"/>
            <w:tcBorders>
              <w:top w:val="single" w:sz="8" w:color="0000EE"/>
              <w:bottom w:val="single" w:sz="8" w:color="009BDE"/>
            </w:tcBorders>
          </w:tcPr>
          <w:p>
            <w:pPr>
              <w:spacing w:after="0" w:line="20" w:lineRule="exact"/>
              <w:rPr>
                <w:sz w:val="1"/>
                <w:szCs w:val="1"/>
                <w:color w:val="auto"/>
              </w:rPr>
            </w:pPr>
          </w:p>
        </w:tc>
        <w:tc>
          <w:tcPr>
            <w:tcW w:w="40" w:type="dxa"/>
            <w:vAlign w:val="bottom"/>
            <w:tcBorders>
              <w:top w:val="single" w:sz="8" w:color="0000EE"/>
              <w:bottom w:val="single" w:sz="8" w:color="009BDE"/>
            </w:tcBorders>
          </w:tcPr>
          <w:p>
            <w:pPr>
              <w:spacing w:after="0" w:line="20" w:lineRule="exact"/>
              <w:rPr>
                <w:sz w:val="1"/>
                <w:szCs w:val="1"/>
                <w:color w:val="auto"/>
              </w:rPr>
            </w:pPr>
          </w:p>
        </w:tc>
        <w:tc>
          <w:tcPr>
            <w:tcW w:w="860" w:type="dxa"/>
            <w:vAlign w:val="bottom"/>
            <w:tcBorders>
              <w:bottom w:val="single" w:sz="8" w:color="009BDE"/>
            </w:tcBorders>
          </w:tcPr>
          <w:p>
            <w:pPr>
              <w:spacing w:after="0" w:line="20" w:lineRule="exact"/>
              <w:rPr>
                <w:sz w:val="1"/>
                <w:szCs w:val="1"/>
                <w:color w:val="auto"/>
              </w:rPr>
            </w:pPr>
          </w:p>
        </w:tc>
        <w:tc>
          <w:tcPr>
            <w:tcW w:w="120" w:type="dxa"/>
            <w:vAlign w:val="bottom"/>
            <w:tcBorders>
              <w:bottom w:val="single" w:sz="8" w:color="009BDE"/>
            </w:tcBorders>
          </w:tcPr>
          <w:p>
            <w:pPr>
              <w:spacing w:after="0" w:line="20" w:lineRule="exact"/>
              <w:rPr>
                <w:sz w:val="1"/>
                <w:szCs w:val="1"/>
                <w:color w:val="auto"/>
              </w:rPr>
            </w:pPr>
          </w:p>
        </w:tc>
        <w:tc>
          <w:tcPr>
            <w:tcW w:w="700" w:type="dxa"/>
            <w:vAlign w:val="bottom"/>
            <w:tcBorders>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460" w:type="dxa"/>
            <w:vAlign w:val="bottom"/>
            <w:tcBorders>
              <w:bottom w:val="single" w:sz="8" w:color="009B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880" w:type="dxa"/>
            <w:vAlign w:val="bottom"/>
            <w:gridSpan w:val="13"/>
          </w:tcPr>
          <w:p>
            <w:pPr>
              <w:spacing w:after="0" w:line="165" w:lineRule="exact"/>
              <w:rPr>
                <w:sz w:val="20"/>
                <w:szCs w:val="20"/>
                <w:color w:val="auto"/>
              </w:rPr>
            </w:pPr>
            <w:r>
              <w:rPr>
                <w:rFonts w:ascii="Arial" w:cs="Arial" w:eastAsia="Arial" w:hAnsi="Arial"/>
                <w:sz w:val="16"/>
                <w:szCs w:val="16"/>
                <w:color w:val="0000EE"/>
              </w:rPr>
              <w:t>DELINQUENT SECTION 16(a) REPORTS</w:t>
            </w:r>
          </w:p>
        </w:tc>
        <w:tc>
          <w:tcPr>
            <w:tcW w:w="460" w:type="dxa"/>
            <w:vAlign w:val="bottom"/>
          </w:tcPr>
          <w:p>
            <w:pPr>
              <w:jc w:val="right"/>
              <w:spacing w:after="0" w:line="165" w:lineRule="exact"/>
              <w:rPr>
                <w:sz w:val="20"/>
                <w:szCs w:val="20"/>
                <w:color w:val="auto"/>
              </w:rPr>
            </w:pPr>
            <w:r>
              <w:rPr>
                <w:rFonts w:ascii="Arial" w:cs="Arial" w:eastAsia="Arial" w:hAnsi="Arial"/>
                <w:sz w:val="16"/>
                <w:szCs w:val="16"/>
                <w:b w:val="1"/>
                <w:bCs w:val="1"/>
                <w:color w:val="009BDE"/>
              </w:rPr>
              <w:t>96</w:t>
            </w:r>
          </w:p>
        </w:tc>
        <w:tc>
          <w:tcPr>
            <w:tcW w:w="0" w:type="dxa"/>
            <w:vAlign w:val="bottom"/>
          </w:tcPr>
          <w:p>
            <w:pPr>
              <w:spacing w:after="0"/>
              <w:rPr>
                <w:sz w:val="1"/>
                <w:szCs w:val="1"/>
                <w:color w:val="auto"/>
              </w:rPr>
            </w:pPr>
          </w:p>
        </w:tc>
      </w:tr>
      <w:tr>
        <w:trPr>
          <w:trHeight w:val="20"/>
        </w:trPr>
        <w:tc>
          <w:tcPr>
            <w:tcW w:w="38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1160" w:type="dxa"/>
            <w:vAlign w:val="bottom"/>
            <w:tcBorders>
              <w:top w:val="single" w:sz="8" w:color="0000EE"/>
              <w:bottom w:val="single" w:sz="8" w:color="009BDE"/>
            </w:tcBorders>
          </w:tcPr>
          <w:p>
            <w:pPr>
              <w:spacing w:after="0" w:line="20" w:lineRule="exact"/>
              <w:rPr>
                <w:sz w:val="1"/>
                <w:szCs w:val="1"/>
                <w:color w:val="auto"/>
              </w:rPr>
            </w:pPr>
          </w:p>
        </w:tc>
        <w:tc>
          <w:tcPr>
            <w:tcW w:w="500" w:type="dxa"/>
            <w:vAlign w:val="bottom"/>
            <w:tcBorders>
              <w:top w:val="single" w:sz="8" w:color="0000EE"/>
              <w:bottom w:val="single" w:sz="8" w:color="009BDE"/>
            </w:tcBorders>
          </w:tcPr>
          <w:p>
            <w:pPr>
              <w:spacing w:after="0" w:line="20" w:lineRule="exact"/>
              <w:rPr>
                <w:sz w:val="1"/>
                <w:szCs w:val="1"/>
                <w:color w:val="auto"/>
              </w:rPr>
            </w:pPr>
          </w:p>
        </w:tc>
        <w:tc>
          <w:tcPr>
            <w:tcW w:w="880" w:type="dxa"/>
            <w:vAlign w:val="bottom"/>
            <w:tcBorders>
              <w:top w:val="single" w:sz="8" w:color="0000EE"/>
              <w:bottom w:val="single" w:sz="8" w:color="009BDE"/>
            </w:tcBorders>
          </w:tcPr>
          <w:p>
            <w:pPr>
              <w:spacing w:after="0" w:line="20" w:lineRule="exact"/>
              <w:rPr>
                <w:sz w:val="1"/>
                <w:szCs w:val="1"/>
                <w:color w:val="auto"/>
              </w:rPr>
            </w:pPr>
          </w:p>
        </w:tc>
        <w:tc>
          <w:tcPr>
            <w:tcW w:w="1400" w:type="dxa"/>
            <w:vAlign w:val="bottom"/>
            <w:tcBorders>
              <w:bottom w:val="single" w:sz="8" w:color="009BDE"/>
            </w:tcBorders>
          </w:tcPr>
          <w:p>
            <w:pPr>
              <w:spacing w:after="0" w:line="20" w:lineRule="exact"/>
              <w:rPr>
                <w:sz w:val="1"/>
                <w:szCs w:val="1"/>
                <w:color w:val="auto"/>
              </w:rPr>
            </w:pPr>
          </w:p>
        </w:tc>
        <w:tc>
          <w:tcPr>
            <w:tcW w:w="100" w:type="dxa"/>
            <w:vAlign w:val="bottom"/>
            <w:tcBorders>
              <w:bottom w:val="single" w:sz="8" w:color="009BDE"/>
            </w:tcBorders>
          </w:tcPr>
          <w:p>
            <w:pPr>
              <w:spacing w:after="0" w:line="20" w:lineRule="exact"/>
              <w:rPr>
                <w:sz w:val="1"/>
                <w:szCs w:val="1"/>
                <w:color w:val="auto"/>
              </w:rPr>
            </w:pPr>
          </w:p>
        </w:tc>
        <w:tc>
          <w:tcPr>
            <w:tcW w:w="560" w:type="dxa"/>
            <w:vAlign w:val="bottom"/>
            <w:tcBorders>
              <w:bottom w:val="single" w:sz="8" w:color="009BDE"/>
            </w:tcBorders>
          </w:tcPr>
          <w:p>
            <w:pPr>
              <w:spacing w:after="0" w:line="20" w:lineRule="exact"/>
              <w:rPr>
                <w:sz w:val="1"/>
                <w:szCs w:val="1"/>
                <w:color w:val="auto"/>
              </w:rPr>
            </w:pPr>
          </w:p>
        </w:tc>
        <w:tc>
          <w:tcPr>
            <w:tcW w:w="40" w:type="dxa"/>
            <w:vAlign w:val="bottom"/>
            <w:tcBorders>
              <w:bottom w:val="single" w:sz="8" w:color="009BDE"/>
            </w:tcBorders>
          </w:tcPr>
          <w:p>
            <w:pPr>
              <w:spacing w:after="0" w:line="20" w:lineRule="exact"/>
              <w:rPr>
                <w:sz w:val="1"/>
                <w:szCs w:val="1"/>
                <w:color w:val="auto"/>
              </w:rPr>
            </w:pPr>
          </w:p>
        </w:tc>
        <w:tc>
          <w:tcPr>
            <w:tcW w:w="860" w:type="dxa"/>
            <w:vAlign w:val="bottom"/>
            <w:tcBorders>
              <w:bottom w:val="single" w:sz="8" w:color="009BDE"/>
            </w:tcBorders>
          </w:tcPr>
          <w:p>
            <w:pPr>
              <w:spacing w:after="0" w:line="20" w:lineRule="exact"/>
              <w:rPr>
                <w:sz w:val="1"/>
                <w:szCs w:val="1"/>
                <w:color w:val="auto"/>
              </w:rPr>
            </w:pPr>
          </w:p>
        </w:tc>
        <w:tc>
          <w:tcPr>
            <w:tcW w:w="120" w:type="dxa"/>
            <w:vAlign w:val="bottom"/>
            <w:tcBorders>
              <w:bottom w:val="single" w:sz="8" w:color="009BDE"/>
            </w:tcBorders>
          </w:tcPr>
          <w:p>
            <w:pPr>
              <w:spacing w:after="0" w:line="20" w:lineRule="exact"/>
              <w:rPr>
                <w:sz w:val="1"/>
                <w:szCs w:val="1"/>
                <w:color w:val="auto"/>
              </w:rPr>
            </w:pPr>
          </w:p>
        </w:tc>
        <w:tc>
          <w:tcPr>
            <w:tcW w:w="700" w:type="dxa"/>
            <w:vAlign w:val="bottom"/>
            <w:tcBorders>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460" w:type="dxa"/>
            <w:vAlign w:val="bottom"/>
            <w:tcBorders>
              <w:bottom w:val="single" w:sz="8" w:color="009B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880" w:type="dxa"/>
            <w:vAlign w:val="bottom"/>
            <w:gridSpan w:val="13"/>
          </w:tcPr>
          <w:p>
            <w:pPr>
              <w:spacing w:after="0" w:line="165" w:lineRule="exact"/>
              <w:rPr>
                <w:sz w:val="20"/>
                <w:szCs w:val="20"/>
                <w:color w:val="auto"/>
              </w:rPr>
            </w:pPr>
            <w:r>
              <w:rPr>
                <w:rFonts w:ascii="Arial" w:cs="Arial" w:eastAsia="Arial" w:hAnsi="Arial"/>
                <w:sz w:val="16"/>
                <w:szCs w:val="16"/>
                <w:color w:val="0000EE"/>
                <w:w w:val="99"/>
              </w:rPr>
              <w:t>QUESTIONS AND ANSWERS ABOUT THE PROXY MATERIALS AND THE ANNUAL MEETING</w:t>
            </w:r>
          </w:p>
        </w:tc>
        <w:tc>
          <w:tcPr>
            <w:tcW w:w="460" w:type="dxa"/>
            <w:vAlign w:val="bottom"/>
          </w:tcPr>
          <w:p>
            <w:pPr>
              <w:jc w:val="right"/>
              <w:spacing w:after="0" w:line="165" w:lineRule="exact"/>
              <w:rPr>
                <w:sz w:val="20"/>
                <w:szCs w:val="20"/>
                <w:color w:val="auto"/>
              </w:rPr>
            </w:pPr>
            <w:r>
              <w:rPr>
                <w:rFonts w:ascii="Arial" w:cs="Arial" w:eastAsia="Arial" w:hAnsi="Arial"/>
                <w:sz w:val="16"/>
                <w:szCs w:val="16"/>
                <w:b w:val="1"/>
                <w:bCs w:val="1"/>
                <w:color w:val="009BDE"/>
              </w:rPr>
              <w:t>97</w:t>
            </w:r>
          </w:p>
        </w:tc>
        <w:tc>
          <w:tcPr>
            <w:tcW w:w="0" w:type="dxa"/>
            <w:vAlign w:val="bottom"/>
          </w:tcPr>
          <w:p>
            <w:pPr>
              <w:spacing w:after="0"/>
              <w:rPr>
                <w:sz w:val="1"/>
                <w:szCs w:val="1"/>
                <w:color w:val="auto"/>
              </w:rPr>
            </w:pPr>
          </w:p>
        </w:tc>
      </w:tr>
      <w:tr>
        <w:trPr>
          <w:trHeight w:val="20"/>
        </w:trPr>
        <w:tc>
          <w:tcPr>
            <w:tcW w:w="38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1160" w:type="dxa"/>
            <w:vAlign w:val="bottom"/>
            <w:tcBorders>
              <w:top w:val="single" w:sz="8" w:color="0000EE"/>
              <w:bottom w:val="single" w:sz="8" w:color="009BDE"/>
            </w:tcBorders>
          </w:tcPr>
          <w:p>
            <w:pPr>
              <w:spacing w:after="0" w:line="20" w:lineRule="exact"/>
              <w:rPr>
                <w:sz w:val="1"/>
                <w:szCs w:val="1"/>
                <w:color w:val="auto"/>
              </w:rPr>
            </w:pPr>
          </w:p>
        </w:tc>
        <w:tc>
          <w:tcPr>
            <w:tcW w:w="500" w:type="dxa"/>
            <w:vAlign w:val="bottom"/>
            <w:tcBorders>
              <w:top w:val="single" w:sz="8" w:color="0000EE"/>
              <w:bottom w:val="single" w:sz="8" w:color="009BDE"/>
            </w:tcBorders>
          </w:tcPr>
          <w:p>
            <w:pPr>
              <w:spacing w:after="0" w:line="20" w:lineRule="exact"/>
              <w:rPr>
                <w:sz w:val="1"/>
                <w:szCs w:val="1"/>
                <w:color w:val="auto"/>
              </w:rPr>
            </w:pPr>
          </w:p>
        </w:tc>
        <w:tc>
          <w:tcPr>
            <w:tcW w:w="880" w:type="dxa"/>
            <w:vAlign w:val="bottom"/>
            <w:tcBorders>
              <w:top w:val="single" w:sz="8" w:color="0000EE"/>
              <w:bottom w:val="single" w:sz="8" w:color="009BDE"/>
            </w:tcBorders>
          </w:tcPr>
          <w:p>
            <w:pPr>
              <w:spacing w:after="0" w:line="20" w:lineRule="exact"/>
              <w:rPr>
                <w:sz w:val="1"/>
                <w:szCs w:val="1"/>
                <w:color w:val="auto"/>
              </w:rPr>
            </w:pPr>
          </w:p>
        </w:tc>
        <w:tc>
          <w:tcPr>
            <w:tcW w:w="1400" w:type="dxa"/>
            <w:vAlign w:val="bottom"/>
            <w:tcBorders>
              <w:top w:val="single" w:sz="8" w:color="0000EE"/>
              <w:bottom w:val="single" w:sz="8" w:color="009BDE"/>
            </w:tcBorders>
          </w:tcPr>
          <w:p>
            <w:pPr>
              <w:spacing w:after="0" w:line="20" w:lineRule="exact"/>
              <w:rPr>
                <w:sz w:val="1"/>
                <w:szCs w:val="1"/>
                <w:color w:val="auto"/>
              </w:rPr>
            </w:pPr>
          </w:p>
        </w:tc>
        <w:tc>
          <w:tcPr>
            <w:tcW w:w="100" w:type="dxa"/>
            <w:vAlign w:val="bottom"/>
            <w:tcBorders>
              <w:top w:val="single" w:sz="8" w:color="0000EE"/>
              <w:bottom w:val="single" w:sz="8" w:color="009BDE"/>
            </w:tcBorders>
          </w:tcPr>
          <w:p>
            <w:pPr>
              <w:spacing w:after="0" w:line="20" w:lineRule="exact"/>
              <w:rPr>
                <w:sz w:val="1"/>
                <w:szCs w:val="1"/>
                <w:color w:val="auto"/>
              </w:rPr>
            </w:pPr>
          </w:p>
        </w:tc>
        <w:tc>
          <w:tcPr>
            <w:tcW w:w="560" w:type="dxa"/>
            <w:vAlign w:val="bottom"/>
            <w:tcBorders>
              <w:top w:val="single" w:sz="8" w:color="0000EE"/>
              <w:bottom w:val="single" w:sz="8" w:color="009BDE"/>
            </w:tcBorders>
          </w:tcPr>
          <w:p>
            <w:pPr>
              <w:spacing w:after="0" w:line="20" w:lineRule="exact"/>
              <w:rPr>
                <w:sz w:val="1"/>
                <w:szCs w:val="1"/>
                <w:color w:val="auto"/>
              </w:rPr>
            </w:pPr>
          </w:p>
        </w:tc>
        <w:tc>
          <w:tcPr>
            <w:tcW w:w="40" w:type="dxa"/>
            <w:vAlign w:val="bottom"/>
            <w:tcBorders>
              <w:top w:val="single" w:sz="8" w:color="0000EE"/>
              <w:bottom w:val="single" w:sz="8" w:color="009BDE"/>
            </w:tcBorders>
          </w:tcPr>
          <w:p>
            <w:pPr>
              <w:spacing w:after="0" w:line="20" w:lineRule="exact"/>
              <w:rPr>
                <w:sz w:val="1"/>
                <w:szCs w:val="1"/>
                <w:color w:val="auto"/>
              </w:rPr>
            </w:pPr>
          </w:p>
        </w:tc>
        <w:tc>
          <w:tcPr>
            <w:tcW w:w="860" w:type="dxa"/>
            <w:vAlign w:val="bottom"/>
            <w:tcBorders>
              <w:top w:val="single" w:sz="8" w:color="0000EE"/>
              <w:bottom w:val="single" w:sz="8" w:color="009BDE"/>
            </w:tcBorders>
          </w:tcPr>
          <w:p>
            <w:pPr>
              <w:spacing w:after="0" w:line="20" w:lineRule="exact"/>
              <w:rPr>
                <w:sz w:val="1"/>
                <w:szCs w:val="1"/>
                <w:color w:val="auto"/>
              </w:rPr>
            </w:pPr>
          </w:p>
        </w:tc>
        <w:tc>
          <w:tcPr>
            <w:tcW w:w="120" w:type="dxa"/>
            <w:vAlign w:val="bottom"/>
            <w:tcBorders>
              <w:top w:val="single" w:sz="8" w:color="0000EE"/>
              <w:bottom w:val="single" w:sz="8" w:color="009BDE"/>
            </w:tcBorders>
          </w:tcPr>
          <w:p>
            <w:pPr>
              <w:spacing w:after="0" w:line="20" w:lineRule="exact"/>
              <w:rPr>
                <w:sz w:val="1"/>
                <w:szCs w:val="1"/>
                <w:color w:val="auto"/>
              </w:rPr>
            </w:pPr>
          </w:p>
        </w:tc>
        <w:tc>
          <w:tcPr>
            <w:tcW w:w="700" w:type="dxa"/>
            <w:vAlign w:val="bottom"/>
            <w:tcBorders>
              <w:top w:val="single" w:sz="8" w:color="0000EE"/>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460" w:type="dxa"/>
            <w:vAlign w:val="bottom"/>
            <w:tcBorders>
              <w:bottom w:val="single" w:sz="8" w:color="009B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880" w:type="dxa"/>
            <w:vAlign w:val="bottom"/>
            <w:gridSpan w:val="13"/>
          </w:tcPr>
          <w:p>
            <w:pPr>
              <w:spacing w:after="0" w:line="165" w:lineRule="exact"/>
              <w:rPr>
                <w:sz w:val="20"/>
                <w:szCs w:val="20"/>
                <w:color w:val="auto"/>
              </w:rPr>
            </w:pPr>
            <w:r>
              <w:rPr>
                <w:rFonts w:ascii="Arial" w:cs="Arial" w:eastAsia="Arial" w:hAnsi="Arial"/>
                <w:sz w:val="16"/>
                <w:szCs w:val="16"/>
                <w:color w:val="0000EE"/>
              </w:rPr>
              <w:t>ADDITIONAL INFORMATION</w:t>
            </w:r>
          </w:p>
        </w:tc>
        <w:tc>
          <w:tcPr>
            <w:tcW w:w="460" w:type="dxa"/>
            <w:vAlign w:val="bottom"/>
          </w:tcPr>
          <w:p>
            <w:pPr>
              <w:jc w:val="right"/>
              <w:spacing w:after="0" w:line="165" w:lineRule="exact"/>
              <w:rPr>
                <w:sz w:val="20"/>
                <w:szCs w:val="20"/>
                <w:color w:val="auto"/>
              </w:rPr>
            </w:pPr>
            <w:r>
              <w:rPr>
                <w:rFonts w:ascii="Arial" w:cs="Arial" w:eastAsia="Arial" w:hAnsi="Arial"/>
                <w:sz w:val="16"/>
                <w:szCs w:val="16"/>
                <w:b w:val="1"/>
                <w:bCs w:val="1"/>
                <w:color w:val="009BDE"/>
              </w:rPr>
              <w:t>101</w:t>
            </w:r>
          </w:p>
        </w:tc>
        <w:tc>
          <w:tcPr>
            <w:tcW w:w="0" w:type="dxa"/>
            <w:vAlign w:val="bottom"/>
          </w:tcPr>
          <w:p>
            <w:pPr>
              <w:spacing w:after="0"/>
              <w:rPr>
                <w:sz w:val="1"/>
                <w:szCs w:val="1"/>
                <w:color w:val="auto"/>
              </w:rPr>
            </w:pPr>
          </w:p>
        </w:tc>
      </w:tr>
      <w:tr>
        <w:trPr>
          <w:trHeight w:val="20"/>
        </w:trPr>
        <w:tc>
          <w:tcPr>
            <w:tcW w:w="38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1160" w:type="dxa"/>
            <w:vAlign w:val="bottom"/>
            <w:tcBorders>
              <w:top w:val="single" w:sz="8" w:color="0000EE"/>
              <w:bottom w:val="single" w:sz="8" w:color="009BDE"/>
            </w:tcBorders>
          </w:tcPr>
          <w:p>
            <w:pPr>
              <w:spacing w:after="0" w:line="20" w:lineRule="exact"/>
              <w:rPr>
                <w:sz w:val="1"/>
                <w:szCs w:val="1"/>
                <w:color w:val="auto"/>
              </w:rPr>
            </w:pPr>
          </w:p>
        </w:tc>
        <w:tc>
          <w:tcPr>
            <w:tcW w:w="500" w:type="dxa"/>
            <w:vAlign w:val="bottom"/>
            <w:tcBorders>
              <w:top w:val="single" w:sz="8" w:color="0000EE"/>
              <w:bottom w:val="single" w:sz="8" w:color="009BDE"/>
            </w:tcBorders>
          </w:tcPr>
          <w:p>
            <w:pPr>
              <w:spacing w:after="0" w:line="20" w:lineRule="exact"/>
              <w:rPr>
                <w:sz w:val="1"/>
                <w:szCs w:val="1"/>
                <w:color w:val="auto"/>
              </w:rPr>
            </w:pPr>
          </w:p>
        </w:tc>
        <w:tc>
          <w:tcPr>
            <w:tcW w:w="880" w:type="dxa"/>
            <w:vAlign w:val="bottom"/>
            <w:tcBorders>
              <w:bottom w:val="single" w:sz="8" w:color="009BDE"/>
            </w:tcBorders>
          </w:tcPr>
          <w:p>
            <w:pPr>
              <w:spacing w:after="0" w:line="20" w:lineRule="exact"/>
              <w:rPr>
                <w:sz w:val="1"/>
                <w:szCs w:val="1"/>
                <w:color w:val="auto"/>
              </w:rPr>
            </w:pPr>
          </w:p>
        </w:tc>
        <w:tc>
          <w:tcPr>
            <w:tcW w:w="1400" w:type="dxa"/>
            <w:vAlign w:val="bottom"/>
            <w:tcBorders>
              <w:bottom w:val="single" w:sz="8" w:color="009BDE"/>
            </w:tcBorders>
          </w:tcPr>
          <w:p>
            <w:pPr>
              <w:spacing w:after="0" w:line="20" w:lineRule="exact"/>
              <w:rPr>
                <w:sz w:val="1"/>
                <w:szCs w:val="1"/>
                <w:color w:val="auto"/>
              </w:rPr>
            </w:pPr>
          </w:p>
        </w:tc>
        <w:tc>
          <w:tcPr>
            <w:tcW w:w="100" w:type="dxa"/>
            <w:vAlign w:val="bottom"/>
            <w:tcBorders>
              <w:bottom w:val="single" w:sz="8" w:color="009BDE"/>
            </w:tcBorders>
          </w:tcPr>
          <w:p>
            <w:pPr>
              <w:spacing w:after="0" w:line="20" w:lineRule="exact"/>
              <w:rPr>
                <w:sz w:val="1"/>
                <w:szCs w:val="1"/>
                <w:color w:val="auto"/>
              </w:rPr>
            </w:pPr>
          </w:p>
        </w:tc>
        <w:tc>
          <w:tcPr>
            <w:tcW w:w="560" w:type="dxa"/>
            <w:vAlign w:val="bottom"/>
            <w:tcBorders>
              <w:bottom w:val="single" w:sz="8" w:color="009BDE"/>
            </w:tcBorders>
          </w:tcPr>
          <w:p>
            <w:pPr>
              <w:spacing w:after="0" w:line="20" w:lineRule="exact"/>
              <w:rPr>
                <w:sz w:val="1"/>
                <w:szCs w:val="1"/>
                <w:color w:val="auto"/>
              </w:rPr>
            </w:pPr>
          </w:p>
        </w:tc>
        <w:tc>
          <w:tcPr>
            <w:tcW w:w="40" w:type="dxa"/>
            <w:vAlign w:val="bottom"/>
            <w:tcBorders>
              <w:bottom w:val="single" w:sz="8" w:color="009BDE"/>
            </w:tcBorders>
          </w:tcPr>
          <w:p>
            <w:pPr>
              <w:spacing w:after="0" w:line="20" w:lineRule="exact"/>
              <w:rPr>
                <w:sz w:val="1"/>
                <w:szCs w:val="1"/>
                <w:color w:val="auto"/>
              </w:rPr>
            </w:pPr>
          </w:p>
        </w:tc>
        <w:tc>
          <w:tcPr>
            <w:tcW w:w="860" w:type="dxa"/>
            <w:vAlign w:val="bottom"/>
            <w:tcBorders>
              <w:bottom w:val="single" w:sz="8" w:color="009BDE"/>
            </w:tcBorders>
          </w:tcPr>
          <w:p>
            <w:pPr>
              <w:spacing w:after="0" w:line="20" w:lineRule="exact"/>
              <w:rPr>
                <w:sz w:val="1"/>
                <w:szCs w:val="1"/>
                <w:color w:val="auto"/>
              </w:rPr>
            </w:pPr>
          </w:p>
        </w:tc>
        <w:tc>
          <w:tcPr>
            <w:tcW w:w="120" w:type="dxa"/>
            <w:vAlign w:val="bottom"/>
            <w:tcBorders>
              <w:bottom w:val="single" w:sz="8" w:color="009BDE"/>
            </w:tcBorders>
          </w:tcPr>
          <w:p>
            <w:pPr>
              <w:spacing w:after="0" w:line="20" w:lineRule="exact"/>
              <w:rPr>
                <w:sz w:val="1"/>
                <w:szCs w:val="1"/>
                <w:color w:val="auto"/>
              </w:rPr>
            </w:pPr>
          </w:p>
        </w:tc>
        <w:tc>
          <w:tcPr>
            <w:tcW w:w="700" w:type="dxa"/>
            <w:vAlign w:val="bottom"/>
            <w:tcBorders>
              <w:bottom w:val="single" w:sz="8" w:color="009BDE"/>
            </w:tcBorders>
          </w:tcPr>
          <w:p>
            <w:pPr>
              <w:spacing w:after="0" w:line="20" w:lineRule="exact"/>
              <w:rPr>
                <w:sz w:val="1"/>
                <w:szCs w:val="1"/>
                <w:color w:val="auto"/>
              </w:rPr>
            </w:pPr>
          </w:p>
        </w:tc>
        <w:tc>
          <w:tcPr>
            <w:tcW w:w="160" w:type="dxa"/>
            <w:vAlign w:val="bottom"/>
            <w:tcBorders>
              <w:bottom w:val="single" w:sz="8" w:color="009BDE"/>
            </w:tcBorders>
          </w:tcPr>
          <w:p>
            <w:pPr>
              <w:spacing w:after="0" w:line="20" w:lineRule="exact"/>
              <w:rPr>
                <w:sz w:val="1"/>
                <w:szCs w:val="1"/>
                <w:color w:val="auto"/>
              </w:rPr>
            </w:pPr>
          </w:p>
        </w:tc>
        <w:tc>
          <w:tcPr>
            <w:tcW w:w="460" w:type="dxa"/>
            <w:vAlign w:val="bottom"/>
            <w:tcBorders>
              <w:bottom w:val="single" w:sz="8" w:color="009B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880" w:type="dxa"/>
            <w:vAlign w:val="bottom"/>
            <w:gridSpan w:val="13"/>
          </w:tcPr>
          <w:p>
            <w:pPr>
              <w:spacing w:after="0"/>
              <w:rPr>
                <w:sz w:val="20"/>
                <w:szCs w:val="20"/>
                <w:color w:val="auto"/>
              </w:rPr>
            </w:pPr>
            <w:r>
              <w:rPr>
                <w:rFonts w:ascii="Arial" w:cs="Arial" w:eastAsia="Arial" w:hAnsi="Arial"/>
                <w:sz w:val="16"/>
                <w:szCs w:val="16"/>
                <w:color w:val="009BDE"/>
              </w:rPr>
              <w:t>APPENDICES</w:t>
            </w:r>
          </w:p>
        </w:tc>
        <w:tc>
          <w:tcPr>
            <w:tcW w:w="460" w:type="dxa"/>
            <w:vAlign w:val="bottom"/>
            <w:vMerge w:val="restart"/>
          </w:tcPr>
          <w:p>
            <w:pPr>
              <w:jc w:val="right"/>
              <w:spacing w:after="0"/>
              <w:rPr>
                <w:sz w:val="20"/>
                <w:szCs w:val="20"/>
                <w:color w:val="auto"/>
              </w:rPr>
            </w:pPr>
            <w:r>
              <w:rPr>
                <w:rFonts w:ascii="Arial" w:cs="Arial" w:eastAsia="Arial" w:hAnsi="Arial"/>
                <w:sz w:val="16"/>
                <w:szCs w:val="16"/>
                <w:b w:val="1"/>
                <w:bCs w:val="1"/>
                <w:color w:val="009BDE"/>
              </w:rPr>
              <w:t>A-1</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4060" w:type="dxa"/>
            <w:vAlign w:val="bottom"/>
            <w:tcBorders>
              <w:bottom w:val="single" w:sz="8" w:color="0000EE"/>
            </w:tcBorders>
            <w:gridSpan w:val="6"/>
          </w:tcPr>
          <w:p>
            <w:pPr>
              <w:spacing w:after="0" w:line="161" w:lineRule="exact"/>
              <w:rPr>
                <w:sz w:val="20"/>
                <w:szCs w:val="20"/>
                <w:color w:val="auto"/>
              </w:rPr>
            </w:pPr>
            <w:r>
              <w:rPr>
                <w:rFonts w:ascii="Arial" w:cs="Arial" w:eastAsia="Arial" w:hAnsi="Arial"/>
                <w:sz w:val="16"/>
                <w:szCs w:val="16"/>
                <w:color w:val="0000EE"/>
                <w:w w:val="96"/>
              </w:rPr>
              <w:t>APPENDIX A —GAAP TO NON-GAAP RECONCILIATION</w:t>
            </w:r>
          </w:p>
        </w:tc>
        <w:tc>
          <w:tcPr>
            <w:tcW w:w="2440" w:type="dxa"/>
            <w:vAlign w:val="bottom"/>
            <w:gridSpan w:val="6"/>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0" w:type="dxa"/>
            <w:vAlign w:val="bottom"/>
            <w:tcBorders>
              <w:bottom w:val="single" w:sz="8" w:color="0000EE"/>
            </w:tcBorders>
            <w:gridSpan w:val="6"/>
          </w:tcPr>
          <w:p>
            <w:pPr>
              <w:spacing w:after="0" w:line="178" w:lineRule="exact"/>
              <w:rPr>
                <w:sz w:val="20"/>
                <w:szCs w:val="20"/>
                <w:color w:val="auto"/>
              </w:rPr>
            </w:pPr>
            <w:r>
              <w:rPr>
                <w:rFonts w:ascii="Arial" w:cs="Arial" w:eastAsia="Arial" w:hAnsi="Arial"/>
                <w:sz w:val="16"/>
                <w:szCs w:val="16"/>
                <w:color w:val="0000EE"/>
                <w:w w:val="96"/>
              </w:rPr>
              <w:t>APPENDIX B —STANDARDS FOR DIRECTOR INDEPENDENCE</w:t>
            </w:r>
          </w:p>
        </w:tc>
        <w:tc>
          <w:tcPr>
            <w:tcW w:w="1880" w:type="dxa"/>
            <w:vAlign w:val="bottom"/>
            <w:gridSpan w:val="5"/>
          </w:tcPr>
          <w:p>
            <w:pPr>
              <w:spacing w:after="0"/>
              <w:rPr>
                <w:sz w:val="15"/>
                <w:szCs w:val="15"/>
                <w:color w:val="auto"/>
              </w:rPr>
            </w:pPr>
          </w:p>
        </w:tc>
        <w:tc>
          <w:tcPr>
            <w:tcW w:w="460" w:type="dxa"/>
            <w:vAlign w:val="bottom"/>
          </w:tcPr>
          <w:p>
            <w:pPr>
              <w:jc w:val="right"/>
              <w:spacing w:after="0" w:line="178" w:lineRule="exact"/>
              <w:rPr>
                <w:sz w:val="20"/>
                <w:szCs w:val="20"/>
                <w:color w:val="auto"/>
              </w:rPr>
            </w:pPr>
            <w:r>
              <w:rPr>
                <w:rFonts w:ascii="Arial" w:cs="Arial" w:eastAsia="Arial" w:hAnsi="Arial"/>
                <w:sz w:val="16"/>
                <w:szCs w:val="16"/>
                <w:b w:val="1"/>
                <w:bCs w:val="1"/>
                <w:color w:val="009BDE"/>
              </w:rPr>
              <w:t>B-1</w:t>
            </w:r>
          </w:p>
        </w:tc>
        <w:tc>
          <w:tcPr>
            <w:tcW w:w="0" w:type="dxa"/>
            <w:vAlign w:val="bottom"/>
          </w:tcPr>
          <w:p>
            <w:pPr>
              <w:spacing w:after="0"/>
              <w:rPr>
                <w:sz w:val="1"/>
                <w:szCs w:val="1"/>
                <w:color w:val="auto"/>
              </w:rPr>
            </w:pPr>
          </w:p>
        </w:tc>
      </w:tr>
      <w:tr>
        <w:trPr>
          <w:trHeight w:val="178"/>
        </w:trPr>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20" w:type="dxa"/>
            <w:vAlign w:val="bottom"/>
            <w:tcBorders>
              <w:bottom w:val="single" w:sz="8" w:color="0000EE"/>
            </w:tcBorders>
            <w:gridSpan w:val="9"/>
          </w:tcPr>
          <w:p>
            <w:pPr>
              <w:spacing w:after="0" w:line="178" w:lineRule="exact"/>
              <w:rPr>
                <w:sz w:val="20"/>
                <w:szCs w:val="20"/>
                <w:color w:val="auto"/>
              </w:rPr>
            </w:pPr>
            <w:r>
              <w:rPr>
                <w:rFonts w:ascii="Arial" w:cs="Arial" w:eastAsia="Arial" w:hAnsi="Arial"/>
                <w:sz w:val="16"/>
                <w:szCs w:val="16"/>
                <w:color w:val="0000EE"/>
                <w:w w:val="96"/>
              </w:rPr>
              <w:t>APPENDIX C —THIRD AMENDMENT TO 2003 RESTATED STOCK INCENTIVE</w:t>
            </w:r>
          </w:p>
        </w:tc>
        <w:tc>
          <w:tcPr>
            <w:tcW w:w="860" w:type="dxa"/>
            <w:vAlign w:val="bottom"/>
            <w:gridSpan w:val="2"/>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b w:val="1"/>
                <w:bCs w:val="1"/>
                <w:color w:val="009BDE"/>
              </w:rPr>
              <w:t>C-1</w:t>
            </w: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80" w:type="dxa"/>
            <w:vAlign w:val="bottom"/>
            <w:tcBorders>
              <w:bottom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96"/>
              </w:rPr>
              <w:t>PERFORMANCE PLAN, AS AMENDED</w:t>
            </w:r>
          </w:p>
        </w:tc>
        <w:tc>
          <w:tcPr>
            <w:tcW w:w="2540" w:type="dxa"/>
            <w:vAlign w:val="bottom"/>
            <w:gridSpan w:val="7"/>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880" w:type="dxa"/>
            <w:vAlign w:val="bottom"/>
            <w:gridSpan w:val="13"/>
          </w:tcPr>
          <w:p>
            <w:pPr>
              <w:ind w:left="380"/>
              <w:spacing w:after="0" w:line="178" w:lineRule="exact"/>
              <w:rPr>
                <w:sz w:val="20"/>
                <w:szCs w:val="20"/>
                <w:color w:val="auto"/>
              </w:rPr>
            </w:pPr>
            <w:r>
              <w:rPr>
                <w:rFonts w:ascii="Arial" w:cs="Arial" w:eastAsia="Arial" w:hAnsi="Arial"/>
                <w:sz w:val="16"/>
                <w:szCs w:val="16"/>
                <w:color w:val="0000EE"/>
              </w:rPr>
              <w:t>APPENDIX D —2003 RESTATED STOCK INCENTIVE PERFORMANCE PLAN</w:t>
            </w:r>
          </w:p>
        </w:tc>
        <w:tc>
          <w:tcPr>
            <w:tcW w:w="460" w:type="dxa"/>
            <w:vAlign w:val="bottom"/>
          </w:tcPr>
          <w:p>
            <w:pPr>
              <w:jc w:val="right"/>
              <w:spacing w:after="0" w:line="178" w:lineRule="exact"/>
              <w:rPr>
                <w:sz w:val="20"/>
                <w:szCs w:val="20"/>
                <w:color w:val="auto"/>
              </w:rPr>
            </w:pPr>
            <w:r>
              <w:rPr>
                <w:rFonts w:ascii="Arial" w:cs="Arial" w:eastAsia="Arial" w:hAnsi="Arial"/>
                <w:sz w:val="16"/>
                <w:szCs w:val="16"/>
                <w:b w:val="1"/>
                <w:bCs w:val="1"/>
                <w:color w:val="009BDE"/>
              </w:rPr>
              <w:t>D-1</w:t>
            </w:r>
          </w:p>
        </w:tc>
        <w:tc>
          <w:tcPr>
            <w:tcW w:w="0" w:type="dxa"/>
            <w:vAlign w:val="bottom"/>
          </w:tcPr>
          <w:p>
            <w:pPr>
              <w:spacing w:after="0"/>
              <w:rPr>
                <w:sz w:val="1"/>
                <w:szCs w:val="1"/>
                <w:color w:val="auto"/>
              </w:rPr>
            </w:pPr>
          </w:p>
        </w:tc>
      </w:tr>
      <w:tr>
        <w:trPr>
          <w:trHeight w:val="286"/>
        </w:trPr>
        <w:tc>
          <w:tcPr>
            <w:tcW w:w="380" w:type="dxa"/>
            <w:vAlign w:val="bottom"/>
          </w:tcPr>
          <w:p>
            <w:pPr>
              <w:ind w:left="160"/>
              <w:spacing w:after="0"/>
              <w:rPr>
                <w:sz w:val="20"/>
                <w:szCs w:val="20"/>
                <w:color w:val="auto"/>
              </w:rPr>
            </w:pPr>
            <w:r>
              <w:rPr>
                <w:rFonts w:ascii="Arial" w:cs="Arial" w:eastAsia="Arial" w:hAnsi="Arial"/>
                <w:sz w:val="12"/>
                <w:szCs w:val="12"/>
                <w:b w:val="1"/>
                <w:bCs w:val="1"/>
                <w:color w:val="FCFCFC"/>
              </w:rPr>
              <w:t>2</w:t>
            </w:r>
          </w:p>
        </w:tc>
        <w:tc>
          <w:tcPr>
            <w:tcW w:w="2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45720</wp:posOffset>
            </wp:positionV>
            <wp:extent cx="3977640" cy="571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977640" cy="57150"/>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2" w:lineRule="exact"/>
        <w:rPr>
          <w:sz w:val="20"/>
          <w:szCs w:val="20"/>
          <w:color w:val="auto"/>
        </w:rPr>
      </w:pPr>
    </w:p>
    <w:p>
      <w:pPr>
        <w:ind w:left="1980" w:right="879"/>
        <w:spacing w:after="0"/>
        <w:rPr>
          <w:sz w:val="20"/>
          <w:szCs w:val="20"/>
          <w:color w:val="auto"/>
        </w:rPr>
      </w:pPr>
      <w:r>
        <w:rPr>
          <w:rFonts w:ascii="Arial" w:cs="Arial" w:eastAsia="Arial" w:hAnsi="Arial"/>
          <w:sz w:val="13"/>
          <w:szCs w:val="13"/>
          <w:color w:val="auto"/>
        </w:rPr>
        <w:t>In this Proxy Statement, the terms “Hasbro,” “the Company,” “we,” and “our” refer to Hasbro, Inc., and the terms “Board” and “Board of Directors” refer to the Board of Directors of Hasbro, Inc. Unless otherwise stated, information presented in this Proxy Statement is based on Hasbro’s fiscal year. This Proxy Statement includes website addresses and references to additional materials found on those websites. These websites and materials are not incorporated into this Proxy Statement by reference.</w:t>
      </w:r>
    </w:p>
    <w:p>
      <w:pPr>
        <w:spacing w:after="0" w:line="293" w:lineRule="exact"/>
        <w:rPr>
          <w:sz w:val="20"/>
          <w:szCs w:val="20"/>
          <w:color w:val="auto"/>
        </w:rPr>
      </w:pPr>
    </w:p>
    <w:p>
      <w:pPr>
        <w:ind w:left="1980" w:right="939"/>
        <w:spacing w:after="0" w:line="234" w:lineRule="auto"/>
        <w:rPr>
          <w:sz w:val="20"/>
          <w:szCs w:val="20"/>
          <w:color w:val="auto"/>
        </w:rPr>
      </w:pPr>
      <w:r>
        <w:rPr>
          <w:rFonts w:ascii="Arial" w:cs="Arial" w:eastAsia="Arial" w:hAnsi="Arial"/>
          <w:sz w:val="13"/>
          <w:szCs w:val="13"/>
          <w:color w:val="auto"/>
        </w:rPr>
        <w:t>This Proxy Statement includes forward-looking statements within the meaning of the Private Securities Litigation Reform Act of 1995, including statements regarding our Blueprint 2.0 strategy, the ability to achieve our financial and business goals and objectives, the proposals contained herein, and environmental and social goals, commitments, and strategies. These statements involve risks and uncertainties. Actual results could differ materially from any future results expressed or implied by the forward-looking statements for a variety of reasons, including due to the risks and uncertainties that are discussed in our most recently filed periodic reports on Form 10-K and Form 10-Q and subsequent filings. We assume no obligation to update any forward-looking statements or information, which speak as of their respective dates.</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Proxy Statement Highlights</w:t>
      </w:r>
    </w:p>
    <w:p>
      <w:pPr>
        <w:spacing w:after="0" w:line="93" w:lineRule="exact"/>
        <w:rPr>
          <w:sz w:val="20"/>
          <w:szCs w:val="20"/>
          <w:color w:val="auto"/>
        </w:rPr>
      </w:pPr>
    </w:p>
    <w:p>
      <w:pPr>
        <w:ind w:left="1980" w:right="859"/>
        <w:spacing w:after="0" w:line="243" w:lineRule="auto"/>
        <w:rPr>
          <w:sz w:val="20"/>
          <w:szCs w:val="20"/>
          <w:color w:val="auto"/>
        </w:rPr>
      </w:pPr>
      <w:r>
        <w:rPr>
          <w:rFonts w:ascii="Arial" w:cs="Arial" w:eastAsia="Arial" w:hAnsi="Arial"/>
          <w:sz w:val="13"/>
          <w:szCs w:val="13"/>
          <w:color w:val="auto"/>
        </w:rPr>
        <w:t>This proxy summary highlights information contained elsewhere in this Proxy Statement. This summary does not contain all of the information you should consider and you should read the entire Proxy Statement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146685</wp:posOffset>
            </wp:positionV>
            <wp:extent cx="4663440" cy="2514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663440" cy="251460"/>
                    </a:xfrm>
                    <a:prstGeom prst="rect">
                      <a:avLst/>
                    </a:prstGeom>
                    <a:noFill/>
                  </pic:spPr>
                </pic:pic>
              </a:graphicData>
            </a:graphic>
          </wp:anchor>
        </w:drawing>
      </w:r>
    </w:p>
    <w:p>
      <w:pPr>
        <w:spacing w:after="0" w:line="274"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4132580</wp:posOffset>
            </wp:positionH>
            <wp:positionV relativeFrom="paragraph">
              <wp:posOffset>189865</wp:posOffset>
            </wp:positionV>
            <wp:extent cx="5715" cy="114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207010</wp:posOffset>
            </wp:positionV>
            <wp:extent cx="571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218440</wp:posOffset>
            </wp:positionV>
            <wp:extent cx="571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229870</wp:posOffset>
            </wp:positionV>
            <wp:extent cx="571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241300</wp:posOffset>
            </wp:positionV>
            <wp:extent cx="571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252730</wp:posOffset>
            </wp:positionV>
            <wp:extent cx="571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264160</wp:posOffset>
            </wp:positionV>
            <wp:extent cx="571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275590</wp:posOffset>
            </wp:positionV>
            <wp:extent cx="571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287020</wp:posOffset>
            </wp:positionV>
            <wp:extent cx="571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298450</wp:posOffset>
            </wp:positionV>
            <wp:extent cx="571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309880</wp:posOffset>
            </wp:positionV>
            <wp:extent cx="571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321310</wp:posOffset>
            </wp:positionV>
            <wp:extent cx="571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332740</wp:posOffset>
            </wp:positionV>
            <wp:extent cx="571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344170</wp:posOffset>
            </wp:positionV>
            <wp:extent cx="571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355600</wp:posOffset>
            </wp:positionV>
            <wp:extent cx="571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367030</wp:posOffset>
            </wp:positionV>
            <wp:extent cx="571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378460</wp:posOffset>
            </wp:positionV>
            <wp:extent cx="571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389890</wp:posOffset>
            </wp:positionV>
            <wp:extent cx="571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401320</wp:posOffset>
            </wp:positionV>
            <wp:extent cx="571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412750</wp:posOffset>
            </wp:positionV>
            <wp:extent cx="571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424180</wp:posOffset>
            </wp:positionV>
            <wp:extent cx="571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189865</wp:posOffset>
            </wp:positionV>
            <wp:extent cx="5715" cy="114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207010</wp:posOffset>
            </wp:positionV>
            <wp:extent cx="571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218440</wp:posOffset>
            </wp:positionV>
            <wp:extent cx="571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229870</wp:posOffset>
            </wp:positionV>
            <wp:extent cx="571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241300</wp:posOffset>
            </wp:positionV>
            <wp:extent cx="571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252730</wp:posOffset>
            </wp:positionV>
            <wp:extent cx="571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264160</wp:posOffset>
            </wp:positionV>
            <wp:extent cx="571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275590</wp:posOffset>
            </wp:positionV>
            <wp:extent cx="571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287020</wp:posOffset>
            </wp:positionV>
            <wp:extent cx="571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298450</wp:posOffset>
            </wp:positionV>
            <wp:extent cx="571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309880</wp:posOffset>
            </wp:positionV>
            <wp:extent cx="571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321310</wp:posOffset>
            </wp:positionV>
            <wp:extent cx="571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332740</wp:posOffset>
            </wp:positionV>
            <wp:extent cx="571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344170</wp:posOffset>
            </wp:positionV>
            <wp:extent cx="571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355600</wp:posOffset>
            </wp:positionV>
            <wp:extent cx="571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367030</wp:posOffset>
            </wp:positionV>
            <wp:extent cx="571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378460</wp:posOffset>
            </wp:positionV>
            <wp:extent cx="571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389890</wp:posOffset>
            </wp:positionV>
            <wp:extent cx="571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401320</wp:posOffset>
            </wp:positionV>
            <wp:extent cx="571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412750</wp:posOffset>
            </wp:positionV>
            <wp:extent cx="571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424180</wp:posOffset>
            </wp:positionV>
            <wp:extent cx="571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189865</wp:posOffset>
            </wp:positionV>
            <wp:extent cx="200025" cy="2000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00025" cy="200025"/>
                    </a:xfrm>
                    <a:prstGeom prst="rect">
                      <a:avLst/>
                    </a:prstGeom>
                    <a:noFill/>
                  </pic:spPr>
                </pic:pic>
              </a:graphicData>
            </a:graphic>
          </wp:anchor>
        </w:drawing>
        <w:drawing>
          <wp:anchor simplePos="0" relativeHeight="251657728" behindDoc="1" locked="0" layoutInCell="0" allowOverlap="1">
            <wp:simplePos x="0" y="0"/>
            <wp:positionH relativeFrom="column">
              <wp:posOffset>3309620</wp:posOffset>
            </wp:positionH>
            <wp:positionV relativeFrom="paragraph">
              <wp:posOffset>189865</wp:posOffset>
            </wp:positionV>
            <wp:extent cx="205740" cy="2057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189865</wp:posOffset>
            </wp:positionV>
            <wp:extent cx="205740" cy="2057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2380" w:type="dxa"/>
        <w:tblCellMar>
          <w:top w:w="0" w:type="dxa"/>
          <w:left w:w="0" w:type="dxa"/>
          <w:bottom w:w="0" w:type="dxa"/>
          <w:right w:w="0" w:type="dxa"/>
        </w:tblCellMar>
      </w:tblPr>
      <w:tr>
        <w:trPr>
          <w:trHeight w:val="160"/>
        </w:trPr>
        <w:tc>
          <w:tcPr>
            <w:tcW w:w="1960" w:type="dxa"/>
            <w:vAlign w:val="bottom"/>
          </w:tcPr>
          <w:p>
            <w:pPr>
              <w:jc w:val="center"/>
              <w:ind w:right="517"/>
              <w:spacing w:after="0"/>
              <w:rPr>
                <w:sz w:val="20"/>
                <w:szCs w:val="20"/>
                <w:color w:val="auto"/>
              </w:rPr>
            </w:pPr>
            <w:r>
              <w:rPr>
                <w:rFonts w:ascii="Arial" w:cs="Arial" w:eastAsia="Arial" w:hAnsi="Arial"/>
                <w:sz w:val="13"/>
                <w:szCs w:val="13"/>
                <w:b w:val="1"/>
                <w:bCs w:val="1"/>
                <w:color w:val="4C4C4C"/>
                <w:w w:val="96"/>
              </w:rPr>
              <w:t>Date and Time</w:t>
            </w:r>
          </w:p>
        </w:tc>
        <w:tc>
          <w:tcPr>
            <w:tcW w:w="2100" w:type="dxa"/>
            <w:vAlign w:val="bottom"/>
          </w:tcPr>
          <w:p>
            <w:pPr>
              <w:jc w:val="center"/>
              <w:spacing w:after="0"/>
              <w:rPr>
                <w:sz w:val="20"/>
                <w:szCs w:val="20"/>
                <w:color w:val="auto"/>
              </w:rPr>
            </w:pPr>
            <w:r>
              <w:rPr>
                <w:rFonts w:ascii="Arial" w:cs="Arial" w:eastAsia="Arial" w:hAnsi="Arial"/>
                <w:sz w:val="13"/>
                <w:szCs w:val="13"/>
                <w:b w:val="1"/>
                <w:bCs w:val="1"/>
                <w:color w:val="4C4C4C"/>
                <w:w w:val="96"/>
              </w:rPr>
              <w:t>Record Date</w:t>
            </w:r>
          </w:p>
        </w:tc>
        <w:tc>
          <w:tcPr>
            <w:tcW w:w="2440" w:type="dxa"/>
            <w:vAlign w:val="bottom"/>
          </w:tcPr>
          <w:p>
            <w:pPr>
              <w:jc w:val="center"/>
              <w:ind w:left="537"/>
              <w:spacing w:after="0"/>
              <w:rPr>
                <w:sz w:val="20"/>
                <w:szCs w:val="20"/>
                <w:color w:val="auto"/>
              </w:rPr>
            </w:pPr>
            <w:r>
              <w:rPr>
                <w:rFonts w:ascii="Arial" w:cs="Arial" w:eastAsia="Arial" w:hAnsi="Arial"/>
                <w:sz w:val="13"/>
                <w:szCs w:val="13"/>
                <w:b w:val="1"/>
                <w:bCs w:val="1"/>
                <w:color w:val="4C4C4C"/>
              </w:rPr>
              <w:t>Where</w:t>
            </w:r>
          </w:p>
        </w:tc>
      </w:tr>
      <w:tr>
        <w:trPr>
          <w:trHeight w:val="144"/>
        </w:trPr>
        <w:tc>
          <w:tcPr>
            <w:tcW w:w="1960" w:type="dxa"/>
            <w:vAlign w:val="bottom"/>
          </w:tcPr>
          <w:p>
            <w:pPr>
              <w:jc w:val="center"/>
              <w:ind w:right="517"/>
              <w:spacing w:after="0" w:line="144" w:lineRule="exact"/>
              <w:rPr>
                <w:sz w:val="20"/>
                <w:szCs w:val="20"/>
                <w:color w:val="auto"/>
              </w:rPr>
            </w:pPr>
            <w:r>
              <w:rPr>
                <w:rFonts w:ascii="Arial" w:cs="Arial" w:eastAsia="Arial" w:hAnsi="Arial"/>
                <w:sz w:val="13"/>
                <w:szCs w:val="13"/>
                <w:color w:val="auto"/>
                <w:w w:val="96"/>
              </w:rPr>
              <w:t>10:00 a.m. Eastern Time</w:t>
            </w:r>
          </w:p>
        </w:tc>
        <w:tc>
          <w:tcPr>
            <w:tcW w:w="2100" w:type="dxa"/>
            <w:vAlign w:val="bottom"/>
          </w:tcPr>
          <w:p>
            <w:pPr>
              <w:jc w:val="center"/>
              <w:spacing w:after="0" w:line="144" w:lineRule="exact"/>
              <w:rPr>
                <w:sz w:val="20"/>
                <w:szCs w:val="20"/>
                <w:color w:val="auto"/>
              </w:rPr>
            </w:pPr>
            <w:r>
              <w:rPr>
                <w:rFonts w:ascii="Arial" w:cs="Arial" w:eastAsia="Arial" w:hAnsi="Arial"/>
                <w:sz w:val="13"/>
                <w:szCs w:val="13"/>
                <w:color w:val="auto"/>
                <w:w w:val="96"/>
              </w:rPr>
              <w:t>Tuesday</w:t>
            </w:r>
          </w:p>
        </w:tc>
        <w:tc>
          <w:tcPr>
            <w:tcW w:w="2440" w:type="dxa"/>
            <w:vAlign w:val="bottom"/>
          </w:tcPr>
          <w:p>
            <w:pPr>
              <w:jc w:val="center"/>
              <w:ind w:left="537"/>
              <w:spacing w:after="0" w:line="144" w:lineRule="exact"/>
              <w:rPr>
                <w:sz w:val="20"/>
                <w:szCs w:val="20"/>
                <w:color w:val="auto"/>
              </w:rPr>
            </w:pPr>
            <w:r>
              <w:rPr>
                <w:rFonts w:ascii="Arial" w:cs="Arial" w:eastAsia="Arial" w:hAnsi="Arial"/>
                <w:sz w:val="13"/>
                <w:szCs w:val="13"/>
                <w:color w:val="auto"/>
                <w:w w:val="96"/>
              </w:rPr>
              <w:t>Virtually online at</w:t>
            </w:r>
          </w:p>
        </w:tc>
      </w:tr>
      <w:tr>
        <w:trPr>
          <w:trHeight w:val="161"/>
        </w:trPr>
        <w:tc>
          <w:tcPr>
            <w:tcW w:w="1960" w:type="dxa"/>
            <w:vAlign w:val="bottom"/>
          </w:tcPr>
          <w:p>
            <w:pPr>
              <w:jc w:val="center"/>
              <w:ind w:right="517"/>
              <w:spacing w:after="0"/>
              <w:rPr>
                <w:sz w:val="20"/>
                <w:szCs w:val="20"/>
                <w:color w:val="auto"/>
              </w:rPr>
            </w:pPr>
            <w:r>
              <w:rPr>
                <w:rFonts w:ascii="Arial" w:cs="Arial" w:eastAsia="Arial" w:hAnsi="Arial"/>
                <w:sz w:val="13"/>
                <w:szCs w:val="13"/>
                <w:color w:val="auto"/>
                <w:w w:val="95"/>
              </w:rPr>
              <w:t>Thursday, May 18, 2023</w:t>
            </w:r>
          </w:p>
        </w:tc>
        <w:tc>
          <w:tcPr>
            <w:tcW w:w="2100" w:type="dxa"/>
            <w:vAlign w:val="bottom"/>
          </w:tcPr>
          <w:p>
            <w:pPr>
              <w:jc w:val="center"/>
              <w:spacing w:after="0"/>
              <w:rPr>
                <w:sz w:val="20"/>
                <w:szCs w:val="20"/>
                <w:color w:val="auto"/>
              </w:rPr>
            </w:pPr>
            <w:r>
              <w:rPr>
                <w:rFonts w:ascii="Arial" w:cs="Arial" w:eastAsia="Arial" w:hAnsi="Arial"/>
                <w:sz w:val="13"/>
                <w:szCs w:val="13"/>
                <w:color w:val="auto"/>
                <w:w w:val="97"/>
              </w:rPr>
              <w:t>March 22, 2023</w:t>
            </w:r>
          </w:p>
        </w:tc>
        <w:tc>
          <w:tcPr>
            <w:tcW w:w="2440" w:type="dxa"/>
            <w:vAlign w:val="bottom"/>
          </w:tcPr>
          <w:p>
            <w:pPr>
              <w:jc w:val="center"/>
              <w:ind w:left="577"/>
              <w:spacing w:after="0"/>
              <w:rPr>
                <w:sz w:val="20"/>
                <w:szCs w:val="20"/>
                <w:color w:val="auto"/>
              </w:rPr>
            </w:pPr>
            <w:r>
              <w:rPr>
                <w:rFonts w:ascii="Arial" w:cs="Arial" w:eastAsia="Arial" w:hAnsi="Arial"/>
                <w:sz w:val="13"/>
                <w:szCs w:val="13"/>
                <w:color w:val="auto"/>
                <w:w w:val="96"/>
              </w:rPr>
              <w:t>www.meetnow.global/MPL92M4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4132580</wp:posOffset>
            </wp:positionH>
            <wp:positionV relativeFrom="paragraph">
              <wp:posOffset>-292100</wp:posOffset>
            </wp:positionV>
            <wp:extent cx="571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-280670</wp:posOffset>
            </wp:positionV>
            <wp:extent cx="571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-269240</wp:posOffset>
            </wp:positionV>
            <wp:extent cx="571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-257810</wp:posOffset>
            </wp:positionV>
            <wp:extent cx="571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-246380</wp:posOffset>
            </wp:positionV>
            <wp:extent cx="571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-234950</wp:posOffset>
            </wp:positionV>
            <wp:extent cx="571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-223520</wp:posOffset>
            </wp:positionV>
            <wp:extent cx="571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-212090</wp:posOffset>
            </wp:positionV>
            <wp:extent cx="571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-200660</wp:posOffset>
            </wp:positionV>
            <wp:extent cx="571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-189230</wp:posOffset>
            </wp:positionV>
            <wp:extent cx="571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-177800</wp:posOffset>
            </wp:positionV>
            <wp:extent cx="571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-166370</wp:posOffset>
            </wp:positionV>
            <wp:extent cx="571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-154940</wp:posOffset>
            </wp:positionV>
            <wp:extent cx="571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-143510</wp:posOffset>
            </wp:positionV>
            <wp:extent cx="571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-132080</wp:posOffset>
            </wp:positionV>
            <wp:extent cx="571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-120650</wp:posOffset>
            </wp:positionV>
            <wp:extent cx="571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-109220</wp:posOffset>
            </wp:positionV>
            <wp:extent cx="571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-97790</wp:posOffset>
            </wp:positionV>
            <wp:extent cx="571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-86360</wp:posOffset>
            </wp:positionV>
            <wp:extent cx="571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-74930</wp:posOffset>
            </wp:positionV>
            <wp:extent cx="571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-63500</wp:posOffset>
            </wp:positionV>
            <wp:extent cx="571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-52070</wp:posOffset>
            </wp:positionV>
            <wp:extent cx="571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-40640</wp:posOffset>
            </wp:positionV>
            <wp:extent cx="571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-29210</wp:posOffset>
            </wp:positionV>
            <wp:extent cx="571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-17780</wp:posOffset>
            </wp:positionV>
            <wp:extent cx="571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-6350</wp:posOffset>
            </wp:positionV>
            <wp:extent cx="571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-292100</wp:posOffset>
            </wp:positionV>
            <wp:extent cx="571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-280670</wp:posOffset>
            </wp:positionV>
            <wp:extent cx="571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-269240</wp:posOffset>
            </wp:positionV>
            <wp:extent cx="571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-257810</wp:posOffset>
            </wp:positionV>
            <wp:extent cx="571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-246380</wp:posOffset>
            </wp:positionV>
            <wp:extent cx="571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-234950</wp:posOffset>
            </wp:positionV>
            <wp:extent cx="571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-223520</wp:posOffset>
            </wp:positionV>
            <wp:extent cx="571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-212090</wp:posOffset>
            </wp:positionV>
            <wp:extent cx="571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-200660</wp:posOffset>
            </wp:positionV>
            <wp:extent cx="571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-189230</wp:posOffset>
            </wp:positionV>
            <wp:extent cx="571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-177800</wp:posOffset>
            </wp:positionV>
            <wp:extent cx="571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-166370</wp:posOffset>
            </wp:positionV>
            <wp:extent cx="571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-154940</wp:posOffset>
            </wp:positionV>
            <wp:extent cx="571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-143510</wp:posOffset>
            </wp:positionV>
            <wp:extent cx="571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-132080</wp:posOffset>
            </wp:positionV>
            <wp:extent cx="571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-120650</wp:posOffset>
            </wp:positionV>
            <wp:extent cx="571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-109220</wp:posOffset>
            </wp:positionV>
            <wp:extent cx="571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-97790</wp:posOffset>
            </wp:positionV>
            <wp:extent cx="571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-86360</wp:posOffset>
            </wp:positionV>
            <wp:extent cx="571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-74930</wp:posOffset>
            </wp:positionV>
            <wp:extent cx="571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-63500</wp:posOffset>
            </wp:positionV>
            <wp:extent cx="571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-52070</wp:posOffset>
            </wp:positionV>
            <wp:extent cx="571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-40640</wp:posOffset>
            </wp:positionV>
            <wp:extent cx="571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-29210</wp:posOffset>
            </wp:positionV>
            <wp:extent cx="571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-17780</wp:posOffset>
            </wp:positionV>
            <wp:extent cx="571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-6350</wp:posOffset>
            </wp:positionV>
            <wp:extent cx="571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101600</wp:posOffset>
            </wp:positionV>
            <wp:extent cx="4663440" cy="2686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186"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Meeting Agenda and Recommendation of the Board of Directors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201"/>
        </w:trPr>
        <w:tc>
          <w:tcPr>
            <w:tcW w:w="3960" w:type="dxa"/>
            <w:vAlign w:val="bottom"/>
            <w:tcBorders>
              <w:top w:val="single" w:sz="8" w:color="0060ED"/>
            </w:tcBorders>
            <w:shd w:val="clear" w:color="auto" w:fill="CCEBF8"/>
          </w:tcPr>
          <w:p>
            <w:pPr>
              <w:spacing w:after="0"/>
              <w:rPr>
                <w:sz w:val="17"/>
                <w:szCs w:val="17"/>
                <w:color w:val="auto"/>
              </w:rPr>
            </w:pPr>
          </w:p>
        </w:tc>
        <w:tc>
          <w:tcPr>
            <w:tcW w:w="2560" w:type="dxa"/>
            <w:vAlign w:val="bottom"/>
            <w:tcBorders>
              <w:top w:val="single" w:sz="8" w:color="0060ED"/>
            </w:tcBorders>
            <w:shd w:val="clear" w:color="auto" w:fill="CCEBF8"/>
          </w:tcPr>
          <w:p>
            <w:pPr>
              <w:jc w:val="center"/>
              <w:ind w:left="82"/>
              <w:spacing w:after="0"/>
              <w:rPr>
                <w:sz w:val="20"/>
                <w:szCs w:val="20"/>
                <w:color w:val="auto"/>
              </w:rPr>
            </w:pPr>
            <w:r>
              <w:rPr>
                <w:rFonts w:ascii="Arial" w:cs="Arial" w:eastAsia="Arial" w:hAnsi="Arial"/>
                <w:sz w:val="12"/>
                <w:szCs w:val="12"/>
                <w:b w:val="1"/>
                <w:bCs w:val="1"/>
                <w:color w:val="009BDE"/>
                <w:w w:val="97"/>
              </w:rPr>
              <w:t>Board</w:t>
            </w:r>
          </w:p>
        </w:tc>
        <w:tc>
          <w:tcPr>
            <w:tcW w:w="820" w:type="dxa"/>
            <w:vAlign w:val="bottom"/>
            <w:tcBorders>
              <w:top w:val="single" w:sz="8" w:color="0060ED"/>
            </w:tcBorders>
            <w:shd w:val="clear" w:color="auto" w:fill="CCEBF8"/>
          </w:tcPr>
          <w:p>
            <w:pPr>
              <w:jc w:val="center"/>
              <w:ind w:left="163"/>
              <w:spacing w:after="0"/>
              <w:rPr>
                <w:sz w:val="20"/>
                <w:szCs w:val="20"/>
                <w:color w:val="auto"/>
              </w:rPr>
            </w:pPr>
            <w:r>
              <w:rPr>
                <w:rFonts w:ascii="Arial" w:cs="Arial" w:eastAsia="Arial" w:hAnsi="Arial"/>
                <w:sz w:val="12"/>
                <w:szCs w:val="12"/>
                <w:b w:val="1"/>
                <w:bCs w:val="1"/>
                <w:color w:val="009BDE"/>
                <w:w w:val="97"/>
              </w:rPr>
              <w:t>Page</w:t>
            </w:r>
          </w:p>
        </w:tc>
        <w:tc>
          <w:tcPr>
            <w:tcW w:w="0" w:type="dxa"/>
            <w:vAlign w:val="bottom"/>
          </w:tcPr>
          <w:p>
            <w:pPr>
              <w:spacing w:after="0"/>
              <w:rPr>
                <w:sz w:val="1"/>
                <w:szCs w:val="1"/>
                <w:color w:val="auto"/>
              </w:rPr>
            </w:pPr>
          </w:p>
        </w:tc>
      </w:tr>
      <w:tr>
        <w:trPr>
          <w:trHeight w:val="168"/>
        </w:trPr>
        <w:tc>
          <w:tcPr>
            <w:tcW w:w="3960" w:type="dxa"/>
            <w:vAlign w:val="bottom"/>
            <w:shd w:val="clear" w:color="auto" w:fill="CCEBF8"/>
          </w:tcPr>
          <w:p>
            <w:pPr>
              <w:ind w:left="40"/>
              <w:spacing w:after="0"/>
              <w:rPr>
                <w:sz w:val="20"/>
                <w:szCs w:val="20"/>
                <w:color w:val="auto"/>
              </w:rPr>
            </w:pPr>
            <w:r>
              <w:rPr>
                <w:rFonts w:ascii="Arial" w:cs="Arial" w:eastAsia="Arial" w:hAnsi="Arial"/>
                <w:sz w:val="12"/>
                <w:szCs w:val="12"/>
                <w:b w:val="1"/>
                <w:bCs w:val="1"/>
                <w:color w:val="009BDE"/>
              </w:rPr>
              <w:t>Agenda Item</w:t>
            </w:r>
          </w:p>
        </w:tc>
        <w:tc>
          <w:tcPr>
            <w:tcW w:w="2560" w:type="dxa"/>
            <w:vAlign w:val="bottom"/>
            <w:shd w:val="clear" w:color="auto" w:fill="CCEBF8"/>
          </w:tcPr>
          <w:p>
            <w:pPr>
              <w:jc w:val="center"/>
              <w:ind w:left="62"/>
              <w:spacing w:after="0"/>
              <w:rPr>
                <w:sz w:val="20"/>
                <w:szCs w:val="20"/>
                <w:color w:val="auto"/>
              </w:rPr>
            </w:pPr>
            <w:r>
              <w:rPr>
                <w:rFonts w:ascii="Arial" w:cs="Arial" w:eastAsia="Arial" w:hAnsi="Arial"/>
                <w:sz w:val="12"/>
                <w:szCs w:val="12"/>
                <w:b w:val="1"/>
                <w:bCs w:val="1"/>
                <w:color w:val="009BDE"/>
                <w:w w:val="99"/>
              </w:rPr>
              <w:t>Recommendation</w:t>
            </w:r>
          </w:p>
        </w:tc>
        <w:tc>
          <w:tcPr>
            <w:tcW w:w="820" w:type="dxa"/>
            <w:vAlign w:val="bottom"/>
            <w:shd w:val="clear" w:color="auto" w:fill="CCEBF8"/>
          </w:tcPr>
          <w:p>
            <w:pPr>
              <w:jc w:val="center"/>
              <w:ind w:left="143"/>
              <w:spacing w:after="0"/>
              <w:rPr>
                <w:sz w:val="20"/>
                <w:szCs w:val="20"/>
                <w:color w:val="auto"/>
              </w:rPr>
            </w:pPr>
            <w:r>
              <w:rPr>
                <w:rFonts w:ascii="Arial" w:cs="Arial" w:eastAsia="Arial" w:hAnsi="Arial"/>
                <w:sz w:val="12"/>
                <w:szCs w:val="12"/>
                <w:b w:val="1"/>
                <w:bCs w:val="1"/>
                <w:color w:val="009BDE"/>
              </w:rPr>
              <w:t>Number</w:t>
            </w:r>
          </w:p>
        </w:tc>
        <w:tc>
          <w:tcPr>
            <w:tcW w:w="0" w:type="dxa"/>
            <w:vAlign w:val="bottom"/>
          </w:tcPr>
          <w:p>
            <w:pPr>
              <w:spacing w:after="0"/>
              <w:rPr>
                <w:sz w:val="1"/>
                <w:szCs w:val="1"/>
                <w:color w:val="auto"/>
              </w:rPr>
            </w:pPr>
          </w:p>
        </w:tc>
      </w:tr>
      <w:tr>
        <w:trPr>
          <w:trHeight w:val="81"/>
        </w:trPr>
        <w:tc>
          <w:tcPr>
            <w:tcW w:w="3960" w:type="dxa"/>
            <w:vAlign w:val="bottom"/>
            <w:tcBorders>
              <w:bottom w:val="single" w:sz="8" w:color="009BDE"/>
            </w:tcBorders>
            <w:shd w:val="clear" w:color="auto" w:fill="CCEBF8"/>
          </w:tcPr>
          <w:p>
            <w:pPr>
              <w:spacing w:after="0"/>
              <w:rPr>
                <w:sz w:val="7"/>
                <w:szCs w:val="7"/>
                <w:color w:val="auto"/>
              </w:rPr>
            </w:pPr>
          </w:p>
        </w:tc>
        <w:tc>
          <w:tcPr>
            <w:tcW w:w="2560" w:type="dxa"/>
            <w:vAlign w:val="bottom"/>
            <w:tcBorders>
              <w:bottom w:val="single" w:sz="8" w:color="009BDE"/>
            </w:tcBorders>
            <w:shd w:val="clear" w:color="auto" w:fill="CCEBF8"/>
          </w:tcPr>
          <w:p>
            <w:pPr>
              <w:spacing w:after="0"/>
              <w:rPr>
                <w:sz w:val="7"/>
                <w:szCs w:val="7"/>
                <w:color w:val="auto"/>
              </w:rPr>
            </w:pPr>
          </w:p>
        </w:tc>
        <w:tc>
          <w:tcPr>
            <w:tcW w:w="820" w:type="dxa"/>
            <w:vAlign w:val="bottom"/>
            <w:tcBorders>
              <w:bottom w:val="single" w:sz="8" w:color="009BDE"/>
            </w:tcBorders>
            <w:shd w:val="clear" w:color="auto" w:fill="CCEBF8"/>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3960" w:type="dxa"/>
            <w:vAlign w:val="bottom"/>
          </w:tcPr>
          <w:p>
            <w:pPr>
              <w:ind w:left="40"/>
              <w:spacing w:after="0"/>
              <w:rPr>
                <w:sz w:val="20"/>
                <w:szCs w:val="20"/>
                <w:color w:val="auto"/>
              </w:rPr>
            </w:pPr>
            <w:r>
              <w:rPr>
                <w:rFonts w:ascii="Arial" w:cs="Arial" w:eastAsia="Arial" w:hAnsi="Arial"/>
                <w:sz w:val="11"/>
                <w:szCs w:val="11"/>
                <w:b w:val="1"/>
                <w:bCs w:val="1"/>
                <w:color w:val="auto"/>
              </w:rPr>
              <w:t>Proposal 1</w:t>
            </w:r>
          </w:p>
        </w:tc>
        <w:tc>
          <w:tcPr>
            <w:tcW w:w="2560" w:type="dxa"/>
            <w:vAlign w:val="bottom"/>
          </w:tcPr>
          <w:p>
            <w:pPr>
              <w:spacing w:after="0"/>
              <w:rPr>
                <w:sz w:val="15"/>
                <w:szCs w:val="15"/>
                <w:color w:val="auto"/>
              </w:rPr>
            </w:pPr>
          </w:p>
        </w:tc>
        <w:tc>
          <w:tcPr>
            <w:tcW w:w="820" w:type="dxa"/>
            <w:vAlign w:val="bottom"/>
            <w:vMerge w:val="restart"/>
          </w:tcPr>
          <w:p>
            <w:pPr>
              <w:jc w:val="right"/>
              <w:ind w:right="22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0"/>
        </w:trPr>
        <w:tc>
          <w:tcPr>
            <w:tcW w:w="3960" w:type="dxa"/>
            <w:vAlign w:val="bottom"/>
          </w:tcPr>
          <w:p>
            <w:pPr>
              <w:ind w:left="40"/>
              <w:spacing w:after="0"/>
              <w:rPr>
                <w:sz w:val="20"/>
                <w:szCs w:val="20"/>
                <w:color w:val="auto"/>
              </w:rPr>
            </w:pPr>
            <w:r>
              <w:rPr>
                <w:rFonts w:ascii="Arial" w:cs="Arial" w:eastAsia="Arial" w:hAnsi="Arial"/>
                <w:sz w:val="11"/>
                <w:szCs w:val="11"/>
                <w:color w:val="auto"/>
              </w:rPr>
              <w:t>Election of Eleven (11) Directors</w:t>
            </w:r>
          </w:p>
        </w:tc>
        <w:tc>
          <w:tcPr>
            <w:tcW w:w="2560" w:type="dxa"/>
            <w:vAlign w:val="bottom"/>
            <w:vMerge w:val="restart"/>
          </w:tcPr>
          <w:p>
            <w:pPr>
              <w:jc w:val="center"/>
              <w:ind w:left="62"/>
              <w:spacing w:after="0"/>
              <w:rPr>
                <w:sz w:val="20"/>
                <w:szCs w:val="20"/>
                <w:color w:val="auto"/>
              </w:rPr>
            </w:pPr>
            <w:r>
              <w:rPr>
                <w:rFonts w:ascii="Arial" w:cs="Arial" w:eastAsia="Arial" w:hAnsi="Arial"/>
                <w:sz w:val="11"/>
                <w:szCs w:val="11"/>
                <w:b w:val="1"/>
                <w:bCs w:val="1"/>
                <w:color w:val="auto"/>
                <w:w w:val="98"/>
              </w:rPr>
              <w:t xml:space="preserve">“FOR ALL” </w:t>
            </w:r>
            <w:r>
              <w:rPr>
                <w:rFonts w:ascii="Arial" w:cs="Arial" w:eastAsia="Arial" w:hAnsi="Arial"/>
                <w:sz w:val="11"/>
                <w:szCs w:val="11"/>
                <w:color w:val="auto"/>
                <w:w w:val="98"/>
              </w:rPr>
              <w:t>Hasbro director nominees</w:t>
            </w: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96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3960" w:type="dxa"/>
            <w:vAlign w:val="bottom"/>
            <w:tcBorders>
              <w:bottom w:val="single" w:sz="8" w:color="009BDE"/>
            </w:tcBorders>
          </w:tcPr>
          <w:p>
            <w:pPr>
              <w:spacing w:after="0"/>
              <w:rPr>
                <w:sz w:val="6"/>
                <w:szCs w:val="6"/>
                <w:color w:val="auto"/>
              </w:rPr>
            </w:pPr>
          </w:p>
        </w:tc>
        <w:tc>
          <w:tcPr>
            <w:tcW w:w="2560" w:type="dxa"/>
            <w:vAlign w:val="bottom"/>
            <w:tcBorders>
              <w:bottom w:val="single" w:sz="8" w:color="009BDE"/>
            </w:tcBorders>
          </w:tcPr>
          <w:p>
            <w:pPr>
              <w:spacing w:after="0"/>
              <w:rPr>
                <w:sz w:val="6"/>
                <w:szCs w:val="6"/>
                <w:color w:val="auto"/>
              </w:rPr>
            </w:pPr>
          </w:p>
        </w:tc>
        <w:tc>
          <w:tcPr>
            <w:tcW w:w="82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960" w:type="dxa"/>
            <w:vAlign w:val="bottom"/>
          </w:tcPr>
          <w:p>
            <w:pPr>
              <w:ind w:left="40"/>
              <w:spacing w:after="0"/>
              <w:rPr>
                <w:sz w:val="20"/>
                <w:szCs w:val="20"/>
                <w:color w:val="auto"/>
              </w:rPr>
            </w:pPr>
            <w:r>
              <w:rPr>
                <w:rFonts w:ascii="Arial" w:cs="Arial" w:eastAsia="Arial" w:hAnsi="Arial"/>
                <w:sz w:val="11"/>
                <w:szCs w:val="11"/>
                <w:b w:val="1"/>
                <w:bCs w:val="1"/>
                <w:color w:val="auto"/>
              </w:rPr>
              <w:t>Proposal 2</w:t>
            </w:r>
          </w:p>
        </w:tc>
        <w:tc>
          <w:tcPr>
            <w:tcW w:w="2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960" w:type="dxa"/>
            <w:vAlign w:val="bottom"/>
          </w:tcPr>
          <w:p>
            <w:pPr>
              <w:ind w:left="40"/>
              <w:spacing w:after="0"/>
              <w:rPr>
                <w:sz w:val="20"/>
                <w:szCs w:val="20"/>
                <w:color w:val="auto"/>
              </w:rPr>
            </w:pPr>
            <w:r>
              <w:rPr>
                <w:rFonts w:ascii="Arial" w:cs="Arial" w:eastAsia="Arial" w:hAnsi="Arial"/>
                <w:sz w:val="11"/>
                <w:szCs w:val="11"/>
                <w:color w:val="auto"/>
                <w:w w:val="98"/>
              </w:rPr>
              <w:t>Advisory Vote to Approve the Compensation of the Company’s Named Executive</w:t>
            </w:r>
          </w:p>
        </w:tc>
        <w:tc>
          <w:tcPr>
            <w:tcW w:w="2560" w:type="dxa"/>
            <w:vAlign w:val="bottom"/>
            <w:vMerge w:val="restart"/>
          </w:tcPr>
          <w:p>
            <w:pPr>
              <w:jc w:val="center"/>
              <w:ind w:left="82"/>
              <w:spacing w:after="0"/>
              <w:rPr>
                <w:sz w:val="20"/>
                <w:szCs w:val="20"/>
                <w:color w:val="auto"/>
              </w:rPr>
            </w:pPr>
            <w:r>
              <w:rPr>
                <w:rFonts w:ascii="Arial" w:cs="Arial" w:eastAsia="Arial" w:hAnsi="Arial"/>
                <w:sz w:val="12"/>
                <w:szCs w:val="12"/>
                <w:b w:val="1"/>
                <w:bCs w:val="1"/>
                <w:color w:val="auto"/>
              </w:rPr>
              <w:t>“FOR”</w:t>
            </w:r>
          </w:p>
        </w:tc>
        <w:tc>
          <w:tcPr>
            <w:tcW w:w="820" w:type="dxa"/>
            <w:vAlign w:val="bottom"/>
            <w:vMerge w:val="restart"/>
          </w:tcPr>
          <w:p>
            <w:pPr>
              <w:jc w:val="right"/>
              <w:ind w:right="183"/>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80"/>
        </w:trPr>
        <w:tc>
          <w:tcPr>
            <w:tcW w:w="3960" w:type="dxa"/>
            <w:vAlign w:val="bottom"/>
            <w:vMerge w:val="restart"/>
          </w:tcPr>
          <w:p>
            <w:pPr>
              <w:ind w:left="40"/>
              <w:spacing w:after="0"/>
              <w:rPr>
                <w:sz w:val="20"/>
                <w:szCs w:val="20"/>
                <w:color w:val="auto"/>
              </w:rPr>
            </w:pPr>
            <w:r>
              <w:rPr>
                <w:rFonts w:ascii="Arial" w:cs="Arial" w:eastAsia="Arial" w:hAnsi="Arial"/>
                <w:sz w:val="11"/>
                <w:szCs w:val="11"/>
                <w:color w:val="auto"/>
              </w:rPr>
              <w:t>Officers</w:t>
            </w:r>
          </w:p>
        </w:tc>
        <w:tc>
          <w:tcPr>
            <w:tcW w:w="25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3960" w:type="dxa"/>
            <w:vAlign w:val="bottom"/>
            <w:vMerge w:val="continue"/>
          </w:tcPr>
          <w:p>
            <w:pPr>
              <w:spacing w:after="0"/>
              <w:rPr>
                <w:sz w:val="4"/>
                <w:szCs w:val="4"/>
                <w:color w:val="auto"/>
              </w:rPr>
            </w:pPr>
          </w:p>
        </w:tc>
        <w:tc>
          <w:tcPr>
            <w:tcW w:w="2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48260</wp:posOffset>
            </wp:positionV>
            <wp:extent cx="466344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4584065</wp:posOffset>
            </wp:positionH>
            <wp:positionV relativeFrom="paragraph">
              <wp:posOffset>-505460</wp:posOffset>
            </wp:positionV>
            <wp:extent cx="85725" cy="685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4584065</wp:posOffset>
            </wp:positionH>
            <wp:positionV relativeFrom="paragraph">
              <wp:posOffset>-208280</wp:posOffset>
            </wp:positionV>
            <wp:extent cx="85725" cy="685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68580"/>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p>
      <w:pPr>
        <w:spacing w:after="0" w:line="137" w:lineRule="exact"/>
        <w:rPr>
          <w:sz w:val="20"/>
          <w:szCs w:val="20"/>
          <w:color w:val="auto"/>
        </w:rPr>
      </w:pPr>
    </w:p>
    <w:p>
      <w:pPr>
        <w:ind w:left="2020"/>
        <w:spacing w:after="0"/>
        <w:rPr>
          <w:sz w:val="20"/>
          <w:szCs w:val="20"/>
          <w:color w:val="auto"/>
        </w:rPr>
      </w:pPr>
      <w:r>
        <w:rPr>
          <w:rFonts w:ascii="Arial" w:cs="Arial" w:eastAsia="Arial" w:hAnsi="Arial"/>
          <w:sz w:val="11"/>
          <w:szCs w:val="11"/>
          <w:b w:val="1"/>
          <w:bCs w:val="1"/>
          <w:color w:val="auto"/>
        </w:rPr>
        <w:t>Proposal 3</w:t>
      </w:r>
    </w:p>
    <w:p>
      <w:pPr>
        <w:spacing w:after="0" w:line="12" w:lineRule="exact"/>
        <w:rPr>
          <w:sz w:val="20"/>
          <w:szCs w:val="20"/>
          <w:color w:val="auto"/>
        </w:rPr>
      </w:pPr>
    </w:p>
    <w:p>
      <w:pPr>
        <w:ind w:left="2020" w:right="360"/>
        <w:spacing w:after="0" w:line="245" w:lineRule="auto"/>
        <w:rPr>
          <w:sz w:val="20"/>
          <w:szCs w:val="20"/>
          <w:color w:val="auto"/>
        </w:rPr>
      </w:pPr>
      <w:r>
        <w:rPr>
          <w:rFonts w:ascii="Arial" w:cs="Arial" w:eastAsia="Arial" w:hAnsi="Arial"/>
          <w:sz w:val="11"/>
          <w:szCs w:val="11"/>
          <w:color w:val="auto"/>
        </w:rPr>
        <w:t>Advisory Vote on the Frequency of the Vote on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46990</wp:posOffset>
            </wp:positionV>
            <wp:extent cx="466344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960" w:type="dxa"/>
            <w:vAlign w:val="bottom"/>
          </w:tcPr>
          <w:p>
            <w:pPr>
              <w:spacing w:after="0"/>
              <w:rPr>
                <w:sz w:val="20"/>
                <w:szCs w:val="20"/>
                <w:color w:val="auto"/>
              </w:rPr>
            </w:pPr>
            <w:r>
              <w:rPr>
                <w:rFonts w:ascii="Arial" w:cs="Arial" w:eastAsia="Arial" w:hAnsi="Arial"/>
                <w:sz w:val="11"/>
                <w:szCs w:val="11"/>
                <w:b w:val="1"/>
                <w:bCs w:val="1"/>
                <w:color w:val="auto"/>
              </w:rPr>
              <w:t xml:space="preserve">“ANNUAL” </w:t>
            </w:r>
            <w:r>
              <w:rPr>
                <w:rFonts w:ascii="Arial" w:cs="Arial" w:eastAsia="Arial" w:hAnsi="Arial"/>
                <w:sz w:val="11"/>
                <w:szCs w:val="11"/>
                <w:color w:val="auto"/>
              </w:rPr>
              <w:t>(a vote every year)</w:t>
            </w:r>
          </w:p>
        </w:tc>
        <w:tc>
          <w:tcPr>
            <w:tcW w:w="580" w:type="dxa"/>
            <w:vAlign w:val="bottom"/>
          </w:tcPr>
          <w:p>
            <w:pPr>
              <w:jc w:val="right"/>
              <w:spacing w:after="0"/>
              <w:rPr>
                <w:sz w:val="20"/>
                <w:szCs w:val="20"/>
                <w:color w:val="auto"/>
              </w:rPr>
            </w:pPr>
            <w:r>
              <w:rPr>
                <w:rFonts w:ascii="Arial" w:cs="Arial" w:eastAsia="Arial" w:hAnsi="Arial"/>
                <w:sz w:val="11"/>
                <w:szCs w:val="11"/>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-168275</wp:posOffset>
            </wp:positionV>
            <wp:extent cx="85725" cy="685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68580"/>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5820" w:space="720"/>
            <w:col w:w="3619"/>
          </w:cols>
          <w:pgMar w:left="300" w:top="372" w:right="1440" w:bottom="1440" w:gutter="0" w:footer="0" w:header="0"/>
          <w:type w:val="continuous"/>
        </w:sectPr>
      </w:pPr>
    </w:p>
    <w:tbl>
      <w:tblPr>
        <w:tblLayout w:type="fixed"/>
        <w:tblInd w:w="1980" w:type="dxa"/>
        <w:tblCellMar>
          <w:top w:w="0" w:type="dxa"/>
          <w:left w:w="0" w:type="dxa"/>
          <w:bottom w:w="0" w:type="dxa"/>
          <w:right w:w="0" w:type="dxa"/>
        </w:tblCellMar>
      </w:tblPr>
      <w:tr>
        <w:trPr>
          <w:trHeight w:val="138"/>
        </w:trPr>
        <w:tc>
          <w:tcPr>
            <w:tcW w:w="4520" w:type="dxa"/>
            <w:vAlign w:val="bottom"/>
          </w:tcPr>
          <w:p>
            <w:pPr>
              <w:ind w:left="40"/>
              <w:spacing w:after="0"/>
              <w:rPr>
                <w:sz w:val="20"/>
                <w:szCs w:val="20"/>
                <w:color w:val="auto"/>
              </w:rPr>
            </w:pPr>
            <w:r>
              <w:rPr>
                <w:rFonts w:ascii="Arial" w:cs="Arial" w:eastAsia="Arial" w:hAnsi="Arial"/>
                <w:sz w:val="11"/>
                <w:szCs w:val="11"/>
                <w:b w:val="1"/>
                <w:bCs w:val="1"/>
                <w:color w:val="auto"/>
              </w:rPr>
              <w:t>Proposal 4</w:t>
            </w:r>
          </w:p>
        </w:tc>
        <w:tc>
          <w:tcPr>
            <w:tcW w:w="1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20" w:type="dxa"/>
            <w:vAlign w:val="bottom"/>
          </w:tcPr>
          <w:p>
            <w:pPr>
              <w:ind w:left="40"/>
              <w:spacing w:after="0"/>
              <w:rPr>
                <w:sz w:val="20"/>
                <w:szCs w:val="20"/>
                <w:color w:val="auto"/>
              </w:rPr>
            </w:pPr>
            <w:r>
              <w:rPr>
                <w:rFonts w:ascii="Arial" w:cs="Arial" w:eastAsia="Arial" w:hAnsi="Arial"/>
                <w:sz w:val="11"/>
                <w:szCs w:val="11"/>
                <w:color w:val="auto"/>
              </w:rPr>
              <w:t>Approval of Amendments to the Company’s Restated 2003 Stock Incentive</w:t>
            </w:r>
          </w:p>
        </w:tc>
        <w:tc>
          <w:tcPr>
            <w:tcW w:w="1720" w:type="dxa"/>
            <w:vAlign w:val="bottom"/>
            <w:vMerge w:val="restart"/>
          </w:tcPr>
          <w:p>
            <w:pPr>
              <w:ind w:left="600"/>
              <w:spacing w:after="0"/>
              <w:rPr>
                <w:sz w:val="20"/>
                <w:szCs w:val="20"/>
                <w:color w:val="auto"/>
              </w:rPr>
            </w:pPr>
            <w:r>
              <w:rPr>
                <w:rFonts w:ascii="Arial" w:cs="Arial" w:eastAsia="Arial" w:hAnsi="Arial"/>
                <w:sz w:val="12"/>
                <w:szCs w:val="12"/>
                <w:b w:val="1"/>
                <w:bCs w:val="1"/>
                <w:color w:val="auto"/>
              </w:rPr>
              <w:t>“FOR”</w:t>
            </w:r>
          </w:p>
        </w:tc>
        <w:tc>
          <w:tcPr>
            <w:tcW w:w="1100" w:type="dxa"/>
            <w:vAlign w:val="bottom"/>
            <w:vMerge w:val="restart"/>
          </w:tcPr>
          <w:p>
            <w:pPr>
              <w:jc w:val="right"/>
              <w:ind w:right="186"/>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80"/>
        </w:trPr>
        <w:tc>
          <w:tcPr>
            <w:tcW w:w="4520" w:type="dxa"/>
            <w:vAlign w:val="bottom"/>
            <w:vMerge w:val="restart"/>
          </w:tcPr>
          <w:p>
            <w:pPr>
              <w:ind w:left="40"/>
              <w:spacing w:after="0"/>
              <w:rPr>
                <w:sz w:val="20"/>
                <w:szCs w:val="20"/>
                <w:color w:val="auto"/>
              </w:rPr>
            </w:pPr>
            <w:r>
              <w:rPr>
                <w:rFonts w:ascii="Arial" w:cs="Arial" w:eastAsia="Arial" w:hAnsi="Arial"/>
                <w:sz w:val="11"/>
                <w:szCs w:val="11"/>
                <w:color w:val="auto"/>
              </w:rPr>
              <w:t>Performance Plan, as amended</w:t>
            </w:r>
          </w:p>
        </w:tc>
        <w:tc>
          <w:tcPr>
            <w:tcW w:w="17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4520" w:type="dxa"/>
            <w:vAlign w:val="bottom"/>
            <w:vMerge w:val="continue"/>
          </w:tcPr>
          <w:p>
            <w:pPr>
              <w:spacing w:after="0"/>
              <w:rPr>
                <w:sz w:val="4"/>
                <w:szCs w:val="4"/>
                <w:color w:val="auto"/>
              </w:rPr>
            </w:pPr>
          </w:p>
        </w:tc>
        <w:tc>
          <w:tcPr>
            <w:tcW w:w="1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520" w:type="dxa"/>
            <w:vAlign w:val="bottom"/>
            <w:tcBorders>
              <w:bottom w:val="single" w:sz="8" w:color="009BDE"/>
            </w:tcBorders>
          </w:tcPr>
          <w:p>
            <w:pPr>
              <w:spacing w:after="0"/>
              <w:rPr>
                <w:sz w:val="6"/>
                <w:szCs w:val="6"/>
                <w:color w:val="auto"/>
              </w:rPr>
            </w:pPr>
          </w:p>
        </w:tc>
        <w:tc>
          <w:tcPr>
            <w:tcW w:w="1720" w:type="dxa"/>
            <w:vAlign w:val="bottom"/>
            <w:tcBorders>
              <w:bottom w:val="single" w:sz="8" w:color="009BDE"/>
            </w:tcBorders>
          </w:tcPr>
          <w:p>
            <w:pPr>
              <w:spacing w:after="0"/>
              <w:rPr>
                <w:sz w:val="6"/>
                <w:szCs w:val="6"/>
                <w:color w:val="auto"/>
              </w:rPr>
            </w:pPr>
          </w:p>
        </w:tc>
        <w:tc>
          <w:tcPr>
            <w:tcW w:w="110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4520" w:type="dxa"/>
            <w:vAlign w:val="bottom"/>
          </w:tcPr>
          <w:p>
            <w:pPr>
              <w:ind w:left="40"/>
              <w:spacing w:after="0"/>
              <w:rPr>
                <w:sz w:val="20"/>
                <w:szCs w:val="20"/>
                <w:color w:val="auto"/>
              </w:rPr>
            </w:pPr>
            <w:r>
              <w:rPr>
                <w:rFonts w:ascii="Arial" w:cs="Arial" w:eastAsia="Arial" w:hAnsi="Arial"/>
                <w:sz w:val="11"/>
                <w:szCs w:val="11"/>
                <w:b w:val="1"/>
                <w:bCs w:val="1"/>
                <w:color w:val="auto"/>
              </w:rPr>
              <w:t>Proposal 5</w:t>
            </w:r>
          </w:p>
        </w:tc>
        <w:tc>
          <w:tcPr>
            <w:tcW w:w="1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520" w:type="dxa"/>
            <w:vAlign w:val="bottom"/>
          </w:tcPr>
          <w:p>
            <w:pPr>
              <w:ind w:left="40"/>
              <w:spacing w:after="0"/>
              <w:rPr>
                <w:sz w:val="20"/>
                <w:szCs w:val="20"/>
                <w:color w:val="auto"/>
              </w:rPr>
            </w:pPr>
            <w:r>
              <w:rPr>
                <w:rFonts w:ascii="Arial" w:cs="Arial" w:eastAsia="Arial" w:hAnsi="Arial"/>
                <w:sz w:val="11"/>
                <w:szCs w:val="11"/>
                <w:color w:val="auto"/>
              </w:rPr>
              <w:t>Ratification of KPMG LLP as the Independent Registered Public Accounting Firm</w:t>
            </w:r>
          </w:p>
        </w:tc>
        <w:tc>
          <w:tcPr>
            <w:tcW w:w="1720" w:type="dxa"/>
            <w:vAlign w:val="bottom"/>
            <w:vMerge w:val="restart"/>
          </w:tcPr>
          <w:p>
            <w:pPr>
              <w:ind w:left="600"/>
              <w:spacing w:after="0"/>
              <w:rPr>
                <w:sz w:val="20"/>
                <w:szCs w:val="20"/>
                <w:color w:val="auto"/>
              </w:rPr>
            </w:pPr>
            <w:r>
              <w:rPr>
                <w:rFonts w:ascii="Arial" w:cs="Arial" w:eastAsia="Arial" w:hAnsi="Arial"/>
                <w:sz w:val="12"/>
                <w:szCs w:val="12"/>
                <w:b w:val="1"/>
                <w:bCs w:val="1"/>
                <w:color w:val="auto"/>
              </w:rPr>
              <w:t>“FOR”</w:t>
            </w:r>
          </w:p>
        </w:tc>
        <w:tc>
          <w:tcPr>
            <w:tcW w:w="1100" w:type="dxa"/>
            <w:vAlign w:val="bottom"/>
            <w:vMerge w:val="restart"/>
          </w:tcPr>
          <w:p>
            <w:pPr>
              <w:jc w:val="right"/>
              <w:ind w:right="186"/>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80"/>
        </w:trPr>
        <w:tc>
          <w:tcPr>
            <w:tcW w:w="4520" w:type="dxa"/>
            <w:vAlign w:val="bottom"/>
            <w:vMerge w:val="restart"/>
          </w:tcPr>
          <w:p>
            <w:pPr>
              <w:ind w:left="40"/>
              <w:spacing w:after="0"/>
              <w:rPr>
                <w:sz w:val="20"/>
                <w:szCs w:val="20"/>
                <w:color w:val="auto"/>
              </w:rPr>
            </w:pPr>
            <w:r>
              <w:rPr>
                <w:rFonts w:ascii="Arial" w:cs="Arial" w:eastAsia="Arial" w:hAnsi="Arial"/>
                <w:sz w:val="11"/>
                <w:szCs w:val="11"/>
                <w:color w:val="auto"/>
              </w:rPr>
              <w:t>for Fiscal Year 2023</w:t>
            </w:r>
          </w:p>
        </w:tc>
        <w:tc>
          <w:tcPr>
            <w:tcW w:w="17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4520" w:type="dxa"/>
            <w:vAlign w:val="bottom"/>
            <w:vMerge w:val="continue"/>
          </w:tcPr>
          <w:p>
            <w:pPr>
              <w:spacing w:after="0"/>
              <w:rPr>
                <w:sz w:val="4"/>
                <w:szCs w:val="4"/>
                <w:color w:val="auto"/>
              </w:rPr>
            </w:pPr>
          </w:p>
        </w:tc>
        <w:tc>
          <w:tcPr>
            <w:tcW w:w="1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520" w:type="dxa"/>
            <w:vAlign w:val="bottom"/>
            <w:tcBorders>
              <w:bottom w:val="single" w:sz="8" w:color="009BDE"/>
            </w:tcBorders>
          </w:tcPr>
          <w:p>
            <w:pPr>
              <w:spacing w:after="0"/>
              <w:rPr>
                <w:sz w:val="6"/>
                <w:szCs w:val="6"/>
                <w:color w:val="auto"/>
              </w:rPr>
            </w:pPr>
          </w:p>
        </w:tc>
        <w:tc>
          <w:tcPr>
            <w:tcW w:w="1720" w:type="dxa"/>
            <w:vAlign w:val="bottom"/>
            <w:tcBorders>
              <w:bottom w:val="single" w:sz="8" w:color="009BDE"/>
            </w:tcBorders>
          </w:tcPr>
          <w:p>
            <w:pPr>
              <w:spacing w:after="0"/>
              <w:rPr>
                <w:sz w:val="6"/>
                <w:szCs w:val="6"/>
                <w:color w:val="auto"/>
              </w:rPr>
            </w:pPr>
          </w:p>
        </w:tc>
        <w:tc>
          <w:tcPr>
            <w:tcW w:w="110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4584065</wp:posOffset>
            </wp:positionH>
            <wp:positionV relativeFrom="paragraph">
              <wp:posOffset>-599440</wp:posOffset>
            </wp:positionV>
            <wp:extent cx="85725" cy="685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4584065</wp:posOffset>
            </wp:positionH>
            <wp:positionV relativeFrom="paragraph">
              <wp:posOffset>-262255</wp:posOffset>
            </wp:positionV>
            <wp:extent cx="85725" cy="685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62865</wp:posOffset>
            </wp:positionV>
            <wp:extent cx="3971925" cy="2171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6" w:lineRule="exact"/>
        <w:rPr>
          <w:sz w:val="20"/>
          <w:szCs w:val="20"/>
          <w:color w:val="auto"/>
        </w:rPr>
      </w:pPr>
    </w:p>
    <w:p>
      <w:pPr>
        <w:ind w:left="2140"/>
        <w:spacing w:after="0"/>
        <w:rPr>
          <w:sz w:val="20"/>
          <w:szCs w:val="20"/>
          <w:color w:val="auto"/>
        </w:rPr>
      </w:pPr>
      <w:r>
        <w:rPr>
          <w:rFonts w:ascii="Arial" w:cs="Arial" w:eastAsia="Arial" w:hAnsi="Arial"/>
          <w:sz w:val="12"/>
          <w:szCs w:val="12"/>
          <w:b w:val="1"/>
          <w:bCs w:val="1"/>
          <w:color w:val="FCFCFC"/>
        </w:rPr>
        <w:t>i</w:t>
      </w:r>
    </w:p>
    <w:p>
      <w:pPr>
        <w:sectPr>
          <w:pgSz w:w="11900" w:h="16838" w:orient="portrait"/>
          <w:cols w:equalWidth="0" w:num="1">
            <w:col w:w="10159"/>
          </w:cols>
          <w:pgMar w:left="300" w:top="372"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136525</wp:posOffset>
            </wp:positionV>
            <wp:extent cx="4663440" cy="2686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4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2022 Overview</w:t>
      </w:r>
    </w:p>
    <w:p>
      <w:pPr>
        <w:spacing w:after="0" w:line="26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2022 Overview</w:t>
      </w:r>
    </w:p>
    <w:p>
      <w:pPr>
        <w:spacing w:after="0" w:line="41" w:lineRule="exact"/>
        <w:rPr>
          <w:sz w:val="20"/>
          <w:szCs w:val="20"/>
          <w:color w:val="auto"/>
        </w:rPr>
      </w:pPr>
    </w:p>
    <w:p>
      <w:pPr>
        <w:ind w:left="1980" w:right="859"/>
        <w:spacing w:after="0"/>
        <w:rPr>
          <w:sz w:val="20"/>
          <w:szCs w:val="20"/>
          <w:color w:val="auto"/>
        </w:rPr>
      </w:pPr>
      <w:r>
        <w:rPr>
          <w:rFonts w:ascii="Arial" w:cs="Arial" w:eastAsia="Arial" w:hAnsi="Arial"/>
          <w:sz w:val="11"/>
          <w:szCs w:val="11"/>
          <w:color w:val="auto"/>
        </w:rPr>
        <w:t>Fiscal year 2022 was a challenging year. We navigated a difficult economy with high inflation and rising interest rates, a challenged toy and game industry, the continued effects of the coronavirus pandemic, and leadership changes. During 2022, our new CEO, Chris Cocks, led a comprehensive, several month long strategic review of our business. In October 2022, we announced our Blueprint 2.0 strategy, a go-forward strategic plan to drive accelerated revenue and profit growth, by focusing on fewer, bigger and more profitable brands, leveraging our direct-to-consumer and digital businesses, scaling our brands through licensing opportunities, delivering operational excellence, and investing in our people. As we embark upon a multi-year transformational effort to support our revamped Blueprint 2.0 strategy, we have summarized key highlights and events for 2022 below.</w:t>
      </w:r>
    </w:p>
    <w:p>
      <w:pPr>
        <w:spacing w:after="0" w:line="67"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Notable Leadership Changes</w:t>
      </w:r>
    </w:p>
    <w:p>
      <w:pPr>
        <w:spacing w:after="0" w:line="41" w:lineRule="exact"/>
        <w:rPr>
          <w:sz w:val="20"/>
          <w:szCs w:val="20"/>
          <w:color w:val="auto"/>
        </w:rPr>
      </w:pPr>
    </w:p>
    <w:p>
      <w:pPr>
        <w:ind w:left="2540" w:right="839" w:hanging="208"/>
        <w:spacing w:after="0" w:line="239" w:lineRule="auto"/>
        <w:tabs>
          <w:tab w:leader="none" w:pos="254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 February 2022, our Board appointed Chris Cocks as our new Chief Executive Officer. Mr. Cocks took over the role from Richard Stoddart, a member of our Board of Directors, who was serving as Interim Chief Executive Officer following the untimely passing of Brian Goldner, our former long-time CEO in October 2021.</w:t>
      </w:r>
    </w:p>
    <w:p>
      <w:pPr>
        <w:ind w:left="2540" w:right="899" w:hanging="208"/>
        <w:spacing w:after="0" w:line="239" w:lineRule="auto"/>
        <w:tabs>
          <w:tab w:leader="none" w:pos="254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 February 2022, we appointed Cynthia Williams as President of Wizards of the Coast and Digital Gaming to succeed Mr. Cocks in that role. Ms. Williams joined us from Microsoft, where she most recently served as General Manager and Vice President, Gaming Ecosystem Commercial Team, and drove the expansion of Xbox Gaming and the acceleration of game-creator growth. Prior to joining Microsoft,</w:t>
      </w:r>
    </w:p>
    <w:p>
      <w:pPr>
        <w:ind w:left="2540" w:right="1239"/>
        <w:spacing w:after="0" w:line="239" w:lineRule="auto"/>
        <w:rPr>
          <w:rFonts w:ascii="Arial" w:cs="Arial" w:eastAsia="Arial" w:hAnsi="Arial"/>
          <w:sz w:val="11"/>
          <w:szCs w:val="11"/>
          <w:color w:val="auto"/>
        </w:rPr>
      </w:pPr>
      <w:r>
        <w:rPr>
          <w:rFonts w:ascii="Arial" w:cs="Arial" w:eastAsia="Arial" w:hAnsi="Arial"/>
          <w:sz w:val="11"/>
          <w:szCs w:val="11"/>
          <w:color w:val="auto"/>
        </w:rPr>
        <w:t>Ms. Williams spent more than a decade at Amazon, where she led the global growth of their ecommerce direct-to-consumer business Fulfillment by Amazon.</w:t>
      </w:r>
    </w:p>
    <w:p>
      <w:pPr>
        <w:ind w:left="2540" w:right="1019" w:hanging="208"/>
        <w:spacing w:after="0" w:line="239" w:lineRule="auto"/>
        <w:tabs>
          <w:tab w:leader="none" w:pos="254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 May 2022, we appointed Najuma Atkinson to lead our Global HR function. Ms. Atkinson, our Executive Vice President and Chief People Officer, joined us from Dell Technologies, where she served as Senior Vice President of Global HR Services.</w:t>
      </w:r>
    </w:p>
    <w:p>
      <w:pPr>
        <w:ind w:left="2540" w:right="859" w:hanging="208"/>
        <w:spacing w:after="0" w:line="239" w:lineRule="auto"/>
        <w:tabs>
          <w:tab w:leader="none" w:pos="254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 November 2022, we announced that Deborah Thomas informed Hasbro of her intent to retire from her position as Executive Vice President and Chief Financial Officer after 24 years of distinguished service and leadership with the Company. Hasbro initiated a search process to identify her successor, which is ongoing. Ms. Thomas and Hasbro plan for her to remain as Chief Financial Officer until her successor is in place, and remain as an advisor to the Company thereafter until December 31, 2023 to ensure a smooth transition.</w:t>
      </w:r>
    </w:p>
    <w:p>
      <w:pPr>
        <w:ind w:left="2540" w:hanging="208"/>
        <w:spacing w:after="0"/>
        <w:tabs>
          <w:tab w:leader="none" w:pos="2540" w:val="left"/>
        </w:tabs>
        <w:numPr>
          <w:ilvl w:val="0"/>
          <w:numId w:val="7"/>
        </w:numPr>
        <w:rPr>
          <w:rFonts w:ascii="Arial" w:cs="Arial" w:eastAsia="Arial" w:hAnsi="Arial"/>
          <w:sz w:val="11"/>
          <w:szCs w:val="11"/>
          <w:color w:val="auto"/>
        </w:rPr>
      </w:pPr>
      <w:r>
        <w:rPr>
          <w:rFonts w:ascii="Arial" w:cs="Arial" w:eastAsia="Arial" w:hAnsi="Arial"/>
          <w:sz w:val="11"/>
          <w:szCs w:val="11"/>
          <w:color w:val="auto"/>
        </w:rPr>
        <w:t>On December 30, 2022, Darren Throop, eOne CEO, retired from the Company.</w:t>
      </w:r>
    </w:p>
    <w:p>
      <w:pPr>
        <w:ind w:left="2540" w:right="859" w:hanging="208"/>
        <w:spacing w:after="0" w:line="245" w:lineRule="auto"/>
        <w:tabs>
          <w:tab w:leader="none" w:pos="254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 January 2023, we announced that Eric Nyman, President and Chief Operating Officer since February 2022, would be leaving the Company effective March 31, 2023.</w:t>
      </w:r>
    </w:p>
    <w:p>
      <w:pPr>
        <w:spacing w:after="0" w:line="7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Blueprint 2.0</w:t>
      </w:r>
    </w:p>
    <w:p>
      <w:pPr>
        <w:spacing w:after="0" w:line="41" w:lineRule="exact"/>
        <w:rPr>
          <w:sz w:val="20"/>
          <w:szCs w:val="20"/>
          <w:color w:val="auto"/>
        </w:rPr>
      </w:pPr>
    </w:p>
    <w:p>
      <w:pPr>
        <w:ind w:left="1980" w:right="879"/>
        <w:spacing w:after="0" w:line="268" w:lineRule="auto"/>
        <w:rPr>
          <w:sz w:val="20"/>
          <w:szCs w:val="20"/>
          <w:color w:val="auto"/>
        </w:rPr>
      </w:pPr>
      <w:r>
        <w:rPr>
          <w:rFonts w:ascii="Arial" w:cs="Arial" w:eastAsia="Arial" w:hAnsi="Arial"/>
          <w:sz w:val="10"/>
          <w:szCs w:val="10"/>
          <w:color w:val="auto"/>
        </w:rPr>
        <w:t>Our Blueprint 2.0 strategy is a consumer-centric framework for bringing compelling and expansive brand experiences to audiences around the world. Hasbro’s purpose of creating joy and community for all people around the world, one game, one toy, one story at a time starts with consumers and our fans, who represent multigenerational audiences that sit at the center of Blueprint 2.0. Understanding our fans, expanding our fan base and delivering for them is the key driver behind our evolution as a branded play and entertainment company. The value of our strategy is fully activated when we can take a brand across multiple elements of the Blueprint 2.0 including consumer products such as toys, games and licensed products; digital gaming; entertainment and experiences; and our Hasbro Direct business. We believe the ability to build a brand and leverage in-house capabilities to create multiple categories of engagement with consumers and fans is unique to Hasbro and optimizes our business today and in the future.</w:t>
      </w:r>
    </w:p>
    <w:p>
      <w:pPr>
        <w:spacing w:after="0" w:line="100" w:lineRule="exact"/>
        <w:rPr>
          <w:sz w:val="20"/>
          <w:szCs w:val="20"/>
          <w:color w:val="auto"/>
        </w:rPr>
      </w:pPr>
    </w:p>
    <w:p>
      <w:pPr>
        <w:ind w:left="1980" w:right="1059"/>
        <w:spacing w:after="0" w:line="241" w:lineRule="auto"/>
        <w:rPr>
          <w:sz w:val="20"/>
          <w:szCs w:val="20"/>
          <w:color w:val="auto"/>
        </w:rPr>
      </w:pPr>
      <w:r>
        <w:rPr>
          <w:rFonts w:ascii="Arial" w:cs="Arial" w:eastAsia="Arial" w:hAnsi="Arial"/>
          <w:sz w:val="11"/>
          <w:szCs w:val="11"/>
          <w:color w:val="auto"/>
        </w:rPr>
        <w:t>During our strategic review we identified opportunities to focus and scale our business, enhance operational excellence, including through specialized organizational programs and supply chain transformation, to drive growth and profit and enhance shareholder value. We plan to increase strategic investment on our most valuable and profitable franchises across toys, games, entertainment and licensing, and exit certain non-core aspects of our business.</w:t>
      </w:r>
    </w:p>
    <w:p>
      <w:pPr>
        <w:spacing w:after="0" w:line="113" w:lineRule="exact"/>
        <w:rPr>
          <w:sz w:val="20"/>
          <w:szCs w:val="20"/>
          <w:color w:val="auto"/>
        </w:rPr>
      </w:pPr>
    </w:p>
    <w:p>
      <w:pPr>
        <w:ind w:left="1980" w:right="1079"/>
        <w:spacing w:after="0" w:line="245" w:lineRule="auto"/>
        <w:rPr>
          <w:sz w:val="20"/>
          <w:szCs w:val="20"/>
          <w:color w:val="auto"/>
        </w:rPr>
      </w:pPr>
      <w:r>
        <w:rPr>
          <w:rFonts w:ascii="Arial" w:cs="Arial" w:eastAsia="Arial" w:hAnsi="Arial"/>
          <w:sz w:val="11"/>
          <w:szCs w:val="11"/>
          <w:color w:val="auto"/>
        </w:rPr>
        <w:t>Our Blueprint 2.0 transformation is focused on key areas of importance: Brand, Insights and Entertainment; Direct and Digital; Licensing; People; and Operational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58420</wp:posOffset>
            </wp:positionV>
            <wp:extent cx="3971925" cy="2171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8"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FCFCFC"/>
        </w:rPr>
        <w:t>ii</w:t>
      </w:r>
    </w:p>
    <w:p>
      <w:pPr>
        <w:sectPr>
          <w:pgSz w:w="11900" w:h="16838" w:orient="portrait"/>
          <w:cols w:equalWidth="0" w:num="1">
            <w:col w:w="10159"/>
          </w:cols>
          <w:pgMar w:left="300" w:top="372" w:right="1440"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i w:val="1"/>
          <w:iCs w:val="1"/>
          <w:u w:val="single" w:color="auto"/>
          <w:color w:val="auto"/>
        </w:rPr>
        <w:t>Brand, Insights and Entertainment</w:t>
      </w:r>
    </w:p>
    <w:p>
      <w:pPr>
        <w:spacing w:after="0" w:line="37" w:lineRule="exact"/>
        <w:rPr>
          <w:sz w:val="20"/>
          <w:szCs w:val="20"/>
          <w:color w:val="auto"/>
        </w:rPr>
      </w:pPr>
    </w:p>
    <w:p>
      <w:pPr>
        <w:ind w:left="2540" w:right="1119" w:hanging="208"/>
        <w:spacing w:after="0" w:line="239" w:lineRule="auto"/>
        <w:tabs>
          <w:tab w:leader="none" w:pos="2540" w:val="left"/>
        </w:tabs>
        <w:numPr>
          <w:ilvl w:val="0"/>
          <w:numId w:val="8"/>
        </w:numPr>
        <w:rPr>
          <w:rFonts w:ascii="Arial" w:cs="Arial" w:eastAsia="Arial" w:hAnsi="Arial"/>
          <w:sz w:val="11"/>
          <w:szCs w:val="11"/>
          <w:color w:val="auto"/>
        </w:rPr>
      </w:pPr>
      <w:r>
        <w:rPr>
          <w:rFonts w:ascii="Arial" w:cs="Arial" w:eastAsia="Arial" w:hAnsi="Arial"/>
          <w:sz w:val="11"/>
          <w:szCs w:val="11"/>
          <w:color w:val="auto"/>
        </w:rPr>
        <w:t>Focus on fewer, bigger, more profitable brands and drive market share in the key categories of preschool, games, creativity, outdoor and action brands.</w:t>
      </w:r>
    </w:p>
    <w:p>
      <w:pPr>
        <w:ind w:left="2540" w:right="1079" w:hanging="208"/>
        <w:spacing w:after="0" w:line="239" w:lineRule="auto"/>
        <w:tabs>
          <w:tab w:leader="none" w:pos="2540" w:val="left"/>
        </w:tabs>
        <w:numPr>
          <w:ilvl w:val="0"/>
          <w:numId w:val="8"/>
        </w:numPr>
        <w:rPr>
          <w:rFonts w:ascii="Arial" w:cs="Arial" w:eastAsia="Arial" w:hAnsi="Arial"/>
          <w:sz w:val="11"/>
          <w:szCs w:val="11"/>
          <w:color w:val="auto"/>
        </w:rPr>
      </w:pPr>
      <w:r>
        <w:rPr>
          <w:rFonts w:ascii="Arial" w:cs="Arial" w:eastAsia="Arial" w:hAnsi="Arial"/>
          <w:sz w:val="11"/>
          <w:szCs w:val="11"/>
          <w:color w:val="auto"/>
        </w:rPr>
        <w:t>Develop our insights and analytics capabilities heavily focused on putting consumers at the center of everything we do, as we build multi-generational brands.</w:t>
      </w:r>
    </w:p>
    <w:p>
      <w:pPr>
        <w:ind w:left="2540" w:right="1139" w:hanging="208"/>
        <w:spacing w:after="0" w:line="245" w:lineRule="auto"/>
        <w:tabs>
          <w:tab w:leader="none" w:pos="2540" w:val="left"/>
        </w:tabs>
        <w:numPr>
          <w:ilvl w:val="0"/>
          <w:numId w:val="8"/>
        </w:numPr>
        <w:rPr>
          <w:rFonts w:ascii="Arial" w:cs="Arial" w:eastAsia="Arial" w:hAnsi="Arial"/>
          <w:sz w:val="11"/>
          <w:szCs w:val="11"/>
          <w:color w:val="auto"/>
        </w:rPr>
      </w:pPr>
      <w:r>
        <w:rPr>
          <w:rFonts w:ascii="Arial" w:cs="Arial" w:eastAsia="Arial" w:hAnsi="Arial"/>
          <w:sz w:val="11"/>
          <w:szCs w:val="11"/>
          <w:color w:val="auto"/>
        </w:rPr>
        <w:t>Entertainment investments focused on Hasbro IP aligned with our Blueprint 2.0 strategy, including merchandise and digital engagement opportunities with a focus on franchise brands.</w:t>
      </w:r>
    </w:p>
    <w:p>
      <w:pPr>
        <w:spacing w:after="0" w:line="83" w:lineRule="exact"/>
        <w:rPr>
          <w:sz w:val="20"/>
          <w:szCs w:val="20"/>
          <w:color w:val="auto"/>
        </w:rPr>
      </w:pPr>
    </w:p>
    <w:p>
      <w:pPr>
        <w:ind w:left="1980"/>
        <w:spacing w:after="0"/>
        <w:rPr>
          <w:sz w:val="20"/>
          <w:szCs w:val="20"/>
          <w:color w:val="auto"/>
        </w:rPr>
      </w:pPr>
      <w:r>
        <w:rPr>
          <w:rFonts w:ascii="Arial" w:cs="Arial" w:eastAsia="Arial" w:hAnsi="Arial"/>
          <w:sz w:val="11"/>
          <w:szCs w:val="11"/>
          <w:i w:val="1"/>
          <w:iCs w:val="1"/>
          <w:u w:val="single" w:color="auto"/>
          <w:color w:val="auto"/>
        </w:rPr>
        <w:t>Direct and Digital</w:t>
      </w:r>
    </w:p>
    <w:p>
      <w:pPr>
        <w:spacing w:after="0" w:line="27" w:lineRule="exact"/>
        <w:rPr>
          <w:sz w:val="20"/>
          <w:szCs w:val="20"/>
          <w:color w:val="auto"/>
        </w:rPr>
      </w:pPr>
    </w:p>
    <w:p>
      <w:pPr>
        <w:ind w:left="2540" w:right="859" w:hanging="208"/>
        <w:spacing w:after="0" w:line="245" w:lineRule="auto"/>
        <w:tabs>
          <w:tab w:leader="none" w:pos="2540" w:val="left"/>
        </w:tabs>
        <w:numPr>
          <w:ilvl w:val="0"/>
          <w:numId w:val="9"/>
        </w:numPr>
        <w:rPr>
          <w:rFonts w:ascii="Arial" w:cs="Arial" w:eastAsia="Arial" w:hAnsi="Arial"/>
          <w:sz w:val="11"/>
          <w:szCs w:val="11"/>
          <w:color w:val="auto"/>
        </w:rPr>
      </w:pPr>
      <w:r>
        <w:rPr>
          <w:rFonts w:ascii="Arial" w:cs="Arial" w:eastAsia="Arial" w:hAnsi="Arial"/>
          <w:sz w:val="11"/>
          <w:szCs w:val="11"/>
          <w:color w:val="auto"/>
        </w:rPr>
        <w:t xml:space="preserve">Invest in our Hasbro direct-to-consumer and digital business, inclusive of Hasbro PULSE, SECRET LAIR, </w:t>
      </w:r>
      <w:r>
        <w:rPr>
          <w:rFonts w:ascii="Arial" w:cs="Arial" w:eastAsia="Arial" w:hAnsi="Arial"/>
          <w:sz w:val="11"/>
          <w:szCs w:val="11"/>
          <w:i w:val="1"/>
          <w:iCs w:val="1"/>
          <w:color w:val="auto"/>
        </w:rPr>
        <w:t>MAGIC: THE GATHERING ARENA</w:t>
      </w:r>
      <w:r>
        <w:rPr>
          <w:rFonts w:ascii="Arial" w:cs="Arial" w:eastAsia="Arial" w:hAnsi="Arial"/>
          <w:sz w:val="11"/>
          <w:szCs w:val="11"/>
          <w:color w:val="auto"/>
        </w:rPr>
        <w:t xml:space="preserve"> and D&amp;D Beyond. An example of this investment includes our 2022 acquisition of D&amp;D Beyond, the premier digital content platform for DUNGEONS &amp; DRAGONS, for a purchase price of $146.3 million.</w:t>
      </w:r>
    </w:p>
    <w:p>
      <w:pPr>
        <w:ind w:left="2540" w:hanging="208"/>
        <w:spacing w:after="0"/>
        <w:tabs>
          <w:tab w:leader="none" w:pos="2540" w:val="left"/>
        </w:tabs>
        <w:numPr>
          <w:ilvl w:val="0"/>
          <w:numId w:val="9"/>
        </w:numPr>
        <w:rPr>
          <w:rFonts w:ascii="Arial" w:cs="Arial" w:eastAsia="Arial" w:hAnsi="Arial"/>
          <w:sz w:val="11"/>
          <w:szCs w:val="11"/>
          <w:color w:val="auto"/>
        </w:rPr>
      </w:pPr>
      <w:r>
        <w:rPr>
          <w:rFonts w:ascii="Arial" w:cs="Arial" w:eastAsia="Arial" w:hAnsi="Arial"/>
          <w:sz w:val="11"/>
          <w:szCs w:val="11"/>
          <w:color w:val="auto"/>
        </w:rPr>
        <w:t>Continue to cultivate digital licensing relationships that activate our brands.</w:t>
      </w:r>
    </w:p>
    <w:p>
      <w:pPr>
        <w:spacing w:after="0" w:line="89" w:lineRule="exact"/>
        <w:rPr>
          <w:sz w:val="20"/>
          <w:szCs w:val="20"/>
          <w:color w:val="auto"/>
        </w:rPr>
      </w:pPr>
    </w:p>
    <w:p>
      <w:pPr>
        <w:ind w:left="1980"/>
        <w:spacing w:after="0"/>
        <w:rPr>
          <w:sz w:val="20"/>
          <w:szCs w:val="20"/>
          <w:color w:val="auto"/>
        </w:rPr>
      </w:pPr>
      <w:r>
        <w:rPr>
          <w:rFonts w:ascii="Arial" w:cs="Arial" w:eastAsia="Arial" w:hAnsi="Arial"/>
          <w:sz w:val="11"/>
          <w:szCs w:val="11"/>
          <w:i w:val="1"/>
          <w:iCs w:val="1"/>
          <w:u w:val="single" w:color="auto"/>
          <w:color w:val="auto"/>
        </w:rPr>
        <w:t>Licensing</w:t>
      </w:r>
    </w:p>
    <w:p>
      <w:pPr>
        <w:spacing w:after="0" w:line="37" w:lineRule="exact"/>
        <w:rPr>
          <w:sz w:val="20"/>
          <w:szCs w:val="20"/>
          <w:color w:val="auto"/>
        </w:rPr>
      </w:pPr>
    </w:p>
    <w:p>
      <w:pPr>
        <w:ind w:left="2540" w:right="1359" w:hanging="208"/>
        <w:spacing w:after="0" w:line="245" w:lineRule="auto"/>
        <w:tabs>
          <w:tab w:leader="none" w:pos="25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Scale licensing of our brands through a growing portfolio of partners from theme park operators to toy companies, for consumers to experience our brands and drive communities of friendship and fandom around them.</w:t>
      </w:r>
    </w:p>
    <w:p>
      <w:pPr>
        <w:spacing w:after="0" w:line="74" w:lineRule="exact"/>
        <w:rPr>
          <w:sz w:val="20"/>
          <w:szCs w:val="20"/>
          <w:color w:val="auto"/>
        </w:rPr>
      </w:pPr>
    </w:p>
    <w:p>
      <w:pPr>
        <w:ind w:left="1980"/>
        <w:spacing w:after="0"/>
        <w:rPr>
          <w:sz w:val="20"/>
          <w:szCs w:val="20"/>
          <w:color w:val="auto"/>
        </w:rPr>
      </w:pPr>
      <w:r>
        <w:rPr>
          <w:rFonts w:ascii="Arial" w:cs="Arial" w:eastAsia="Arial" w:hAnsi="Arial"/>
          <w:sz w:val="11"/>
          <w:szCs w:val="11"/>
          <w:i w:val="1"/>
          <w:iCs w:val="1"/>
          <w:u w:val="single" w:color="auto"/>
          <w:color w:val="auto"/>
        </w:rPr>
        <w:t>People</w:t>
      </w:r>
    </w:p>
    <w:p>
      <w:pPr>
        <w:spacing w:after="0" w:line="37" w:lineRule="exact"/>
        <w:rPr>
          <w:sz w:val="20"/>
          <w:szCs w:val="20"/>
          <w:color w:val="auto"/>
        </w:rPr>
      </w:pPr>
    </w:p>
    <w:p>
      <w:pPr>
        <w:ind w:left="2540" w:right="1219" w:hanging="208"/>
        <w:spacing w:after="0" w:line="245" w:lineRule="auto"/>
        <w:tabs>
          <w:tab w:leader="none" w:pos="25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Invest in our people at all levels of our organization and continue to foster a diverse and inclusive culture that drives accountability and focuses on profitability.</w:t>
      </w:r>
    </w:p>
    <w:p>
      <w:pPr>
        <w:spacing w:after="0" w:line="83" w:lineRule="exact"/>
        <w:rPr>
          <w:sz w:val="20"/>
          <w:szCs w:val="20"/>
          <w:color w:val="auto"/>
        </w:rPr>
      </w:pPr>
    </w:p>
    <w:p>
      <w:pPr>
        <w:ind w:left="1980"/>
        <w:spacing w:after="0"/>
        <w:rPr>
          <w:sz w:val="20"/>
          <w:szCs w:val="20"/>
          <w:color w:val="auto"/>
        </w:rPr>
      </w:pPr>
      <w:r>
        <w:rPr>
          <w:rFonts w:ascii="Arial" w:cs="Arial" w:eastAsia="Arial" w:hAnsi="Arial"/>
          <w:sz w:val="11"/>
          <w:szCs w:val="11"/>
          <w:i w:val="1"/>
          <w:iCs w:val="1"/>
          <w:u w:val="single" w:color="auto"/>
          <w:color w:val="auto"/>
        </w:rPr>
        <w:t>Operational Excellence</w:t>
      </w:r>
    </w:p>
    <w:p>
      <w:pPr>
        <w:spacing w:after="0" w:line="37" w:lineRule="exact"/>
        <w:rPr>
          <w:sz w:val="20"/>
          <w:szCs w:val="20"/>
          <w:color w:val="auto"/>
        </w:rPr>
      </w:pPr>
    </w:p>
    <w:p>
      <w:pPr>
        <w:ind w:left="2540" w:hanging="208"/>
        <w:spacing w:after="0"/>
        <w:tabs>
          <w:tab w:leader="none" w:pos="25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Execute operational savings initiatives, including supply chain transformation, to improve operating results and reinvest in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153035</wp:posOffset>
            </wp:positionV>
            <wp:extent cx="4663440" cy="2686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7"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2022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1595120</wp:posOffset>
            </wp:positionH>
            <wp:positionV relativeFrom="paragraph">
              <wp:posOffset>281305</wp:posOffset>
            </wp:positionV>
            <wp:extent cx="3977640" cy="23888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977640" cy="2388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980" w:right="859"/>
        <w:spacing w:after="0" w:line="264" w:lineRule="auto"/>
        <w:rPr>
          <w:sz w:val="20"/>
          <w:szCs w:val="20"/>
          <w:color w:val="auto"/>
        </w:rPr>
      </w:pPr>
      <w:r>
        <w:rPr>
          <w:rFonts w:ascii="Arial" w:cs="Arial" w:eastAsia="Arial" w:hAnsi="Arial"/>
          <w:sz w:val="11"/>
          <w:szCs w:val="11"/>
          <w:i w:val="1"/>
          <w:iCs w:val="1"/>
          <w:color w:val="auto"/>
        </w:rPr>
        <w:t xml:space="preserve">Adjusted operating profit, adjusted net earnings and adjusted earnings per diluted share are non-GAAP financial measures as defined under SEC rules. A reconciliation of these non-GAAP financial measures to GAAP is provided in </w:t>
      </w:r>
      <w:r>
        <w:rPr>
          <w:rFonts w:ascii="Arial" w:cs="Arial" w:eastAsia="Arial" w:hAnsi="Arial"/>
          <w:sz w:val="11"/>
          <w:szCs w:val="11"/>
          <w:i w:val="1"/>
          <w:iCs w:val="1"/>
          <w:u w:val="single" w:color="auto"/>
          <w:color w:val="auto"/>
        </w:rPr>
        <w:t>Appendix A</w:t>
      </w:r>
      <w:r>
        <w:rPr>
          <w:rFonts w:ascii="Arial" w:cs="Arial" w:eastAsia="Arial" w:hAnsi="Arial"/>
          <w:sz w:val="11"/>
          <w:szCs w:val="11"/>
          <w:i w:val="1"/>
          <w:iCs w:val="1"/>
          <w:color w:val="auto"/>
        </w:rPr>
        <w:t xml:space="preserve">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51435</wp:posOffset>
            </wp:positionV>
            <wp:extent cx="3971925" cy="2171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28"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FCFCFC"/>
        </w:rPr>
        <w:t>iii</w:t>
      </w:r>
    </w:p>
    <w:p>
      <w:pPr>
        <w:sectPr>
          <w:pgSz w:w="11900" w:h="16838" w:orient="portrait"/>
          <w:cols w:equalWidth="0" w:num="1">
            <w:col w:w="10159"/>
          </w:cols>
          <w:pgMar w:left="300" w:top="372" w:right="1440"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136525</wp:posOffset>
            </wp:positionV>
            <wp:extent cx="4663440" cy="2686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4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Board Matters</w:t>
      </w:r>
    </w:p>
    <w:p>
      <w:pPr>
        <w:spacing w:after="0" w:line="26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Proposal 1 — Election of Directors</w:t>
      </w:r>
    </w:p>
    <w:p>
      <w:pPr>
        <w:spacing w:after="0" w:line="41" w:lineRule="exact"/>
        <w:rPr>
          <w:sz w:val="20"/>
          <w:szCs w:val="20"/>
          <w:color w:val="auto"/>
        </w:rPr>
      </w:pPr>
    </w:p>
    <w:p>
      <w:pPr>
        <w:ind w:left="1980" w:right="899"/>
        <w:spacing w:after="0"/>
        <w:rPr>
          <w:sz w:val="20"/>
          <w:szCs w:val="20"/>
          <w:color w:val="auto"/>
        </w:rPr>
      </w:pPr>
      <w:r>
        <w:rPr>
          <w:rFonts w:ascii="Arial" w:cs="Arial" w:eastAsia="Arial" w:hAnsi="Arial"/>
          <w:sz w:val="11"/>
          <w:szCs w:val="11"/>
          <w:color w:val="auto"/>
        </w:rPr>
        <w:t xml:space="preserve">The table below summarizes information about each of the eleven (11) director nominees nominated by your Board, including their current committees of the Board. Detailed information about each of your Board’s nominees, including their background, skills and areas of expertise, can be found beginning on page 1. </w:t>
      </w:r>
      <w:r>
        <w:rPr>
          <w:rFonts w:ascii="Arial" w:cs="Arial" w:eastAsia="Arial" w:hAnsi="Arial"/>
          <w:sz w:val="11"/>
          <w:szCs w:val="11"/>
          <w:b w:val="1"/>
          <w:bCs w:val="1"/>
          <w:color w:val="auto"/>
        </w:rPr>
        <w:t>Your Board of Directors unanimously recommends that you vote “FOR ALL” your Board’s director nominees.</w:t>
      </w:r>
      <w:r>
        <w:rPr>
          <w:rFonts w:ascii="Arial" w:cs="Arial" w:eastAsia="Arial" w:hAnsi="Arial"/>
          <w:sz w:val="11"/>
          <w:szCs w:val="11"/>
          <w:color w:val="auto"/>
        </w:rPr>
        <w:t xml:space="preserve"> In September 2022, we announced that Mr. Kenneth A. Bronfin and Mr. Edward M. Philip, our two longest tenured directors, would not be standing for re-election at the Annual Meeting.</w:t>
      </w:r>
    </w:p>
    <w:p>
      <w:pPr>
        <w:spacing w:after="0" w:line="158"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3420" w:type="dxa"/>
            <w:vAlign w:val="bottom"/>
            <w:shd w:val="clear" w:color="auto" w:fill="CCEBF8"/>
          </w:tcPr>
          <w:p>
            <w:pPr>
              <w:spacing w:after="0"/>
              <w:rPr>
                <w:sz w:val="14"/>
                <w:szCs w:val="14"/>
                <w:color w:val="auto"/>
              </w:rPr>
            </w:pPr>
          </w:p>
        </w:tc>
        <w:tc>
          <w:tcPr>
            <w:tcW w:w="520" w:type="dxa"/>
            <w:vAlign w:val="bottom"/>
            <w:shd w:val="clear" w:color="auto" w:fill="CCEBF8"/>
          </w:tcPr>
          <w:p>
            <w:pPr>
              <w:spacing w:after="0"/>
              <w:rPr>
                <w:sz w:val="14"/>
                <w:szCs w:val="14"/>
                <w:color w:val="auto"/>
              </w:rPr>
            </w:pPr>
          </w:p>
        </w:tc>
        <w:tc>
          <w:tcPr>
            <w:tcW w:w="580" w:type="dxa"/>
            <w:vAlign w:val="bottom"/>
            <w:shd w:val="clear" w:color="auto" w:fill="CCEBF8"/>
          </w:tcPr>
          <w:p>
            <w:pPr>
              <w:jc w:val="right"/>
              <w:ind w:right="52"/>
              <w:spacing w:after="0"/>
              <w:rPr>
                <w:sz w:val="20"/>
                <w:szCs w:val="20"/>
                <w:color w:val="auto"/>
              </w:rPr>
            </w:pPr>
            <w:r>
              <w:rPr>
                <w:rFonts w:ascii="Arial" w:cs="Arial" w:eastAsia="Arial" w:hAnsi="Arial"/>
                <w:sz w:val="10"/>
                <w:szCs w:val="10"/>
                <w:b w:val="1"/>
                <w:bCs w:val="1"/>
                <w:color w:val="009BDE"/>
              </w:rPr>
              <w:t>Director</w:t>
            </w:r>
          </w:p>
        </w:tc>
        <w:tc>
          <w:tcPr>
            <w:tcW w:w="800" w:type="dxa"/>
            <w:vAlign w:val="bottom"/>
            <w:shd w:val="clear" w:color="auto" w:fill="CCEBF8"/>
          </w:tcPr>
          <w:p>
            <w:pPr>
              <w:spacing w:after="0"/>
              <w:rPr>
                <w:sz w:val="14"/>
                <w:szCs w:val="14"/>
                <w:color w:val="auto"/>
              </w:rPr>
            </w:pPr>
          </w:p>
        </w:tc>
        <w:tc>
          <w:tcPr>
            <w:tcW w:w="340" w:type="dxa"/>
            <w:vAlign w:val="bottom"/>
            <w:shd w:val="clear" w:color="auto" w:fill="CCEBF8"/>
          </w:tcPr>
          <w:p>
            <w:pPr>
              <w:spacing w:after="0"/>
              <w:rPr>
                <w:sz w:val="14"/>
                <w:szCs w:val="14"/>
                <w:color w:val="auto"/>
              </w:rPr>
            </w:pPr>
          </w:p>
        </w:tc>
        <w:tc>
          <w:tcPr>
            <w:tcW w:w="480" w:type="dxa"/>
            <w:vAlign w:val="bottom"/>
            <w:shd w:val="clear" w:color="auto" w:fill="CCEBF8"/>
          </w:tcPr>
          <w:p>
            <w:pPr>
              <w:spacing w:after="0"/>
              <w:rPr>
                <w:sz w:val="14"/>
                <w:szCs w:val="14"/>
                <w:color w:val="auto"/>
              </w:rPr>
            </w:pPr>
          </w:p>
        </w:tc>
        <w:tc>
          <w:tcPr>
            <w:tcW w:w="500" w:type="dxa"/>
            <w:vAlign w:val="bottom"/>
            <w:shd w:val="clear" w:color="auto" w:fill="CCEBF8"/>
          </w:tcPr>
          <w:p>
            <w:pPr>
              <w:spacing w:after="0"/>
              <w:rPr>
                <w:sz w:val="14"/>
                <w:szCs w:val="14"/>
                <w:color w:val="auto"/>
              </w:rPr>
            </w:pPr>
          </w:p>
        </w:tc>
        <w:tc>
          <w:tcPr>
            <w:tcW w:w="700" w:type="dxa"/>
            <w:vAlign w:val="bottom"/>
            <w:shd w:val="clear" w:color="auto" w:fill="CCEBF8"/>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420" w:type="dxa"/>
            <w:vAlign w:val="bottom"/>
            <w:tcBorders>
              <w:bottom w:val="single" w:sz="8" w:color="009BDE"/>
            </w:tcBorders>
            <w:shd w:val="clear" w:color="auto" w:fill="CCEBF8"/>
          </w:tcPr>
          <w:p>
            <w:pPr>
              <w:ind w:left="40"/>
              <w:spacing w:after="0"/>
              <w:rPr>
                <w:sz w:val="20"/>
                <w:szCs w:val="20"/>
                <w:color w:val="auto"/>
              </w:rPr>
            </w:pPr>
            <w:r>
              <w:rPr>
                <w:rFonts w:ascii="Arial" w:cs="Arial" w:eastAsia="Arial" w:hAnsi="Arial"/>
                <w:sz w:val="10"/>
                <w:szCs w:val="10"/>
                <w:b w:val="1"/>
                <w:bCs w:val="1"/>
                <w:color w:val="009BDE"/>
              </w:rPr>
              <w:t>Name and Principal Occupation</w:t>
            </w:r>
          </w:p>
        </w:tc>
        <w:tc>
          <w:tcPr>
            <w:tcW w:w="520" w:type="dxa"/>
            <w:vAlign w:val="bottom"/>
            <w:tcBorders>
              <w:bottom w:val="single" w:sz="8" w:color="009BDE"/>
            </w:tcBorders>
            <w:shd w:val="clear" w:color="auto" w:fill="CCEBF8"/>
          </w:tcPr>
          <w:p>
            <w:pPr>
              <w:jc w:val="right"/>
              <w:ind w:right="52"/>
              <w:spacing w:after="0"/>
              <w:rPr>
                <w:sz w:val="20"/>
                <w:szCs w:val="20"/>
                <w:color w:val="auto"/>
              </w:rPr>
            </w:pPr>
            <w:r>
              <w:rPr>
                <w:rFonts w:ascii="Arial" w:cs="Arial" w:eastAsia="Arial" w:hAnsi="Arial"/>
                <w:sz w:val="10"/>
                <w:szCs w:val="10"/>
                <w:b w:val="1"/>
                <w:bCs w:val="1"/>
                <w:color w:val="009BDE"/>
              </w:rPr>
              <w:t>Age*</w:t>
            </w:r>
          </w:p>
        </w:tc>
        <w:tc>
          <w:tcPr>
            <w:tcW w:w="580" w:type="dxa"/>
            <w:vAlign w:val="bottom"/>
            <w:tcBorders>
              <w:bottom w:val="single" w:sz="8" w:color="009BDE"/>
            </w:tcBorders>
            <w:shd w:val="clear" w:color="auto" w:fill="CCEBF8"/>
          </w:tcPr>
          <w:p>
            <w:pPr>
              <w:jc w:val="right"/>
              <w:ind w:right="112"/>
              <w:spacing w:after="0"/>
              <w:rPr>
                <w:sz w:val="20"/>
                <w:szCs w:val="20"/>
                <w:color w:val="auto"/>
              </w:rPr>
            </w:pPr>
            <w:r>
              <w:rPr>
                <w:rFonts w:ascii="Arial" w:cs="Arial" w:eastAsia="Arial" w:hAnsi="Arial"/>
                <w:sz w:val="10"/>
                <w:szCs w:val="10"/>
                <w:b w:val="1"/>
                <w:bCs w:val="1"/>
                <w:color w:val="009BDE"/>
              </w:rPr>
              <w:t>Since</w:t>
            </w:r>
          </w:p>
        </w:tc>
        <w:tc>
          <w:tcPr>
            <w:tcW w:w="800" w:type="dxa"/>
            <w:vAlign w:val="bottom"/>
            <w:tcBorders>
              <w:bottom w:val="single" w:sz="8" w:color="009BDE"/>
            </w:tcBorders>
            <w:shd w:val="clear" w:color="auto" w:fill="CCEBF8"/>
          </w:tcPr>
          <w:p>
            <w:pPr>
              <w:ind w:left="120"/>
              <w:spacing w:after="0"/>
              <w:rPr>
                <w:sz w:val="20"/>
                <w:szCs w:val="20"/>
                <w:color w:val="auto"/>
              </w:rPr>
            </w:pPr>
            <w:r>
              <w:rPr>
                <w:rFonts w:ascii="Arial" w:cs="Arial" w:eastAsia="Arial" w:hAnsi="Arial"/>
                <w:sz w:val="10"/>
                <w:szCs w:val="10"/>
                <w:b w:val="1"/>
                <w:bCs w:val="1"/>
                <w:color w:val="009BDE"/>
              </w:rPr>
              <w:t>Independent</w:t>
            </w:r>
          </w:p>
        </w:tc>
        <w:tc>
          <w:tcPr>
            <w:tcW w:w="340" w:type="dxa"/>
            <w:vAlign w:val="bottom"/>
            <w:tcBorders>
              <w:bottom w:val="single" w:sz="8" w:color="009BDE"/>
            </w:tcBorders>
            <w:shd w:val="clear" w:color="auto" w:fill="CCEBF8"/>
          </w:tcPr>
          <w:p>
            <w:pPr>
              <w:ind w:left="120"/>
              <w:spacing w:after="0"/>
              <w:rPr>
                <w:sz w:val="20"/>
                <w:szCs w:val="20"/>
                <w:color w:val="auto"/>
              </w:rPr>
            </w:pPr>
            <w:r>
              <w:rPr>
                <w:rFonts w:ascii="Arial" w:cs="Arial" w:eastAsia="Arial" w:hAnsi="Arial"/>
                <w:sz w:val="10"/>
                <w:szCs w:val="10"/>
                <w:b w:val="1"/>
                <w:bCs w:val="1"/>
                <w:color w:val="009BDE"/>
              </w:rPr>
              <w:t>AC</w:t>
            </w:r>
          </w:p>
        </w:tc>
        <w:tc>
          <w:tcPr>
            <w:tcW w:w="480" w:type="dxa"/>
            <w:vAlign w:val="bottom"/>
            <w:tcBorders>
              <w:bottom w:val="single" w:sz="8" w:color="009BDE"/>
            </w:tcBorders>
            <w:shd w:val="clear" w:color="auto" w:fill="CCEBF8"/>
          </w:tcPr>
          <w:p>
            <w:pPr>
              <w:ind w:left="100"/>
              <w:spacing w:after="0"/>
              <w:rPr>
                <w:sz w:val="20"/>
                <w:szCs w:val="20"/>
                <w:color w:val="auto"/>
              </w:rPr>
            </w:pPr>
            <w:r>
              <w:rPr>
                <w:rFonts w:ascii="Arial" w:cs="Arial" w:eastAsia="Arial" w:hAnsi="Arial"/>
                <w:sz w:val="10"/>
                <w:szCs w:val="10"/>
                <w:b w:val="1"/>
                <w:bCs w:val="1"/>
                <w:color w:val="009BDE"/>
              </w:rPr>
              <w:t>Comp</w:t>
            </w:r>
          </w:p>
        </w:tc>
        <w:tc>
          <w:tcPr>
            <w:tcW w:w="500" w:type="dxa"/>
            <w:vAlign w:val="bottom"/>
            <w:tcBorders>
              <w:bottom w:val="single" w:sz="8" w:color="009BDE"/>
            </w:tcBorders>
            <w:shd w:val="clear" w:color="auto" w:fill="CCEBF8"/>
          </w:tcPr>
          <w:p>
            <w:pPr>
              <w:ind w:left="120"/>
              <w:spacing w:after="0"/>
              <w:rPr>
                <w:sz w:val="20"/>
                <w:szCs w:val="20"/>
                <w:color w:val="auto"/>
              </w:rPr>
            </w:pPr>
            <w:r>
              <w:rPr>
                <w:rFonts w:ascii="Arial" w:cs="Arial" w:eastAsia="Arial" w:hAnsi="Arial"/>
                <w:sz w:val="10"/>
                <w:szCs w:val="10"/>
                <w:b w:val="1"/>
                <w:bCs w:val="1"/>
                <w:color w:val="009BDE"/>
              </w:rPr>
              <w:t>Cyber</w:t>
            </w:r>
          </w:p>
        </w:tc>
        <w:tc>
          <w:tcPr>
            <w:tcW w:w="700" w:type="dxa"/>
            <w:vAlign w:val="bottom"/>
            <w:tcBorders>
              <w:bottom w:val="single" w:sz="8" w:color="009BDE"/>
            </w:tcBorders>
            <w:shd w:val="clear" w:color="auto" w:fill="CCEBF8"/>
          </w:tcPr>
          <w:p>
            <w:pPr>
              <w:ind w:left="120"/>
              <w:spacing w:after="0"/>
              <w:rPr>
                <w:sz w:val="20"/>
                <w:szCs w:val="20"/>
                <w:color w:val="auto"/>
              </w:rPr>
            </w:pPr>
            <w:r>
              <w:rPr>
                <w:rFonts w:ascii="Arial" w:cs="Arial" w:eastAsia="Arial" w:hAnsi="Arial"/>
                <w:sz w:val="10"/>
                <w:szCs w:val="10"/>
                <w:b w:val="1"/>
                <w:bCs w:val="1"/>
                <w:color w:val="009BDE"/>
              </w:rPr>
              <w:t>Fin  NGS</w:t>
            </w:r>
          </w:p>
        </w:tc>
        <w:tc>
          <w:tcPr>
            <w:tcW w:w="0" w:type="dxa"/>
            <w:vAlign w:val="bottom"/>
          </w:tcPr>
          <w:p>
            <w:pPr>
              <w:spacing w:after="0"/>
              <w:rPr>
                <w:sz w:val="1"/>
                <w:szCs w:val="1"/>
                <w:color w:val="auto"/>
              </w:rPr>
            </w:pPr>
          </w:p>
        </w:tc>
      </w:tr>
      <w:tr>
        <w:trPr>
          <w:trHeight w:val="140"/>
        </w:trPr>
        <w:tc>
          <w:tcPr>
            <w:tcW w:w="3420" w:type="dxa"/>
            <w:vAlign w:val="bottom"/>
          </w:tcPr>
          <w:p>
            <w:pPr>
              <w:ind w:left="40"/>
              <w:spacing w:after="0"/>
              <w:rPr>
                <w:sz w:val="20"/>
                <w:szCs w:val="20"/>
                <w:color w:val="auto"/>
              </w:rPr>
            </w:pPr>
            <w:r>
              <w:rPr>
                <w:rFonts w:ascii="Arial" w:cs="Arial" w:eastAsia="Arial" w:hAnsi="Arial"/>
                <w:sz w:val="10"/>
                <w:szCs w:val="10"/>
                <w:b w:val="1"/>
                <w:bCs w:val="1"/>
                <w:color w:val="auto"/>
              </w:rPr>
              <w:t>Michael R. Burns</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vMerge w:val="restart"/>
          </w:tcPr>
          <w:p>
            <w:pPr>
              <w:ind w:left="120"/>
              <w:spacing w:after="0" w:line="101" w:lineRule="exact"/>
              <w:rPr>
                <w:sz w:val="20"/>
                <w:szCs w:val="20"/>
                <w:color w:val="auto"/>
              </w:rPr>
            </w:pPr>
            <w:r>
              <w:rPr>
                <w:rFonts w:ascii="MS PGothic" w:cs="MS PGothic" w:eastAsia="MS PGothic" w:hAnsi="MS PGothic"/>
                <w:sz w:val="10"/>
                <w:szCs w:val="10"/>
                <w:color w:val="auto"/>
              </w:rPr>
              <w:t>✓</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420" w:type="dxa"/>
            <w:vAlign w:val="bottom"/>
          </w:tcPr>
          <w:p>
            <w:pPr>
              <w:ind w:left="40"/>
              <w:spacing w:after="0"/>
              <w:rPr>
                <w:sz w:val="20"/>
                <w:szCs w:val="20"/>
                <w:color w:val="auto"/>
              </w:rPr>
            </w:pPr>
            <w:r>
              <w:rPr>
                <w:rFonts w:ascii="Arial" w:cs="Arial" w:eastAsia="Arial" w:hAnsi="Arial"/>
                <w:sz w:val="10"/>
                <w:szCs w:val="10"/>
                <w:color w:val="auto"/>
              </w:rPr>
              <w:t>Vice Chairman of Lions Gate Entertainment Corp.</w:t>
            </w: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64</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2014</w:t>
            </w:r>
          </w:p>
        </w:tc>
        <w:tc>
          <w:tcPr>
            <w:tcW w:w="8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3420" w:type="dxa"/>
            <w:vAlign w:val="bottom"/>
            <w:tcBorders>
              <w:bottom w:val="single" w:sz="8" w:color="009BDE"/>
            </w:tcBorders>
          </w:tcPr>
          <w:p>
            <w:pPr>
              <w:spacing w:after="0"/>
              <w:rPr>
                <w:sz w:val="2"/>
                <w:szCs w:val="2"/>
                <w:color w:val="auto"/>
              </w:rPr>
            </w:pPr>
          </w:p>
        </w:tc>
        <w:tc>
          <w:tcPr>
            <w:tcW w:w="520" w:type="dxa"/>
            <w:vAlign w:val="bottom"/>
            <w:tcBorders>
              <w:bottom w:val="single" w:sz="8" w:color="009BDE"/>
            </w:tcBorders>
          </w:tcPr>
          <w:p>
            <w:pPr>
              <w:spacing w:after="0"/>
              <w:rPr>
                <w:sz w:val="2"/>
                <w:szCs w:val="2"/>
                <w:color w:val="auto"/>
              </w:rPr>
            </w:pPr>
          </w:p>
        </w:tc>
        <w:tc>
          <w:tcPr>
            <w:tcW w:w="580" w:type="dxa"/>
            <w:vAlign w:val="bottom"/>
            <w:tcBorders>
              <w:bottom w:val="single" w:sz="8" w:color="009BDE"/>
            </w:tcBorders>
          </w:tcPr>
          <w:p>
            <w:pPr>
              <w:spacing w:after="0"/>
              <w:rPr>
                <w:sz w:val="2"/>
                <w:szCs w:val="2"/>
                <w:color w:val="auto"/>
              </w:rPr>
            </w:pPr>
          </w:p>
        </w:tc>
        <w:tc>
          <w:tcPr>
            <w:tcW w:w="800" w:type="dxa"/>
            <w:vAlign w:val="bottom"/>
            <w:tcBorders>
              <w:bottom w:val="single" w:sz="8" w:color="009BDE"/>
            </w:tcBorders>
          </w:tcPr>
          <w:p>
            <w:pPr>
              <w:spacing w:after="0"/>
              <w:rPr>
                <w:sz w:val="2"/>
                <w:szCs w:val="2"/>
                <w:color w:val="auto"/>
              </w:rPr>
            </w:pPr>
          </w:p>
        </w:tc>
        <w:tc>
          <w:tcPr>
            <w:tcW w:w="340" w:type="dxa"/>
            <w:vAlign w:val="bottom"/>
            <w:tcBorders>
              <w:bottom w:val="single" w:sz="8" w:color="009BDE"/>
            </w:tcBorders>
          </w:tcPr>
          <w:p>
            <w:pPr>
              <w:spacing w:after="0"/>
              <w:rPr>
                <w:sz w:val="2"/>
                <w:szCs w:val="2"/>
                <w:color w:val="auto"/>
              </w:rPr>
            </w:pPr>
          </w:p>
        </w:tc>
        <w:tc>
          <w:tcPr>
            <w:tcW w:w="480" w:type="dxa"/>
            <w:vAlign w:val="bottom"/>
            <w:tcBorders>
              <w:bottom w:val="single" w:sz="8" w:color="009BDE"/>
            </w:tcBorders>
          </w:tcPr>
          <w:p>
            <w:pPr>
              <w:spacing w:after="0"/>
              <w:rPr>
                <w:sz w:val="2"/>
                <w:szCs w:val="2"/>
                <w:color w:val="auto"/>
              </w:rPr>
            </w:pPr>
          </w:p>
        </w:tc>
        <w:tc>
          <w:tcPr>
            <w:tcW w:w="500" w:type="dxa"/>
            <w:vAlign w:val="bottom"/>
            <w:tcBorders>
              <w:bottom w:val="single" w:sz="8" w:color="009BDE"/>
            </w:tcBorders>
          </w:tcPr>
          <w:p>
            <w:pPr>
              <w:spacing w:after="0"/>
              <w:rPr>
                <w:sz w:val="2"/>
                <w:szCs w:val="2"/>
                <w:color w:val="auto"/>
              </w:rPr>
            </w:pPr>
          </w:p>
        </w:tc>
        <w:tc>
          <w:tcPr>
            <w:tcW w:w="700" w:type="dxa"/>
            <w:vAlign w:val="bottom"/>
            <w:tcBorders>
              <w:bottom w:val="single" w:sz="8" w:color="009BDE"/>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3420" w:type="dxa"/>
            <w:vAlign w:val="bottom"/>
          </w:tcPr>
          <w:p>
            <w:pPr>
              <w:ind w:left="40"/>
              <w:spacing w:after="0"/>
              <w:rPr>
                <w:sz w:val="20"/>
                <w:szCs w:val="20"/>
                <w:color w:val="auto"/>
              </w:rPr>
            </w:pPr>
            <w:r>
              <w:rPr>
                <w:rFonts w:ascii="Arial" w:cs="Arial" w:eastAsia="Arial" w:hAnsi="Arial"/>
                <w:sz w:val="10"/>
                <w:szCs w:val="10"/>
                <w:b w:val="1"/>
                <w:bCs w:val="1"/>
                <w:color w:val="auto"/>
              </w:rPr>
              <w:t>Hope F. Cochran</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420" w:type="dxa"/>
            <w:vAlign w:val="bottom"/>
          </w:tcPr>
          <w:p>
            <w:pPr>
              <w:ind w:left="40"/>
              <w:spacing w:after="0"/>
              <w:rPr>
                <w:sz w:val="20"/>
                <w:szCs w:val="20"/>
                <w:color w:val="auto"/>
              </w:rPr>
            </w:pPr>
            <w:r>
              <w:rPr>
                <w:rFonts w:ascii="Arial" w:cs="Arial" w:eastAsia="Arial" w:hAnsi="Arial"/>
                <w:sz w:val="10"/>
                <w:szCs w:val="10"/>
                <w:color w:val="auto"/>
              </w:rPr>
              <w:t>Managing Director of Madrona Venture Group</w:t>
            </w:r>
          </w:p>
        </w:tc>
        <w:tc>
          <w:tcPr>
            <w:tcW w:w="520" w:type="dxa"/>
            <w:vAlign w:val="bottom"/>
            <w:vMerge w:val="restart"/>
          </w:tcPr>
          <w:p>
            <w:pPr>
              <w:jc w:val="right"/>
              <w:ind w:right="52"/>
              <w:spacing w:after="0"/>
              <w:rPr>
                <w:sz w:val="20"/>
                <w:szCs w:val="20"/>
                <w:color w:val="auto"/>
              </w:rPr>
            </w:pPr>
            <w:r>
              <w:rPr>
                <w:rFonts w:ascii="Arial" w:cs="Arial" w:eastAsia="Arial" w:hAnsi="Arial"/>
                <w:sz w:val="10"/>
                <w:szCs w:val="10"/>
                <w:color w:val="auto"/>
              </w:rPr>
              <w:t>51</w:t>
            </w:r>
          </w:p>
        </w:tc>
        <w:tc>
          <w:tcPr>
            <w:tcW w:w="580" w:type="dxa"/>
            <w:vAlign w:val="bottom"/>
            <w:vMerge w:val="restart"/>
          </w:tcPr>
          <w:p>
            <w:pPr>
              <w:jc w:val="right"/>
              <w:ind w:right="52"/>
              <w:spacing w:after="0"/>
              <w:rPr>
                <w:sz w:val="20"/>
                <w:szCs w:val="20"/>
                <w:color w:val="auto"/>
              </w:rPr>
            </w:pPr>
            <w:r>
              <w:rPr>
                <w:rFonts w:ascii="Arial" w:cs="Arial" w:eastAsia="Arial" w:hAnsi="Arial"/>
                <w:sz w:val="10"/>
                <w:szCs w:val="10"/>
                <w:color w:val="auto"/>
              </w:rPr>
              <w:t>2016</w:t>
            </w:r>
          </w:p>
        </w:tc>
        <w:tc>
          <w:tcPr>
            <w:tcW w:w="800" w:type="dxa"/>
            <w:vAlign w:val="bottom"/>
            <w:vMerge w:val="restart"/>
          </w:tcPr>
          <w:p>
            <w:pPr>
              <w:ind w:left="120"/>
              <w:spacing w:after="0" w:line="101" w:lineRule="exact"/>
              <w:rPr>
                <w:sz w:val="20"/>
                <w:szCs w:val="20"/>
                <w:color w:val="auto"/>
              </w:rPr>
            </w:pPr>
            <w:r>
              <w:rPr>
                <w:rFonts w:ascii="MS PGothic" w:cs="MS PGothic" w:eastAsia="MS PGothic" w:hAnsi="MS PGothic"/>
                <w:sz w:val="10"/>
                <w:szCs w:val="10"/>
                <w:color w:val="auto"/>
              </w:rPr>
              <w:t>✓</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34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3420" w:type="dxa"/>
            <w:vAlign w:val="bottom"/>
            <w:tcBorders>
              <w:bottom w:val="single" w:sz="8" w:color="009BDE"/>
            </w:tcBorders>
          </w:tcPr>
          <w:p>
            <w:pPr>
              <w:spacing w:after="0"/>
              <w:rPr>
                <w:sz w:val="2"/>
                <w:szCs w:val="2"/>
                <w:color w:val="auto"/>
              </w:rPr>
            </w:pPr>
          </w:p>
        </w:tc>
        <w:tc>
          <w:tcPr>
            <w:tcW w:w="520" w:type="dxa"/>
            <w:vAlign w:val="bottom"/>
            <w:tcBorders>
              <w:bottom w:val="single" w:sz="8" w:color="009BDE"/>
            </w:tcBorders>
          </w:tcPr>
          <w:p>
            <w:pPr>
              <w:spacing w:after="0"/>
              <w:rPr>
                <w:sz w:val="2"/>
                <w:szCs w:val="2"/>
                <w:color w:val="auto"/>
              </w:rPr>
            </w:pPr>
          </w:p>
        </w:tc>
        <w:tc>
          <w:tcPr>
            <w:tcW w:w="580" w:type="dxa"/>
            <w:vAlign w:val="bottom"/>
            <w:tcBorders>
              <w:bottom w:val="single" w:sz="8" w:color="009BDE"/>
            </w:tcBorders>
          </w:tcPr>
          <w:p>
            <w:pPr>
              <w:spacing w:after="0"/>
              <w:rPr>
                <w:sz w:val="2"/>
                <w:szCs w:val="2"/>
                <w:color w:val="auto"/>
              </w:rPr>
            </w:pPr>
          </w:p>
        </w:tc>
        <w:tc>
          <w:tcPr>
            <w:tcW w:w="800" w:type="dxa"/>
            <w:vAlign w:val="bottom"/>
            <w:tcBorders>
              <w:bottom w:val="single" w:sz="8" w:color="009BDE"/>
            </w:tcBorders>
          </w:tcPr>
          <w:p>
            <w:pPr>
              <w:spacing w:after="0"/>
              <w:rPr>
                <w:sz w:val="2"/>
                <w:szCs w:val="2"/>
                <w:color w:val="auto"/>
              </w:rPr>
            </w:pPr>
          </w:p>
        </w:tc>
        <w:tc>
          <w:tcPr>
            <w:tcW w:w="340" w:type="dxa"/>
            <w:vAlign w:val="bottom"/>
            <w:tcBorders>
              <w:bottom w:val="single" w:sz="8" w:color="009BDE"/>
            </w:tcBorders>
          </w:tcPr>
          <w:p>
            <w:pPr>
              <w:spacing w:after="0"/>
              <w:rPr>
                <w:sz w:val="2"/>
                <w:szCs w:val="2"/>
                <w:color w:val="auto"/>
              </w:rPr>
            </w:pPr>
          </w:p>
        </w:tc>
        <w:tc>
          <w:tcPr>
            <w:tcW w:w="480" w:type="dxa"/>
            <w:vAlign w:val="bottom"/>
            <w:tcBorders>
              <w:bottom w:val="single" w:sz="8" w:color="009BDE"/>
            </w:tcBorders>
          </w:tcPr>
          <w:p>
            <w:pPr>
              <w:spacing w:after="0"/>
              <w:rPr>
                <w:sz w:val="2"/>
                <w:szCs w:val="2"/>
                <w:color w:val="auto"/>
              </w:rPr>
            </w:pPr>
          </w:p>
        </w:tc>
        <w:tc>
          <w:tcPr>
            <w:tcW w:w="500" w:type="dxa"/>
            <w:vAlign w:val="bottom"/>
            <w:tcBorders>
              <w:bottom w:val="single" w:sz="8" w:color="009BDE"/>
            </w:tcBorders>
          </w:tcPr>
          <w:p>
            <w:pPr>
              <w:spacing w:after="0"/>
              <w:rPr>
                <w:sz w:val="2"/>
                <w:szCs w:val="2"/>
                <w:color w:val="auto"/>
              </w:rPr>
            </w:pPr>
          </w:p>
        </w:tc>
        <w:tc>
          <w:tcPr>
            <w:tcW w:w="700" w:type="dxa"/>
            <w:vAlign w:val="bottom"/>
            <w:tcBorders>
              <w:bottom w:val="single" w:sz="8" w:color="009BDE"/>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3420" w:type="dxa"/>
            <w:vAlign w:val="bottom"/>
          </w:tcPr>
          <w:p>
            <w:pPr>
              <w:ind w:left="40"/>
              <w:spacing w:after="0"/>
              <w:rPr>
                <w:sz w:val="20"/>
                <w:szCs w:val="20"/>
                <w:color w:val="auto"/>
              </w:rPr>
            </w:pPr>
            <w:r>
              <w:rPr>
                <w:rFonts w:ascii="Arial" w:cs="Arial" w:eastAsia="Arial" w:hAnsi="Arial"/>
                <w:sz w:val="10"/>
                <w:szCs w:val="10"/>
                <w:b w:val="1"/>
                <w:bCs w:val="1"/>
                <w:color w:val="auto"/>
              </w:rPr>
              <w:t>Christian P. Cocks</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420" w:type="dxa"/>
            <w:vAlign w:val="bottom"/>
          </w:tcPr>
          <w:p>
            <w:pPr>
              <w:ind w:left="40"/>
              <w:spacing w:after="0"/>
              <w:rPr>
                <w:sz w:val="20"/>
                <w:szCs w:val="20"/>
                <w:color w:val="auto"/>
              </w:rPr>
            </w:pPr>
            <w:r>
              <w:rPr>
                <w:rFonts w:ascii="Arial" w:cs="Arial" w:eastAsia="Arial" w:hAnsi="Arial"/>
                <w:sz w:val="10"/>
                <w:szCs w:val="10"/>
                <w:color w:val="auto"/>
              </w:rPr>
              <w:t>Chief Executive Officer of Hasbro</w:t>
            </w: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49</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2022</w:t>
            </w: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3420" w:type="dxa"/>
            <w:vAlign w:val="bottom"/>
            <w:tcBorders>
              <w:bottom w:val="single" w:sz="8" w:color="009BDE"/>
            </w:tcBorders>
          </w:tcPr>
          <w:p>
            <w:pPr>
              <w:spacing w:after="0"/>
              <w:rPr>
                <w:sz w:val="3"/>
                <w:szCs w:val="3"/>
                <w:color w:val="auto"/>
              </w:rPr>
            </w:pPr>
          </w:p>
        </w:tc>
        <w:tc>
          <w:tcPr>
            <w:tcW w:w="520" w:type="dxa"/>
            <w:vAlign w:val="bottom"/>
            <w:tcBorders>
              <w:bottom w:val="single" w:sz="8" w:color="009BDE"/>
            </w:tcBorders>
          </w:tcPr>
          <w:p>
            <w:pPr>
              <w:spacing w:after="0"/>
              <w:rPr>
                <w:sz w:val="3"/>
                <w:szCs w:val="3"/>
                <w:color w:val="auto"/>
              </w:rPr>
            </w:pPr>
          </w:p>
        </w:tc>
        <w:tc>
          <w:tcPr>
            <w:tcW w:w="580" w:type="dxa"/>
            <w:vAlign w:val="bottom"/>
            <w:tcBorders>
              <w:bottom w:val="single" w:sz="8" w:color="009BDE"/>
            </w:tcBorders>
          </w:tcPr>
          <w:p>
            <w:pPr>
              <w:spacing w:after="0"/>
              <w:rPr>
                <w:sz w:val="3"/>
                <w:szCs w:val="3"/>
                <w:color w:val="auto"/>
              </w:rPr>
            </w:pPr>
          </w:p>
        </w:tc>
        <w:tc>
          <w:tcPr>
            <w:tcW w:w="800" w:type="dxa"/>
            <w:vAlign w:val="bottom"/>
            <w:tcBorders>
              <w:bottom w:val="single" w:sz="8" w:color="009BDE"/>
            </w:tcBorders>
          </w:tcPr>
          <w:p>
            <w:pPr>
              <w:spacing w:after="0"/>
              <w:rPr>
                <w:sz w:val="3"/>
                <w:szCs w:val="3"/>
                <w:color w:val="auto"/>
              </w:rPr>
            </w:pPr>
          </w:p>
        </w:tc>
        <w:tc>
          <w:tcPr>
            <w:tcW w:w="340" w:type="dxa"/>
            <w:vAlign w:val="bottom"/>
            <w:tcBorders>
              <w:bottom w:val="single" w:sz="8" w:color="009BDE"/>
            </w:tcBorders>
          </w:tcPr>
          <w:p>
            <w:pPr>
              <w:spacing w:after="0"/>
              <w:rPr>
                <w:sz w:val="3"/>
                <w:szCs w:val="3"/>
                <w:color w:val="auto"/>
              </w:rPr>
            </w:pPr>
          </w:p>
        </w:tc>
        <w:tc>
          <w:tcPr>
            <w:tcW w:w="480" w:type="dxa"/>
            <w:vAlign w:val="bottom"/>
            <w:tcBorders>
              <w:bottom w:val="single" w:sz="8" w:color="009BDE"/>
            </w:tcBorders>
          </w:tcPr>
          <w:p>
            <w:pPr>
              <w:spacing w:after="0"/>
              <w:rPr>
                <w:sz w:val="3"/>
                <w:szCs w:val="3"/>
                <w:color w:val="auto"/>
              </w:rPr>
            </w:pPr>
          </w:p>
        </w:tc>
        <w:tc>
          <w:tcPr>
            <w:tcW w:w="500" w:type="dxa"/>
            <w:vAlign w:val="bottom"/>
            <w:tcBorders>
              <w:bottom w:val="single" w:sz="8" w:color="009BDE"/>
            </w:tcBorders>
          </w:tcPr>
          <w:p>
            <w:pPr>
              <w:spacing w:after="0"/>
              <w:rPr>
                <w:sz w:val="3"/>
                <w:szCs w:val="3"/>
                <w:color w:val="auto"/>
              </w:rPr>
            </w:pPr>
          </w:p>
        </w:tc>
        <w:tc>
          <w:tcPr>
            <w:tcW w:w="700" w:type="dxa"/>
            <w:vAlign w:val="bottom"/>
            <w:tcBorders>
              <w:bottom w:val="single" w:sz="8" w:color="009BDE"/>
            </w:tcBorders>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3420" w:type="dxa"/>
            <w:vAlign w:val="bottom"/>
          </w:tcPr>
          <w:p>
            <w:pPr>
              <w:ind w:left="40"/>
              <w:spacing w:after="0"/>
              <w:rPr>
                <w:sz w:val="20"/>
                <w:szCs w:val="20"/>
                <w:color w:val="auto"/>
              </w:rPr>
            </w:pPr>
            <w:r>
              <w:rPr>
                <w:rFonts w:ascii="Arial" w:cs="Arial" w:eastAsia="Arial" w:hAnsi="Arial"/>
                <w:sz w:val="10"/>
                <w:szCs w:val="10"/>
                <w:b w:val="1"/>
                <w:bCs w:val="1"/>
                <w:color w:val="auto"/>
              </w:rPr>
              <w:t>Lisa Gersh</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vMerge w:val="restart"/>
          </w:tcPr>
          <w:p>
            <w:pPr>
              <w:ind w:left="120"/>
              <w:spacing w:after="0" w:line="101" w:lineRule="exact"/>
              <w:rPr>
                <w:sz w:val="20"/>
                <w:szCs w:val="20"/>
                <w:color w:val="auto"/>
              </w:rPr>
            </w:pPr>
            <w:r>
              <w:rPr>
                <w:rFonts w:ascii="MS PGothic" w:cs="MS PGothic" w:eastAsia="MS PGothic" w:hAnsi="MS PGothic"/>
                <w:sz w:val="10"/>
                <w:szCs w:val="10"/>
                <w:color w:val="auto"/>
              </w:rPr>
              <w:t>✓</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420" w:type="dxa"/>
            <w:vAlign w:val="bottom"/>
          </w:tcPr>
          <w:p>
            <w:pPr>
              <w:ind w:left="40"/>
              <w:spacing w:after="0"/>
              <w:rPr>
                <w:sz w:val="20"/>
                <w:szCs w:val="20"/>
                <w:color w:val="auto"/>
              </w:rPr>
            </w:pPr>
            <w:r>
              <w:rPr>
                <w:rFonts w:ascii="Arial" w:cs="Arial" w:eastAsia="Arial" w:hAnsi="Arial"/>
                <w:sz w:val="10"/>
                <w:szCs w:val="10"/>
                <w:color w:val="auto"/>
              </w:rPr>
              <w:t>Outside Advisor; Former Chief Executive Officer of Alexander Wang</w:t>
            </w: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64</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2010</w:t>
            </w:r>
          </w:p>
        </w:tc>
        <w:tc>
          <w:tcPr>
            <w:tcW w:w="8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3420" w:type="dxa"/>
            <w:vAlign w:val="bottom"/>
            <w:tcBorders>
              <w:bottom w:val="single" w:sz="8" w:color="009BDE"/>
            </w:tcBorders>
          </w:tcPr>
          <w:p>
            <w:pPr>
              <w:spacing w:after="0"/>
              <w:rPr>
                <w:sz w:val="2"/>
                <w:szCs w:val="2"/>
                <w:color w:val="auto"/>
              </w:rPr>
            </w:pPr>
          </w:p>
        </w:tc>
        <w:tc>
          <w:tcPr>
            <w:tcW w:w="520" w:type="dxa"/>
            <w:vAlign w:val="bottom"/>
            <w:tcBorders>
              <w:bottom w:val="single" w:sz="8" w:color="009BDE"/>
            </w:tcBorders>
          </w:tcPr>
          <w:p>
            <w:pPr>
              <w:spacing w:after="0"/>
              <w:rPr>
                <w:sz w:val="2"/>
                <w:szCs w:val="2"/>
                <w:color w:val="auto"/>
              </w:rPr>
            </w:pPr>
          </w:p>
        </w:tc>
        <w:tc>
          <w:tcPr>
            <w:tcW w:w="580" w:type="dxa"/>
            <w:vAlign w:val="bottom"/>
            <w:tcBorders>
              <w:bottom w:val="single" w:sz="8" w:color="009BDE"/>
            </w:tcBorders>
          </w:tcPr>
          <w:p>
            <w:pPr>
              <w:spacing w:after="0"/>
              <w:rPr>
                <w:sz w:val="2"/>
                <w:szCs w:val="2"/>
                <w:color w:val="auto"/>
              </w:rPr>
            </w:pPr>
          </w:p>
        </w:tc>
        <w:tc>
          <w:tcPr>
            <w:tcW w:w="800" w:type="dxa"/>
            <w:vAlign w:val="bottom"/>
            <w:tcBorders>
              <w:bottom w:val="single" w:sz="8" w:color="009BDE"/>
            </w:tcBorders>
          </w:tcPr>
          <w:p>
            <w:pPr>
              <w:spacing w:after="0"/>
              <w:rPr>
                <w:sz w:val="2"/>
                <w:szCs w:val="2"/>
                <w:color w:val="auto"/>
              </w:rPr>
            </w:pPr>
          </w:p>
        </w:tc>
        <w:tc>
          <w:tcPr>
            <w:tcW w:w="340" w:type="dxa"/>
            <w:vAlign w:val="bottom"/>
            <w:tcBorders>
              <w:bottom w:val="single" w:sz="8" w:color="009BDE"/>
            </w:tcBorders>
          </w:tcPr>
          <w:p>
            <w:pPr>
              <w:spacing w:after="0"/>
              <w:rPr>
                <w:sz w:val="2"/>
                <w:szCs w:val="2"/>
                <w:color w:val="auto"/>
              </w:rPr>
            </w:pPr>
          </w:p>
        </w:tc>
        <w:tc>
          <w:tcPr>
            <w:tcW w:w="480" w:type="dxa"/>
            <w:vAlign w:val="bottom"/>
            <w:tcBorders>
              <w:bottom w:val="single" w:sz="8" w:color="009BDE"/>
            </w:tcBorders>
          </w:tcPr>
          <w:p>
            <w:pPr>
              <w:spacing w:after="0"/>
              <w:rPr>
                <w:sz w:val="2"/>
                <w:szCs w:val="2"/>
                <w:color w:val="auto"/>
              </w:rPr>
            </w:pPr>
          </w:p>
        </w:tc>
        <w:tc>
          <w:tcPr>
            <w:tcW w:w="500" w:type="dxa"/>
            <w:vAlign w:val="bottom"/>
            <w:tcBorders>
              <w:bottom w:val="single" w:sz="8" w:color="009BDE"/>
            </w:tcBorders>
          </w:tcPr>
          <w:p>
            <w:pPr>
              <w:spacing w:after="0"/>
              <w:rPr>
                <w:sz w:val="2"/>
                <w:szCs w:val="2"/>
                <w:color w:val="auto"/>
              </w:rPr>
            </w:pPr>
          </w:p>
        </w:tc>
        <w:tc>
          <w:tcPr>
            <w:tcW w:w="700" w:type="dxa"/>
            <w:vAlign w:val="bottom"/>
            <w:tcBorders>
              <w:bottom w:val="single" w:sz="8" w:color="009BDE"/>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3420" w:type="dxa"/>
            <w:vAlign w:val="bottom"/>
          </w:tcPr>
          <w:p>
            <w:pPr>
              <w:ind w:left="40"/>
              <w:spacing w:after="0"/>
              <w:rPr>
                <w:sz w:val="20"/>
                <w:szCs w:val="20"/>
                <w:color w:val="auto"/>
              </w:rPr>
            </w:pPr>
            <w:r>
              <w:rPr>
                <w:rFonts w:ascii="Arial" w:cs="Arial" w:eastAsia="Arial" w:hAnsi="Arial"/>
                <w:sz w:val="10"/>
                <w:szCs w:val="10"/>
                <w:b w:val="1"/>
                <w:bCs w:val="1"/>
                <w:color w:val="auto"/>
              </w:rPr>
              <w:t>Elizabeth Hamren</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vMerge w:val="restart"/>
          </w:tcPr>
          <w:p>
            <w:pPr>
              <w:ind w:left="120"/>
              <w:spacing w:after="0" w:line="101" w:lineRule="exact"/>
              <w:rPr>
                <w:sz w:val="20"/>
                <w:szCs w:val="20"/>
                <w:color w:val="auto"/>
              </w:rPr>
            </w:pPr>
            <w:r>
              <w:rPr>
                <w:rFonts w:ascii="MS PGothic" w:cs="MS PGothic" w:eastAsia="MS PGothic" w:hAnsi="MS PGothic"/>
                <w:sz w:val="10"/>
                <w:szCs w:val="10"/>
                <w:color w:val="auto"/>
              </w:rPr>
              <w:t>✓</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420" w:type="dxa"/>
            <w:vAlign w:val="bottom"/>
          </w:tcPr>
          <w:p>
            <w:pPr>
              <w:ind w:left="40"/>
              <w:spacing w:after="0"/>
              <w:rPr>
                <w:sz w:val="20"/>
                <w:szCs w:val="20"/>
                <w:color w:val="auto"/>
              </w:rPr>
            </w:pPr>
            <w:r>
              <w:rPr>
                <w:rFonts w:ascii="Arial" w:cs="Arial" w:eastAsia="Arial" w:hAnsi="Arial"/>
                <w:sz w:val="10"/>
                <w:szCs w:val="10"/>
                <w:color w:val="auto"/>
              </w:rPr>
              <w:t>Chief Executive Officer of Ring, Inc.</w:t>
            </w: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51</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2022</w:t>
            </w:r>
          </w:p>
        </w:tc>
        <w:tc>
          <w:tcPr>
            <w:tcW w:w="8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3420" w:type="dxa"/>
            <w:vAlign w:val="bottom"/>
            <w:tcBorders>
              <w:bottom w:val="single" w:sz="8" w:color="009BDE"/>
            </w:tcBorders>
          </w:tcPr>
          <w:p>
            <w:pPr>
              <w:spacing w:after="0"/>
              <w:rPr>
                <w:sz w:val="2"/>
                <w:szCs w:val="2"/>
                <w:color w:val="auto"/>
              </w:rPr>
            </w:pPr>
          </w:p>
        </w:tc>
        <w:tc>
          <w:tcPr>
            <w:tcW w:w="520" w:type="dxa"/>
            <w:vAlign w:val="bottom"/>
            <w:tcBorders>
              <w:bottom w:val="single" w:sz="8" w:color="009BDE"/>
            </w:tcBorders>
          </w:tcPr>
          <w:p>
            <w:pPr>
              <w:spacing w:after="0"/>
              <w:rPr>
                <w:sz w:val="2"/>
                <w:szCs w:val="2"/>
                <w:color w:val="auto"/>
              </w:rPr>
            </w:pPr>
          </w:p>
        </w:tc>
        <w:tc>
          <w:tcPr>
            <w:tcW w:w="580" w:type="dxa"/>
            <w:vAlign w:val="bottom"/>
            <w:tcBorders>
              <w:bottom w:val="single" w:sz="8" w:color="009BDE"/>
            </w:tcBorders>
          </w:tcPr>
          <w:p>
            <w:pPr>
              <w:spacing w:after="0"/>
              <w:rPr>
                <w:sz w:val="2"/>
                <w:szCs w:val="2"/>
                <w:color w:val="auto"/>
              </w:rPr>
            </w:pPr>
          </w:p>
        </w:tc>
        <w:tc>
          <w:tcPr>
            <w:tcW w:w="800" w:type="dxa"/>
            <w:vAlign w:val="bottom"/>
            <w:tcBorders>
              <w:bottom w:val="single" w:sz="8" w:color="009BDE"/>
            </w:tcBorders>
          </w:tcPr>
          <w:p>
            <w:pPr>
              <w:spacing w:after="0"/>
              <w:rPr>
                <w:sz w:val="2"/>
                <w:szCs w:val="2"/>
                <w:color w:val="auto"/>
              </w:rPr>
            </w:pPr>
          </w:p>
        </w:tc>
        <w:tc>
          <w:tcPr>
            <w:tcW w:w="340" w:type="dxa"/>
            <w:vAlign w:val="bottom"/>
            <w:tcBorders>
              <w:bottom w:val="single" w:sz="8" w:color="009BDE"/>
            </w:tcBorders>
          </w:tcPr>
          <w:p>
            <w:pPr>
              <w:spacing w:after="0"/>
              <w:rPr>
                <w:sz w:val="2"/>
                <w:szCs w:val="2"/>
                <w:color w:val="auto"/>
              </w:rPr>
            </w:pPr>
          </w:p>
        </w:tc>
        <w:tc>
          <w:tcPr>
            <w:tcW w:w="480" w:type="dxa"/>
            <w:vAlign w:val="bottom"/>
            <w:tcBorders>
              <w:bottom w:val="single" w:sz="8" w:color="009BDE"/>
            </w:tcBorders>
          </w:tcPr>
          <w:p>
            <w:pPr>
              <w:spacing w:after="0"/>
              <w:rPr>
                <w:sz w:val="2"/>
                <w:szCs w:val="2"/>
                <w:color w:val="auto"/>
              </w:rPr>
            </w:pPr>
          </w:p>
        </w:tc>
        <w:tc>
          <w:tcPr>
            <w:tcW w:w="500" w:type="dxa"/>
            <w:vAlign w:val="bottom"/>
            <w:tcBorders>
              <w:bottom w:val="single" w:sz="8" w:color="009BDE"/>
            </w:tcBorders>
          </w:tcPr>
          <w:p>
            <w:pPr>
              <w:spacing w:after="0"/>
              <w:rPr>
                <w:sz w:val="2"/>
                <w:szCs w:val="2"/>
                <w:color w:val="auto"/>
              </w:rPr>
            </w:pPr>
          </w:p>
        </w:tc>
        <w:tc>
          <w:tcPr>
            <w:tcW w:w="700" w:type="dxa"/>
            <w:vAlign w:val="bottom"/>
            <w:tcBorders>
              <w:bottom w:val="single" w:sz="8" w:color="009BDE"/>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3420" w:type="dxa"/>
            <w:vAlign w:val="bottom"/>
          </w:tcPr>
          <w:p>
            <w:pPr>
              <w:ind w:left="40"/>
              <w:spacing w:after="0"/>
              <w:rPr>
                <w:sz w:val="20"/>
                <w:szCs w:val="20"/>
                <w:color w:val="auto"/>
              </w:rPr>
            </w:pPr>
            <w:r>
              <w:rPr>
                <w:rFonts w:ascii="Arial" w:cs="Arial" w:eastAsia="Arial" w:hAnsi="Arial"/>
                <w:sz w:val="10"/>
                <w:szCs w:val="10"/>
                <w:b w:val="1"/>
                <w:bCs w:val="1"/>
                <w:color w:val="auto"/>
              </w:rPr>
              <w:t>Blake Jorgensen</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vMerge w:val="restart"/>
          </w:tcPr>
          <w:p>
            <w:pPr>
              <w:ind w:left="120"/>
              <w:spacing w:after="0" w:line="101" w:lineRule="exact"/>
              <w:rPr>
                <w:sz w:val="20"/>
                <w:szCs w:val="20"/>
                <w:color w:val="auto"/>
              </w:rPr>
            </w:pPr>
            <w:r>
              <w:rPr>
                <w:rFonts w:ascii="MS PGothic" w:cs="MS PGothic" w:eastAsia="MS PGothic" w:hAnsi="MS PGothic"/>
                <w:sz w:val="10"/>
                <w:szCs w:val="10"/>
                <w:color w:val="auto"/>
              </w:rPr>
              <w:t>✓</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420" w:type="dxa"/>
            <w:vAlign w:val="bottom"/>
          </w:tcPr>
          <w:p>
            <w:pPr>
              <w:ind w:left="40"/>
              <w:spacing w:after="0"/>
              <w:rPr>
                <w:sz w:val="20"/>
                <w:szCs w:val="20"/>
                <w:color w:val="auto"/>
              </w:rPr>
            </w:pPr>
            <w:r>
              <w:rPr>
                <w:rFonts w:ascii="Arial" w:cs="Arial" w:eastAsia="Arial" w:hAnsi="Arial"/>
                <w:sz w:val="10"/>
                <w:szCs w:val="10"/>
                <w:color w:val="auto"/>
              </w:rPr>
              <w:t>Special Advisor and Former Chief Financial Officer of PayPal Holdings, Inc.</w:t>
            </w: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63</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2022</w:t>
            </w:r>
          </w:p>
        </w:tc>
        <w:tc>
          <w:tcPr>
            <w:tcW w:w="8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3420" w:type="dxa"/>
            <w:vAlign w:val="bottom"/>
            <w:tcBorders>
              <w:bottom w:val="single" w:sz="8" w:color="009BDE"/>
            </w:tcBorders>
          </w:tcPr>
          <w:p>
            <w:pPr>
              <w:spacing w:after="0"/>
              <w:rPr>
                <w:sz w:val="2"/>
                <w:szCs w:val="2"/>
                <w:color w:val="auto"/>
              </w:rPr>
            </w:pPr>
          </w:p>
        </w:tc>
        <w:tc>
          <w:tcPr>
            <w:tcW w:w="520" w:type="dxa"/>
            <w:vAlign w:val="bottom"/>
            <w:tcBorders>
              <w:bottom w:val="single" w:sz="8" w:color="009BDE"/>
            </w:tcBorders>
          </w:tcPr>
          <w:p>
            <w:pPr>
              <w:spacing w:after="0"/>
              <w:rPr>
                <w:sz w:val="2"/>
                <w:szCs w:val="2"/>
                <w:color w:val="auto"/>
              </w:rPr>
            </w:pPr>
          </w:p>
        </w:tc>
        <w:tc>
          <w:tcPr>
            <w:tcW w:w="580" w:type="dxa"/>
            <w:vAlign w:val="bottom"/>
            <w:tcBorders>
              <w:bottom w:val="single" w:sz="8" w:color="009BDE"/>
            </w:tcBorders>
          </w:tcPr>
          <w:p>
            <w:pPr>
              <w:spacing w:after="0"/>
              <w:rPr>
                <w:sz w:val="2"/>
                <w:szCs w:val="2"/>
                <w:color w:val="auto"/>
              </w:rPr>
            </w:pPr>
          </w:p>
        </w:tc>
        <w:tc>
          <w:tcPr>
            <w:tcW w:w="800" w:type="dxa"/>
            <w:vAlign w:val="bottom"/>
            <w:tcBorders>
              <w:bottom w:val="single" w:sz="8" w:color="009BDE"/>
            </w:tcBorders>
          </w:tcPr>
          <w:p>
            <w:pPr>
              <w:spacing w:after="0"/>
              <w:rPr>
                <w:sz w:val="2"/>
                <w:szCs w:val="2"/>
                <w:color w:val="auto"/>
              </w:rPr>
            </w:pPr>
          </w:p>
        </w:tc>
        <w:tc>
          <w:tcPr>
            <w:tcW w:w="340" w:type="dxa"/>
            <w:vAlign w:val="bottom"/>
            <w:tcBorders>
              <w:bottom w:val="single" w:sz="8" w:color="009BDE"/>
            </w:tcBorders>
          </w:tcPr>
          <w:p>
            <w:pPr>
              <w:spacing w:after="0"/>
              <w:rPr>
                <w:sz w:val="2"/>
                <w:szCs w:val="2"/>
                <w:color w:val="auto"/>
              </w:rPr>
            </w:pPr>
          </w:p>
        </w:tc>
        <w:tc>
          <w:tcPr>
            <w:tcW w:w="480" w:type="dxa"/>
            <w:vAlign w:val="bottom"/>
            <w:tcBorders>
              <w:bottom w:val="single" w:sz="8" w:color="009BDE"/>
            </w:tcBorders>
          </w:tcPr>
          <w:p>
            <w:pPr>
              <w:spacing w:after="0"/>
              <w:rPr>
                <w:sz w:val="2"/>
                <w:szCs w:val="2"/>
                <w:color w:val="auto"/>
              </w:rPr>
            </w:pPr>
          </w:p>
        </w:tc>
        <w:tc>
          <w:tcPr>
            <w:tcW w:w="500" w:type="dxa"/>
            <w:vAlign w:val="bottom"/>
            <w:tcBorders>
              <w:bottom w:val="single" w:sz="8" w:color="009BDE"/>
            </w:tcBorders>
          </w:tcPr>
          <w:p>
            <w:pPr>
              <w:spacing w:after="0"/>
              <w:rPr>
                <w:sz w:val="2"/>
                <w:szCs w:val="2"/>
                <w:color w:val="auto"/>
              </w:rPr>
            </w:pPr>
          </w:p>
        </w:tc>
        <w:tc>
          <w:tcPr>
            <w:tcW w:w="700" w:type="dxa"/>
            <w:vAlign w:val="bottom"/>
            <w:tcBorders>
              <w:bottom w:val="single" w:sz="8" w:color="009BDE"/>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3420" w:type="dxa"/>
            <w:vAlign w:val="bottom"/>
          </w:tcPr>
          <w:p>
            <w:pPr>
              <w:ind w:left="40"/>
              <w:spacing w:after="0"/>
              <w:rPr>
                <w:sz w:val="20"/>
                <w:szCs w:val="20"/>
                <w:color w:val="auto"/>
              </w:rPr>
            </w:pPr>
            <w:r>
              <w:rPr>
                <w:rFonts w:ascii="Arial" w:cs="Arial" w:eastAsia="Arial" w:hAnsi="Arial"/>
                <w:sz w:val="10"/>
                <w:szCs w:val="10"/>
                <w:b w:val="1"/>
                <w:bCs w:val="1"/>
                <w:color w:val="auto"/>
              </w:rPr>
              <w:t>Tracy A. Leinbach</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420" w:type="dxa"/>
            <w:vAlign w:val="bottom"/>
          </w:tcPr>
          <w:p>
            <w:pPr>
              <w:ind w:left="40"/>
              <w:spacing w:after="0" w:line="108" w:lineRule="exact"/>
              <w:rPr>
                <w:sz w:val="20"/>
                <w:szCs w:val="20"/>
                <w:color w:val="auto"/>
              </w:rPr>
            </w:pPr>
            <w:r>
              <w:rPr>
                <w:rFonts w:ascii="Arial" w:cs="Arial" w:eastAsia="Arial" w:hAnsi="Arial"/>
                <w:sz w:val="10"/>
                <w:szCs w:val="10"/>
                <w:color w:val="auto"/>
                <w:w w:val="97"/>
              </w:rPr>
              <w:t>Retired Executive Vice President and Chief Financial Officer of Ryder System,</w:t>
            </w: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vMerge w:val="restart"/>
          </w:tcPr>
          <w:p>
            <w:pPr>
              <w:ind w:left="120"/>
              <w:spacing w:after="0" w:line="101" w:lineRule="exact"/>
              <w:rPr>
                <w:sz w:val="20"/>
                <w:szCs w:val="20"/>
                <w:color w:val="auto"/>
              </w:rPr>
            </w:pPr>
            <w:r>
              <w:rPr>
                <w:rFonts w:ascii="MS PGothic" w:cs="MS PGothic" w:eastAsia="MS PGothic" w:hAnsi="MS PGothic"/>
                <w:sz w:val="10"/>
                <w:szCs w:val="10"/>
                <w:color w:val="auto"/>
              </w:rPr>
              <w:t>✓</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420" w:type="dxa"/>
            <w:vAlign w:val="bottom"/>
          </w:tcPr>
          <w:p>
            <w:pPr>
              <w:ind w:left="40"/>
              <w:spacing w:after="0"/>
              <w:rPr>
                <w:sz w:val="20"/>
                <w:szCs w:val="20"/>
                <w:color w:val="auto"/>
              </w:rPr>
            </w:pPr>
            <w:r>
              <w:rPr>
                <w:rFonts w:ascii="Arial" w:cs="Arial" w:eastAsia="Arial" w:hAnsi="Arial"/>
                <w:sz w:val="10"/>
                <w:szCs w:val="10"/>
                <w:color w:val="auto"/>
              </w:rPr>
              <w:t>Inc.</w:t>
            </w: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63</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2008</w:t>
            </w:r>
          </w:p>
        </w:tc>
        <w:tc>
          <w:tcPr>
            <w:tcW w:w="8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3420" w:type="dxa"/>
            <w:vAlign w:val="bottom"/>
            <w:tcBorders>
              <w:bottom w:val="single" w:sz="8" w:color="009BDE"/>
            </w:tcBorders>
          </w:tcPr>
          <w:p>
            <w:pPr>
              <w:spacing w:after="0"/>
              <w:rPr>
                <w:sz w:val="2"/>
                <w:szCs w:val="2"/>
                <w:color w:val="auto"/>
              </w:rPr>
            </w:pPr>
          </w:p>
        </w:tc>
        <w:tc>
          <w:tcPr>
            <w:tcW w:w="520" w:type="dxa"/>
            <w:vAlign w:val="bottom"/>
            <w:tcBorders>
              <w:bottom w:val="single" w:sz="8" w:color="009BDE"/>
            </w:tcBorders>
          </w:tcPr>
          <w:p>
            <w:pPr>
              <w:spacing w:after="0"/>
              <w:rPr>
                <w:sz w:val="2"/>
                <w:szCs w:val="2"/>
                <w:color w:val="auto"/>
              </w:rPr>
            </w:pPr>
          </w:p>
        </w:tc>
        <w:tc>
          <w:tcPr>
            <w:tcW w:w="580" w:type="dxa"/>
            <w:vAlign w:val="bottom"/>
            <w:tcBorders>
              <w:bottom w:val="single" w:sz="8" w:color="009BDE"/>
            </w:tcBorders>
          </w:tcPr>
          <w:p>
            <w:pPr>
              <w:spacing w:after="0"/>
              <w:rPr>
                <w:sz w:val="2"/>
                <w:szCs w:val="2"/>
                <w:color w:val="auto"/>
              </w:rPr>
            </w:pPr>
          </w:p>
        </w:tc>
        <w:tc>
          <w:tcPr>
            <w:tcW w:w="800" w:type="dxa"/>
            <w:vAlign w:val="bottom"/>
            <w:tcBorders>
              <w:bottom w:val="single" w:sz="8" w:color="009BDE"/>
            </w:tcBorders>
          </w:tcPr>
          <w:p>
            <w:pPr>
              <w:spacing w:after="0"/>
              <w:rPr>
                <w:sz w:val="2"/>
                <w:szCs w:val="2"/>
                <w:color w:val="auto"/>
              </w:rPr>
            </w:pPr>
          </w:p>
        </w:tc>
        <w:tc>
          <w:tcPr>
            <w:tcW w:w="340" w:type="dxa"/>
            <w:vAlign w:val="bottom"/>
            <w:tcBorders>
              <w:bottom w:val="single" w:sz="8" w:color="009BDE"/>
            </w:tcBorders>
          </w:tcPr>
          <w:p>
            <w:pPr>
              <w:spacing w:after="0"/>
              <w:rPr>
                <w:sz w:val="2"/>
                <w:szCs w:val="2"/>
                <w:color w:val="auto"/>
              </w:rPr>
            </w:pPr>
          </w:p>
        </w:tc>
        <w:tc>
          <w:tcPr>
            <w:tcW w:w="480" w:type="dxa"/>
            <w:vAlign w:val="bottom"/>
            <w:tcBorders>
              <w:bottom w:val="single" w:sz="8" w:color="009BDE"/>
            </w:tcBorders>
          </w:tcPr>
          <w:p>
            <w:pPr>
              <w:spacing w:after="0"/>
              <w:rPr>
                <w:sz w:val="2"/>
                <w:szCs w:val="2"/>
                <w:color w:val="auto"/>
              </w:rPr>
            </w:pPr>
          </w:p>
        </w:tc>
        <w:tc>
          <w:tcPr>
            <w:tcW w:w="500" w:type="dxa"/>
            <w:vAlign w:val="bottom"/>
            <w:tcBorders>
              <w:bottom w:val="single" w:sz="8" w:color="009BDE"/>
            </w:tcBorders>
          </w:tcPr>
          <w:p>
            <w:pPr>
              <w:spacing w:after="0"/>
              <w:rPr>
                <w:sz w:val="2"/>
                <w:szCs w:val="2"/>
                <w:color w:val="auto"/>
              </w:rPr>
            </w:pPr>
          </w:p>
        </w:tc>
        <w:tc>
          <w:tcPr>
            <w:tcW w:w="700" w:type="dxa"/>
            <w:vAlign w:val="bottom"/>
            <w:tcBorders>
              <w:bottom w:val="single" w:sz="8" w:color="009BDE"/>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3420" w:type="dxa"/>
            <w:vAlign w:val="bottom"/>
          </w:tcPr>
          <w:p>
            <w:pPr>
              <w:ind w:left="40"/>
              <w:spacing w:after="0"/>
              <w:rPr>
                <w:sz w:val="20"/>
                <w:szCs w:val="20"/>
                <w:color w:val="auto"/>
              </w:rPr>
            </w:pPr>
            <w:r>
              <w:rPr>
                <w:rFonts w:ascii="Arial" w:cs="Arial" w:eastAsia="Arial" w:hAnsi="Arial"/>
                <w:sz w:val="10"/>
                <w:szCs w:val="10"/>
                <w:b w:val="1"/>
                <w:bCs w:val="1"/>
                <w:color w:val="auto"/>
              </w:rPr>
              <w:t>Laurel J. Richie</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420" w:type="dxa"/>
            <w:vAlign w:val="bottom"/>
          </w:tcPr>
          <w:p>
            <w:pPr>
              <w:ind w:left="40"/>
              <w:spacing w:after="0" w:line="108" w:lineRule="exact"/>
              <w:rPr>
                <w:sz w:val="20"/>
                <w:szCs w:val="20"/>
                <w:color w:val="auto"/>
              </w:rPr>
            </w:pPr>
            <w:r>
              <w:rPr>
                <w:rFonts w:ascii="Arial" w:cs="Arial" w:eastAsia="Arial" w:hAnsi="Arial"/>
                <w:sz w:val="10"/>
                <w:szCs w:val="10"/>
                <w:color w:val="auto"/>
              </w:rPr>
              <w:t>Independent Branding Consultant; Former President of Women’s National</w:t>
            </w: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vMerge w:val="restart"/>
          </w:tcPr>
          <w:p>
            <w:pPr>
              <w:ind w:left="120"/>
              <w:spacing w:after="0" w:line="101" w:lineRule="exact"/>
              <w:rPr>
                <w:sz w:val="20"/>
                <w:szCs w:val="20"/>
                <w:color w:val="auto"/>
              </w:rPr>
            </w:pPr>
            <w:r>
              <w:rPr>
                <w:rFonts w:ascii="MS PGothic" w:cs="MS PGothic" w:eastAsia="MS PGothic" w:hAnsi="MS PGothic"/>
                <w:sz w:val="10"/>
                <w:szCs w:val="10"/>
                <w:color w:val="auto"/>
              </w:rPr>
              <w:t>✓</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420" w:type="dxa"/>
            <w:vAlign w:val="bottom"/>
          </w:tcPr>
          <w:p>
            <w:pPr>
              <w:ind w:left="40"/>
              <w:spacing w:after="0"/>
              <w:rPr>
                <w:sz w:val="20"/>
                <w:szCs w:val="20"/>
                <w:color w:val="auto"/>
              </w:rPr>
            </w:pPr>
            <w:r>
              <w:rPr>
                <w:rFonts w:ascii="Arial" w:cs="Arial" w:eastAsia="Arial" w:hAnsi="Arial"/>
                <w:sz w:val="10"/>
                <w:szCs w:val="10"/>
                <w:color w:val="auto"/>
              </w:rPr>
              <w:t>Basketball Association</w:t>
            </w: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64</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2020</w:t>
            </w:r>
          </w:p>
        </w:tc>
        <w:tc>
          <w:tcPr>
            <w:tcW w:w="8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3420" w:type="dxa"/>
            <w:vAlign w:val="bottom"/>
            <w:tcBorders>
              <w:bottom w:val="single" w:sz="8" w:color="009BDE"/>
            </w:tcBorders>
          </w:tcPr>
          <w:p>
            <w:pPr>
              <w:spacing w:after="0"/>
              <w:rPr>
                <w:sz w:val="2"/>
                <w:szCs w:val="2"/>
                <w:color w:val="auto"/>
              </w:rPr>
            </w:pPr>
          </w:p>
        </w:tc>
        <w:tc>
          <w:tcPr>
            <w:tcW w:w="520" w:type="dxa"/>
            <w:vAlign w:val="bottom"/>
            <w:tcBorders>
              <w:bottom w:val="single" w:sz="8" w:color="009BDE"/>
            </w:tcBorders>
          </w:tcPr>
          <w:p>
            <w:pPr>
              <w:spacing w:after="0"/>
              <w:rPr>
                <w:sz w:val="2"/>
                <w:szCs w:val="2"/>
                <w:color w:val="auto"/>
              </w:rPr>
            </w:pPr>
          </w:p>
        </w:tc>
        <w:tc>
          <w:tcPr>
            <w:tcW w:w="580" w:type="dxa"/>
            <w:vAlign w:val="bottom"/>
            <w:tcBorders>
              <w:bottom w:val="single" w:sz="8" w:color="009BDE"/>
            </w:tcBorders>
          </w:tcPr>
          <w:p>
            <w:pPr>
              <w:spacing w:after="0"/>
              <w:rPr>
                <w:sz w:val="2"/>
                <w:szCs w:val="2"/>
                <w:color w:val="auto"/>
              </w:rPr>
            </w:pPr>
          </w:p>
        </w:tc>
        <w:tc>
          <w:tcPr>
            <w:tcW w:w="800" w:type="dxa"/>
            <w:vAlign w:val="bottom"/>
            <w:tcBorders>
              <w:bottom w:val="single" w:sz="8" w:color="009BDE"/>
            </w:tcBorders>
          </w:tcPr>
          <w:p>
            <w:pPr>
              <w:spacing w:after="0"/>
              <w:rPr>
                <w:sz w:val="2"/>
                <w:szCs w:val="2"/>
                <w:color w:val="auto"/>
              </w:rPr>
            </w:pPr>
          </w:p>
        </w:tc>
        <w:tc>
          <w:tcPr>
            <w:tcW w:w="340" w:type="dxa"/>
            <w:vAlign w:val="bottom"/>
            <w:tcBorders>
              <w:bottom w:val="single" w:sz="8" w:color="009BDE"/>
            </w:tcBorders>
          </w:tcPr>
          <w:p>
            <w:pPr>
              <w:spacing w:after="0"/>
              <w:rPr>
                <w:sz w:val="2"/>
                <w:szCs w:val="2"/>
                <w:color w:val="auto"/>
              </w:rPr>
            </w:pPr>
          </w:p>
        </w:tc>
        <w:tc>
          <w:tcPr>
            <w:tcW w:w="480" w:type="dxa"/>
            <w:vAlign w:val="bottom"/>
            <w:tcBorders>
              <w:bottom w:val="single" w:sz="8" w:color="009BDE"/>
            </w:tcBorders>
          </w:tcPr>
          <w:p>
            <w:pPr>
              <w:spacing w:after="0"/>
              <w:rPr>
                <w:sz w:val="2"/>
                <w:szCs w:val="2"/>
                <w:color w:val="auto"/>
              </w:rPr>
            </w:pPr>
          </w:p>
        </w:tc>
        <w:tc>
          <w:tcPr>
            <w:tcW w:w="500" w:type="dxa"/>
            <w:vAlign w:val="bottom"/>
            <w:tcBorders>
              <w:bottom w:val="single" w:sz="8" w:color="009BDE"/>
            </w:tcBorders>
          </w:tcPr>
          <w:p>
            <w:pPr>
              <w:spacing w:after="0"/>
              <w:rPr>
                <w:sz w:val="2"/>
                <w:szCs w:val="2"/>
                <w:color w:val="auto"/>
              </w:rPr>
            </w:pPr>
          </w:p>
        </w:tc>
        <w:tc>
          <w:tcPr>
            <w:tcW w:w="700" w:type="dxa"/>
            <w:vAlign w:val="bottom"/>
            <w:tcBorders>
              <w:bottom w:val="single" w:sz="8" w:color="009BDE"/>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3420" w:type="dxa"/>
            <w:vAlign w:val="bottom"/>
          </w:tcPr>
          <w:p>
            <w:pPr>
              <w:ind w:left="40"/>
              <w:spacing w:after="0"/>
              <w:rPr>
                <w:sz w:val="20"/>
                <w:szCs w:val="20"/>
                <w:color w:val="auto"/>
              </w:rPr>
            </w:pPr>
            <w:r>
              <w:rPr>
                <w:rFonts w:ascii="Arial" w:cs="Arial" w:eastAsia="Arial" w:hAnsi="Arial"/>
                <w:sz w:val="10"/>
                <w:szCs w:val="10"/>
                <w:b w:val="1"/>
                <w:bCs w:val="1"/>
                <w:color w:val="auto"/>
              </w:rPr>
              <w:t>Richard S. Stoddart</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420" w:type="dxa"/>
            <w:vAlign w:val="bottom"/>
          </w:tcPr>
          <w:p>
            <w:pPr>
              <w:ind w:left="40"/>
              <w:spacing w:after="0" w:line="108" w:lineRule="exact"/>
              <w:rPr>
                <w:sz w:val="20"/>
                <w:szCs w:val="20"/>
                <w:color w:val="auto"/>
              </w:rPr>
            </w:pPr>
            <w:r>
              <w:rPr>
                <w:rFonts w:ascii="Arial" w:cs="Arial" w:eastAsia="Arial" w:hAnsi="Arial"/>
                <w:sz w:val="10"/>
                <w:szCs w:val="10"/>
                <w:color w:val="auto"/>
                <w:w w:val="95"/>
              </w:rPr>
              <w:t>Chair of the Board of Hasbro and Former President and Chief Executive Officer</w:t>
            </w: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vMerge w:val="restart"/>
          </w:tcPr>
          <w:p>
            <w:pPr>
              <w:ind w:left="120"/>
              <w:spacing w:after="0" w:line="101" w:lineRule="exact"/>
              <w:rPr>
                <w:sz w:val="20"/>
                <w:szCs w:val="20"/>
                <w:color w:val="auto"/>
              </w:rPr>
            </w:pPr>
            <w:r>
              <w:rPr>
                <w:rFonts w:ascii="MS PGothic" w:cs="MS PGothic" w:eastAsia="MS PGothic" w:hAnsi="MS PGothic"/>
                <w:sz w:val="10"/>
                <w:szCs w:val="10"/>
                <w:color w:val="auto"/>
              </w:rPr>
              <w:t>✓</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420" w:type="dxa"/>
            <w:vAlign w:val="bottom"/>
          </w:tcPr>
          <w:p>
            <w:pPr>
              <w:ind w:left="40"/>
              <w:spacing w:after="0"/>
              <w:rPr>
                <w:sz w:val="20"/>
                <w:szCs w:val="20"/>
                <w:color w:val="auto"/>
              </w:rPr>
            </w:pPr>
            <w:r>
              <w:rPr>
                <w:rFonts w:ascii="Arial" w:cs="Arial" w:eastAsia="Arial" w:hAnsi="Arial"/>
                <w:sz w:val="10"/>
                <w:szCs w:val="10"/>
                <w:color w:val="auto"/>
              </w:rPr>
              <w:t>of InnerWorkings, Inc.</w:t>
            </w: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60</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2014</w:t>
            </w:r>
          </w:p>
        </w:tc>
        <w:tc>
          <w:tcPr>
            <w:tcW w:w="8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3420" w:type="dxa"/>
            <w:vAlign w:val="bottom"/>
            <w:tcBorders>
              <w:bottom w:val="single" w:sz="8" w:color="009BDE"/>
            </w:tcBorders>
          </w:tcPr>
          <w:p>
            <w:pPr>
              <w:spacing w:after="0"/>
              <w:rPr>
                <w:sz w:val="2"/>
                <w:szCs w:val="2"/>
                <w:color w:val="auto"/>
              </w:rPr>
            </w:pPr>
          </w:p>
        </w:tc>
        <w:tc>
          <w:tcPr>
            <w:tcW w:w="520" w:type="dxa"/>
            <w:vAlign w:val="bottom"/>
            <w:tcBorders>
              <w:bottom w:val="single" w:sz="8" w:color="009BDE"/>
            </w:tcBorders>
          </w:tcPr>
          <w:p>
            <w:pPr>
              <w:spacing w:after="0"/>
              <w:rPr>
                <w:sz w:val="2"/>
                <w:szCs w:val="2"/>
                <w:color w:val="auto"/>
              </w:rPr>
            </w:pPr>
          </w:p>
        </w:tc>
        <w:tc>
          <w:tcPr>
            <w:tcW w:w="580" w:type="dxa"/>
            <w:vAlign w:val="bottom"/>
            <w:tcBorders>
              <w:bottom w:val="single" w:sz="8" w:color="009BDE"/>
            </w:tcBorders>
          </w:tcPr>
          <w:p>
            <w:pPr>
              <w:spacing w:after="0"/>
              <w:rPr>
                <w:sz w:val="2"/>
                <w:szCs w:val="2"/>
                <w:color w:val="auto"/>
              </w:rPr>
            </w:pPr>
          </w:p>
        </w:tc>
        <w:tc>
          <w:tcPr>
            <w:tcW w:w="800" w:type="dxa"/>
            <w:vAlign w:val="bottom"/>
            <w:tcBorders>
              <w:bottom w:val="single" w:sz="8" w:color="009BDE"/>
            </w:tcBorders>
          </w:tcPr>
          <w:p>
            <w:pPr>
              <w:spacing w:after="0"/>
              <w:rPr>
                <w:sz w:val="2"/>
                <w:szCs w:val="2"/>
                <w:color w:val="auto"/>
              </w:rPr>
            </w:pPr>
          </w:p>
        </w:tc>
        <w:tc>
          <w:tcPr>
            <w:tcW w:w="340" w:type="dxa"/>
            <w:vAlign w:val="bottom"/>
            <w:tcBorders>
              <w:bottom w:val="single" w:sz="8" w:color="009BDE"/>
            </w:tcBorders>
          </w:tcPr>
          <w:p>
            <w:pPr>
              <w:spacing w:after="0"/>
              <w:rPr>
                <w:sz w:val="2"/>
                <w:szCs w:val="2"/>
                <w:color w:val="auto"/>
              </w:rPr>
            </w:pPr>
          </w:p>
        </w:tc>
        <w:tc>
          <w:tcPr>
            <w:tcW w:w="480" w:type="dxa"/>
            <w:vAlign w:val="bottom"/>
            <w:tcBorders>
              <w:bottom w:val="single" w:sz="8" w:color="009BDE"/>
            </w:tcBorders>
          </w:tcPr>
          <w:p>
            <w:pPr>
              <w:spacing w:after="0"/>
              <w:rPr>
                <w:sz w:val="2"/>
                <w:szCs w:val="2"/>
                <w:color w:val="auto"/>
              </w:rPr>
            </w:pPr>
          </w:p>
        </w:tc>
        <w:tc>
          <w:tcPr>
            <w:tcW w:w="500" w:type="dxa"/>
            <w:vAlign w:val="bottom"/>
            <w:tcBorders>
              <w:bottom w:val="single" w:sz="8" w:color="009BDE"/>
            </w:tcBorders>
          </w:tcPr>
          <w:p>
            <w:pPr>
              <w:spacing w:after="0"/>
              <w:rPr>
                <w:sz w:val="2"/>
                <w:szCs w:val="2"/>
                <w:color w:val="auto"/>
              </w:rPr>
            </w:pPr>
          </w:p>
        </w:tc>
        <w:tc>
          <w:tcPr>
            <w:tcW w:w="700" w:type="dxa"/>
            <w:vAlign w:val="bottom"/>
            <w:tcBorders>
              <w:bottom w:val="single" w:sz="8" w:color="009BDE"/>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3420" w:type="dxa"/>
            <w:vAlign w:val="bottom"/>
          </w:tcPr>
          <w:p>
            <w:pPr>
              <w:ind w:left="40"/>
              <w:spacing w:after="0"/>
              <w:rPr>
                <w:sz w:val="20"/>
                <w:szCs w:val="20"/>
                <w:color w:val="auto"/>
              </w:rPr>
            </w:pPr>
            <w:r>
              <w:rPr>
                <w:rFonts w:ascii="Arial" w:cs="Arial" w:eastAsia="Arial" w:hAnsi="Arial"/>
                <w:sz w:val="10"/>
                <w:szCs w:val="10"/>
                <w:b w:val="1"/>
                <w:bCs w:val="1"/>
                <w:color w:val="auto"/>
              </w:rPr>
              <w:t>Mary Beth West</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vMerge w:val="restart"/>
          </w:tcPr>
          <w:p>
            <w:pPr>
              <w:ind w:left="120"/>
              <w:spacing w:after="0" w:line="101" w:lineRule="exact"/>
              <w:rPr>
                <w:sz w:val="20"/>
                <w:szCs w:val="20"/>
                <w:color w:val="auto"/>
              </w:rPr>
            </w:pPr>
            <w:r>
              <w:rPr>
                <w:rFonts w:ascii="MS PGothic" w:cs="MS PGothic" w:eastAsia="MS PGothic" w:hAnsi="MS PGothic"/>
                <w:sz w:val="10"/>
                <w:szCs w:val="10"/>
                <w:color w:val="auto"/>
              </w:rPr>
              <w:t>✓</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420" w:type="dxa"/>
            <w:vAlign w:val="bottom"/>
          </w:tcPr>
          <w:p>
            <w:pPr>
              <w:ind w:left="40"/>
              <w:spacing w:after="0"/>
              <w:rPr>
                <w:sz w:val="20"/>
                <w:szCs w:val="20"/>
                <w:color w:val="auto"/>
              </w:rPr>
            </w:pPr>
            <w:r>
              <w:rPr>
                <w:rFonts w:ascii="Arial" w:cs="Arial" w:eastAsia="Arial" w:hAnsi="Arial"/>
                <w:sz w:val="10"/>
                <w:szCs w:val="10"/>
                <w:color w:val="auto"/>
                <w:w w:val="97"/>
              </w:rPr>
              <w:t>Former Senior Vice President, Chief Growth Officer of The Hershey Company</w:t>
            </w: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60</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2016</w:t>
            </w:r>
          </w:p>
        </w:tc>
        <w:tc>
          <w:tcPr>
            <w:tcW w:w="8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3420" w:type="dxa"/>
            <w:vAlign w:val="bottom"/>
            <w:tcBorders>
              <w:bottom w:val="single" w:sz="8" w:color="009BDE"/>
            </w:tcBorders>
          </w:tcPr>
          <w:p>
            <w:pPr>
              <w:spacing w:after="0"/>
              <w:rPr>
                <w:sz w:val="2"/>
                <w:szCs w:val="2"/>
                <w:color w:val="auto"/>
              </w:rPr>
            </w:pPr>
          </w:p>
        </w:tc>
        <w:tc>
          <w:tcPr>
            <w:tcW w:w="520" w:type="dxa"/>
            <w:vAlign w:val="bottom"/>
            <w:tcBorders>
              <w:bottom w:val="single" w:sz="8" w:color="009BDE"/>
            </w:tcBorders>
          </w:tcPr>
          <w:p>
            <w:pPr>
              <w:spacing w:after="0"/>
              <w:rPr>
                <w:sz w:val="2"/>
                <w:szCs w:val="2"/>
                <w:color w:val="auto"/>
              </w:rPr>
            </w:pPr>
          </w:p>
        </w:tc>
        <w:tc>
          <w:tcPr>
            <w:tcW w:w="580" w:type="dxa"/>
            <w:vAlign w:val="bottom"/>
            <w:tcBorders>
              <w:bottom w:val="single" w:sz="8" w:color="009BDE"/>
            </w:tcBorders>
          </w:tcPr>
          <w:p>
            <w:pPr>
              <w:spacing w:after="0"/>
              <w:rPr>
                <w:sz w:val="2"/>
                <w:szCs w:val="2"/>
                <w:color w:val="auto"/>
              </w:rPr>
            </w:pPr>
          </w:p>
        </w:tc>
        <w:tc>
          <w:tcPr>
            <w:tcW w:w="800" w:type="dxa"/>
            <w:vAlign w:val="bottom"/>
            <w:tcBorders>
              <w:bottom w:val="single" w:sz="8" w:color="009BDE"/>
            </w:tcBorders>
          </w:tcPr>
          <w:p>
            <w:pPr>
              <w:spacing w:after="0"/>
              <w:rPr>
                <w:sz w:val="2"/>
                <w:szCs w:val="2"/>
                <w:color w:val="auto"/>
              </w:rPr>
            </w:pPr>
          </w:p>
        </w:tc>
        <w:tc>
          <w:tcPr>
            <w:tcW w:w="340" w:type="dxa"/>
            <w:vAlign w:val="bottom"/>
            <w:tcBorders>
              <w:bottom w:val="single" w:sz="8" w:color="009BDE"/>
            </w:tcBorders>
          </w:tcPr>
          <w:p>
            <w:pPr>
              <w:spacing w:after="0"/>
              <w:rPr>
                <w:sz w:val="2"/>
                <w:szCs w:val="2"/>
                <w:color w:val="auto"/>
              </w:rPr>
            </w:pPr>
          </w:p>
        </w:tc>
        <w:tc>
          <w:tcPr>
            <w:tcW w:w="480" w:type="dxa"/>
            <w:vAlign w:val="bottom"/>
            <w:tcBorders>
              <w:bottom w:val="single" w:sz="8" w:color="009BDE"/>
            </w:tcBorders>
          </w:tcPr>
          <w:p>
            <w:pPr>
              <w:spacing w:after="0"/>
              <w:rPr>
                <w:sz w:val="2"/>
                <w:szCs w:val="2"/>
                <w:color w:val="auto"/>
              </w:rPr>
            </w:pPr>
          </w:p>
        </w:tc>
        <w:tc>
          <w:tcPr>
            <w:tcW w:w="500" w:type="dxa"/>
            <w:vAlign w:val="bottom"/>
            <w:tcBorders>
              <w:bottom w:val="single" w:sz="8" w:color="009BDE"/>
            </w:tcBorders>
          </w:tcPr>
          <w:p>
            <w:pPr>
              <w:spacing w:after="0"/>
              <w:rPr>
                <w:sz w:val="2"/>
                <w:szCs w:val="2"/>
                <w:color w:val="auto"/>
              </w:rPr>
            </w:pPr>
          </w:p>
        </w:tc>
        <w:tc>
          <w:tcPr>
            <w:tcW w:w="700" w:type="dxa"/>
            <w:vAlign w:val="bottom"/>
            <w:tcBorders>
              <w:bottom w:val="single" w:sz="8" w:color="009BDE"/>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3420" w:type="dxa"/>
            <w:vAlign w:val="bottom"/>
          </w:tcPr>
          <w:p>
            <w:pPr>
              <w:ind w:left="40"/>
              <w:spacing w:after="0"/>
              <w:rPr>
                <w:sz w:val="20"/>
                <w:szCs w:val="20"/>
                <w:color w:val="auto"/>
              </w:rPr>
            </w:pPr>
            <w:r>
              <w:rPr>
                <w:rFonts w:ascii="Arial" w:cs="Arial" w:eastAsia="Arial" w:hAnsi="Arial"/>
                <w:sz w:val="10"/>
                <w:szCs w:val="10"/>
                <w:b w:val="1"/>
                <w:bCs w:val="1"/>
                <w:color w:val="auto"/>
              </w:rPr>
              <w:t>Linda Zecher Higgins</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vMerge w:val="restart"/>
          </w:tcPr>
          <w:p>
            <w:pPr>
              <w:ind w:left="120"/>
              <w:spacing w:after="0" w:line="101" w:lineRule="exact"/>
              <w:rPr>
                <w:sz w:val="20"/>
                <w:szCs w:val="20"/>
                <w:color w:val="auto"/>
              </w:rPr>
            </w:pPr>
            <w:r>
              <w:rPr>
                <w:rFonts w:ascii="MS PGothic" w:cs="MS PGothic" w:eastAsia="MS PGothic" w:hAnsi="MS PGothic"/>
                <w:sz w:val="10"/>
                <w:szCs w:val="10"/>
                <w:color w:val="auto"/>
              </w:rPr>
              <w:t>✓</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420" w:type="dxa"/>
            <w:vAlign w:val="bottom"/>
          </w:tcPr>
          <w:p>
            <w:pPr>
              <w:ind w:left="40"/>
              <w:spacing w:after="0"/>
              <w:rPr>
                <w:sz w:val="20"/>
                <w:szCs w:val="20"/>
                <w:color w:val="auto"/>
              </w:rPr>
            </w:pPr>
            <w:r>
              <w:rPr>
                <w:rFonts w:ascii="Arial" w:cs="Arial" w:eastAsia="Arial" w:hAnsi="Arial"/>
                <w:sz w:val="10"/>
                <w:szCs w:val="10"/>
                <w:color w:val="auto"/>
              </w:rPr>
              <w:t>Chief Executive Officer and Managing Partner of The Barkley Group</w:t>
            </w: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69</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2014</w:t>
            </w:r>
          </w:p>
        </w:tc>
        <w:tc>
          <w:tcPr>
            <w:tcW w:w="8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3420" w:type="dxa"/>
            <w:vAlign w:val="bottom"/>
            <w:tcBorders>
              <w:bottom w:val="single" w:sz="8" w:color="009BDE"/>
            </w:tcBorders>
          </w:tcPr>
          <w:p>
            <w:pPr>
              <w:spacing w:after="0"/>
              <w:rPr>
                <w:sz w:val="2"/>
                <w:szCs w:val="2"/>
                <w:color w:val="auto"/>
              </w:rPr>
            </w:pPr>
          </w:p>
        </w:tc>
        <w:tc>
          <w:tcPr>
            <w:tcW w:w="520" w:type="dxa"/>
            <w:vAlign w:val="bottom"/>
            <w:tcBorders>
              <w:bottom w:val="single" w:sz="8" w:color="009BDE"/>
            </w:tcBorders>
          </w:tcPr>
          <w:p>
            <w:pPr>
              <w:spacing w:after="0"/>
              <w:rPr>
                <w:sz w:val="2"/>
                <w:szCs w:val="2"/>
                <w:color w:val="auto"/>
              </w:rPr>
            </w:pPr>
          </w:p>
        </w:tc>
        <w:tc>
          <w:tcPr>
            <w:tcW w:w="580" w:type="dxa"/>
            <w:vAlign w:val="bottom"/>
            <w:tcBorders>
              <w:bottom w:val="single" w:sz="8" w:color="009BDE"/>
            </w:tcBorders>
          </w:tcPr>
          <w:p>
            <w:pPr>
              <w:spacing w:after="0"/>
              <w:rPr>
                <w:sz w:val="2"/>
                <w:szCs w:val="2"/>
                <w:color w:val="auto"/>
              </w:rPr>
            </w:pPr>
          </w:p>
        </w:tc>
        <w:tc>
          <w:tcPr>
            <w:tcW w:w="800" w:type="dxa"/>
            <w:vAlign w:val="bottom"/>
            <w:tcBorders>
              <w:bottom w:val="single" w:sz="8" w:color="009BDE"/>
            </w:tcBorders>
          </w:tcPr>
          <w:p>
            <w:pPr>
              <w:spacing w:after="0"/>
              <w:rPr>
                <w:sz w:val="2"/>
                <w:szCs w:val="2"/>
                <w:color w:val="auto"/>
              </w:rPr>
            </w:pPr>
          </w:p>
        </w:tc>
        <w:tc>
          <w:tcPr>
            <w:tcW w:w="340" w:type="dxa"/>
            <w:vAlign w:val="bottom"/>
            <w:tcBorders>
              <w:bottom w:val="single" w:sz="8" w:color="009BDE"/>
            </w:tcBorders>
          </w:tcPr>
          <w:p>
            <w:pPr>
              <w:spacing w:after="0"/>
              <w:rPr>
                <w:sz w:val="2"/>
                <w:szCs w:val="2"/>
                <w:color w:val="auto"/>
              </w:rPr>
            </w:pPr>
          </w:p>
        </w:tc>
        <w:tc>
          <w:tcPr>
            <w:tcW w:w="480" w:type="dxa"/>
            <w:vAlign w:val="bottom"/>
            <w:tcBorders>
              <w:bottom w:val="single" w:sz="8" w:color="009BDE"/>
            </w:tcBorders>
          </w:tcPr>
          <w:p>
            <w:pPr>
              <w:spacing w:after="0"/>
              <w:rPr>
                <w:sz w:val="2"/>
                <w:szCs w:val="2"/>
                <w:color w:val="auto"/>
              </w:rPr>
            </w:pPr>
          </w:p>
        </w:tc>
        <w:tc>
          <w:tcPr>
            <w:tcW w:w="500" w:type="dxa"/>
            <w:vAlign w:val="bottom"/>
            <w:tcBorders>
              <w:bottom w:val="single" w:sz="8" w:color="009BDE"/>
            </w:tcBorders>
          </w:tcPr>
          <w:p>
            <w:pPr>
              <w:spacing w:after="0"/>
              <w:rPr>
                <w:sz w:val="2"/>
                <w:szCs w:val="2"/>
                <w:color w:val="auto"/>
              </w:rPr>
            </w:pPr>
          </w:p>
        </w:tc>
        <w:tc>
          <w:tcPr>
            <w:tcW w:w="700" w:type="dxa"/>
            <w:vAlign w:val="bottom"/>
            <w:tcBorders>
              <w:bottom w:val="single" w:sz="8" w:color="009BD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5584190</wp:posOffset>
            </wp:positionH>
            <wp:positionV relativeFrom="paragraph">
              <wp:posOffset>-2371090</wp:posOffset>
            </wp:positionV>
            <wp:extent cx="51435" cy="914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-2371090</wp:posOffset>
            </wp:positionV>
            <wp:extent cx="51435" cy="914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-2222500</wp:posOffset>
            </wp:positionV>
            <wp:extent cx="51435" cy="182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182880"/>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-2131060</wp:posOffset>
            </wp:positionV>
            <wp:extent cx="51435" cy="914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-2131060</wp:posOffset>
            </wp:positionV>
            <wp:extent cx="51435" cy="914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-1731010</wp:posOffset>
            </wp:positionV>
            <wp:extent cx="51435" cy="914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5041265</wp:posOffset>
            </wp:positionH>
            <wp:positionV relativeFrom="paragraph">
              <wp:posOffset>-1731010</wp:posOffset>
            </wp:positionV>
            <wp:extent cx="51435" cy="914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5041265</wp:posOffset>
            </wp:positionH>
            <wp:positionV relativeFrom="paragraph">
              <wp:posOffset>-1530985</wp:posOffset>
            </wp:positionV>
            <wp:extent cx="51435" cy="914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-1530985</wp:posOffset>
            </wp:positionV>
            <wp:extent cx="51435" cy="914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-1330960</wp:posOffset>
            </wp:positionV>
            <wp:extent cx="51435" cy="914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-1330960</wp:posOffset>
            </wp:positionV>
            <wp:extent cx="51435" cy="914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-1062355</wp:posOffset>
            </wp:positionV>
            <wp:extent cx="51435" cy="914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-1062355</wp:posOffset>
            </wp:positionV>
            <wp:extent cx="51435" cy="914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-1062355</wp:posOffset>
            </wp:positionV>
            <wp:extent cx="51435" cy="914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5041265</wp:posOffset>
            </wp:positionH>
            <wp:positionV relativeFrom="paragraph">
              <wp:posOffset>-793750</wp:posOffset>
            </wp:positionV>
            <wp:extent cx="51435" cy="914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-793750</wp:posOffset>
            </wp:positionV>
            <wp:extent cx="51435" cy="914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-325120</wp:posOffset>
            </wp:positionV>
            <wp:extent cx="51435" cy="914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-325120</wp:posOffset>
            </wp:positionV>
            <wp:extent cx="51435" cy="914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-125095</wp:posOffset>
            </wp:positionV>
            <wp:extent cx="51435" cy="914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-125095</wp:posOffset>
            </wp:positionV>
            <wp:extent cx="51435" cy="914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91440"/>
                    </a:xfrm>
                    <a:prstGeom prst="rect">
                      <a:avLst/>
                    </a:prstGeom>
                    <a:noFill/>
                  </pic:spPr>
                </pic:pic>
              </a:graphicData>
            </a:graphic>
          </wp:anchor>
        </w:drawing>
      </w:r>
    </w:p>
    <w:p>
      <w:pPr>
        <w:spacing w:after="0" w:line="37" w:lineRule="exact"/>
        <w:rPr>
          <w:sz w:val="20"/>
          <w:szCs w:val="20"/>
          <w:color w:val="auto"/>
        </w:rPr>
      </w:pPr>
    </w:p>
    <w:p>
      <w:pPr>
        <w:ind w:left="2260" w:right="879" w:hanging="288"/>
        <w:spacing w:after="0" w:line="232" w:lineRule="auto"/>
        <w:tabs>
          <w:tab w:leader="none" w:pos="2260" w:val="left"/>
        </w:tabs>
        <w:numPr>
          <w:ilvl w:val="0"/>
          <w:numId w:val="13"/>
        </w:numPr>
        <w:rPr>
          <w:rFonts w:ascii="Arial" w:cs="Arial" w:eastAsia="Arial" w:hAnsi="Arial"/>
          <w:sz w:val="10"/>
          <w:szCs w:val="10"/>
          <w:color w:val="auto"/>
        </w:rPr>
      </w:pPr>
      <w:r>
        <w:rPr>
          <w:rFonts w:ascii="Arial" w:cs="Arial" w:eastAsia="Arial" w:hAnsi="Arial"/>
          <w:sz w:val="10"/>
          <w:szCs w:val="10"/>
          <w:color w:val="auto"/>
        </w:rPr>
        <w:t>Age and Committee memberships are as of April 3, 2023. Committee assignments are expected to be updated effective at the Annual Meeting to reflect the departure of Mr. Bronfin and Mr. Philip, including the appointment of new chairs of certain committees.</w:t>
      </w:r>
    </w:p>
    <w:p>
      <w:pPr>
        <w:spacing w:after="0" w:line="156" w:lineRule="exact"/>
        <w:rPr>
          <w:sz w:val="20"/>
          <w:szCs w:val="20"/>
          <w:color w:val="auto"/>
        </w:rPr>
      </w:pPr>
    </w:p>
    <w:p>
      <w:pPr>
        <w:ind w:left="3140"/>
        <w:spacing w:after="0"/>
        <w:tabs>
          <w:tab w:leader="none" w:pos="5600" w:val="left"/>
          <w:tab w:leader="none" w:pos="7440" w:val="left"/>
        </w:tabs>
        <w:rPr>
          <w:sz w:val="20"/>
          <w:szCs w:val="20"/>
          <w:color w:val="auto"/>
        </w:rPr>
      </w:pPr>
      <w:r>
        <w:rPr>
          <w:rFonts w:ascii="Arial" w:cs="Arial" w:eastAsia="Arial" w:hAnsi="Arial"/>
          <w:sz w:val="10"/>
          <w:szCs w:val="10"/>
          <w:color w:val="auto"/>
        </w:rPr>
        <w:t>Chair:</w:t>
      </w:r>
      <w:r>
        <w:rPr>
          <w:sz w:val="20"/>
          <w:szCs w:val="20"/>
          <w:color w:val="auto"/>
        </w:rPr>
        <w:tab/>
      </w:r>
      <w:r>
        <w:rPr>
          <w:rFonts w:ascii="Arial" w:cs="Arial" w:eastAsia="Arial" w:hAnsi="Arial"/>
          <w:sz w:val="10"/>
          <w:szCs w:val="10"/>
          <w:color w:val="auto"/>
        </w:rPr>
        <w:t>Member:</w:t>
      </w:r>
      <w:r>
        <w:rPr>
          <w:sz w:val="20"/>
          <w:szCs w:val="20"/>
          <w:color w:val="auto"/>
        </w:rPr>
        <w:tab/>
      </w:r>
      <w:r>
        <w:rPr>
          <w:rFonts w:ascii="Arial" w:cs="Arial" w:eastAsia="Arial" w:hAnsi="Arial"/>
          <w:sz w:val="8"/>
          <w:szCs w:val="8"/>
          <w:color w:val="auto"/>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-5715</wp:posOffset>
            </wp:positionV>
            <wp:extent cx="51435" cy="914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-5715</wp:posOffset>
            </wp:positionV>
            <wp:extent cx="51435" cy="914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-5715</wp:posOffset>
            </wp:positionV>
            <wp:extent cx="51435" cy="914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91440"/>
                    </a:xfrm>
                    <a:prstGeom prst="rect">
                      <a:avLst/>
                    </a:prstGeom>
                    <a:noFill/>
                  </pic:spPr>
                </pic:pic>
              </a:graphicData>
            </a:graphic>
          </wp:anchor>
        </w:drawing>
      </w:r>
    </w:p>
    <w:p>
      <w:pPr>
        <w:spacing w:after="0" w:line="286" w:lineRule="exact"/>
        <w:rPr>
          <w:sz w:val="20"/>
          <w:szCs w:val="20"/>
          <w:color w:val="auto"/>
        </w:rPr>
      </w:pPr>
    </w:p>
    <w:p>
      <w:pPr>
        <w:ind w:left="1980"/>
        <w:spacing w:after="0"/>
        <w:tabs>
          <w:tab w:leader="none" w:pos="2480" w:val="left"/>
        </w:tabs>
        <w:rPr>
          <w:sz w:val="20"/>
          <w:szCs w:val="20"/>
          <w:color w:val="auto"/>
        </w:rPr>
      </w:pPr>
      <w:r>
        <w:rPr>
          <w:rFonts w:ascii="Arial" w:cs="Arial" w:eastAsia="Arial" w:hAnsi="Arial"/>
          <w:sz w:val="11"/>
          <w:szCs w:val="11"/>
          <w:color w:val="auto"/>
        </w:rPr>
        <w:t>AC:</w:t>
      </w:r>
      <w:r>
        <w:rPr>
          <w:sz w:val="20"/>
          <w:szCs w:val="20"/>
          <w:color w:val="auto"/>
        </w:rPr>
        <w:tab/>
      </w:r>
      <w:r>
        <w:rPr>
          <w:rFonts w:ascii="Arial" w:cs="Arial" w:eastAsia="Arial" w:hAnsi="Arial"/>
          <w:sz w:val="11"/>
          <w:szCs w:val="11"/>
          <w:color w:val="auto"/>
        </w:rPr>
        <w:t>Audit Committee</w:t>
      </w:r>
    </w:p>
    <w:p>
      <w:pPr>
        <w:ind w:left="1980"/>
        <w:spacing w:after="0"/>
        <w:tabs>
          <w:tab w:leader="none" w:pos="2480" w:val="left"/>
        </w:tabs>
        <w:rPr>
          <w:sz w:val="20"/>
          <w:szCs w:val="20"/>
          <w:color w:val="auto"/>
        </w:rPr>
      </w:pPr>
      <w:r>
        <w:rPr>
          <w:rFonts w:ascii="Arial" w:cs="Arial" w:eastAsia="Arial" w:hAnsi="Arial"/>
          <w:sz w:val="11"/>
          <w:szCs w:val="11"/>
          <w:color w:val="auto"/>
        </w:rPr>
        <w:t>Comp:</w:t>
      </w:r>
      <w:r>
        <w:rPr>
          <w:sz w:val="20"/>
          <w:szCs w:val="20"/>
          <w:color w:val="auto"/>
        </w:rPr>
        <w:tab/>
      </w:r>
      <w:r>
        <w:rPr>
          <w:rFonts w:ascii="Arial" w:cs="Arial" w:eastAsia="Arial" w:hAnsi="Arial"/>
          <w:sz w:val="11"/>
          <w:szCs w:val="11"/>
          <w:color w:val="auto"/>
        </w:rPr>
        <w:t>Compensation Committee</w:t>
      </w:r>
    </w:p>
    <w:p>
      <w:pPr>
        <w:ind w:left="1980"/>
        <w:spacing w:after="0"/>
        <w:tabs>
          <w:tab w:leader="none" w:pos="2480" w:val="left"/>
        </w:tabs>
        <w:rPr>
          <w:sz w:val="20"/>
          <w:szCs w:val="20"/>
          <w:color w:val="auto"/>
        </w:rPr>
      </w:pPr>
      <w:r>
        <w:rPr>
          <w:rFonts w:ascii="Arial" w:cs="Arial" w:eastAsia="Arial" w:hAnsi="Arial"/>
          <w:sz w:val="11"/>
          <w:szCs w:val="11"/>
          <w:color w:val="auto"/>
        </w:rPr>
        <w:t>Cyber:</w:t>
      </w:r>
      <w:r>
        <w:rPr>
          <w:sz w:val="20"/>
          <w:szCs w:val="20"/>
          <w:color w:val="auto"/>
        </w:rPr>
        <w:tab/>
      </w:r>
      <w:r>
        <w:rPr>
          <w:rFonts w:ascii="Arial" w:cs="Arial" w:eastAsia="Arial" w:hAnsi="Arial"/>
          <w:sz w:val="11"/>
          <w:szCs w:val="11"/>
          <w:color w:val="auto"/>
        </w:rPr>
        <w:t>Cybersecurity and Data Privacy Committee</w:t>
      </w:r>
    </w:p>
    <w:p>
      <w:pPr>
        <w:ind w:left="1980"/>
        <w:spacing w:after="0"/>
        <w:tabs>
          <w:tab w:leader="none" w:pos="2480" w:val="left"/>
        </w:tabs>
        <w:rPr>
          <w:sz w:val="20"/>
          <w:szCs w:val="20"/>
          <w:color w:val="auto"/>
        </w:rPr>
      </w:pPr>
      <w:r>
        <w:rPr>
          <w:rFonts w:ascii="Arial" w:cs="Arial" w:eastAsia="Arial" w:hAnsi="Arial"/>
          <w:sz w:val="11"/>
          <w:szCs w:val="11"/>
          <w:color w:val="auto"/>
        </w:rPr>
        <w:t>Fin:</w:t>
      </w:r>
      <w:r>
        <w:rPr>
          <w:sz w:val="20"/>
          <w:szCs w:val="20"/>
          <w:color w:val="auto"/>
        </w:rPr>
        <w:tab/>
      </w:r>
      <w:r>
        <w:rPr>
          <w:rFonts w:ascii="Arial" w:cs="Arial" w:eastAsia="Arial" w:hAnsi="Arial"/>
          <w:sz w:val="11"/>
          <w:szCs w:val="11"/>
          <w:color w:val="auto"/>
        </w:rPr>
        <w:t>Finance and Capital Allocation Committee</w:t>
      </w:r>
    </w:p>
    <w:p>
      <w:pPr>
        <w:ind w:left="1980"/>
        <w:spacing w:after="0"/>
        <w:tabs>
          <w:tab w:leader="none" w:pos="2480" w:val="left"/>
        </w:tabs>
        <w:rPr>
          <w:sz w:val="20"/>
          <w:szCs w:val="20"/>
          <w:color w:val="auto"/>
        </w:rPr>
      </w:pPr>
      <w:r>
        <w:rPr>
          <w:rFonts w:ascii="Arial" w:cs="Arial" w:eastAsia="Arial" w:hAnsi="Arial"/>
          <w:sz w:val="11"/>
          <w:szCs w:val="11"/>
          <w:color w:val="auto"/>
        </w:rPr>
        <w:t>NGS:</w:t>
      </w:r>
      <w:r>
        <w:rPr>
          <w:sz w:val="20"/>
          <w:szCs w:val="20"/>
          <w:color w:val="auto"/>
        </w:rPr>
        <w:tab/>
      </w:r>
      <w:r>
        <w:rPr>
          <w:rFonts w:ascii="Arial" w:cs="Arial" w:eastAsia="Arial" w:hAnsi="Arial"/>
          <w:sz w:val="11"/>
          <w:szCs w:val="11"/>
          <w:color w:val="auto"/>
        </w:rPr>
        <w:t>Nominating, Governance and Social Responsibility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61595</wp:posOffset>
            </wp:positionV>
            <wp:extent cx="3971925" cy="2171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5"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FCFCFC"/>
        </w:rPr>
        <w:t>iv</w:t>
      </w:r>
    </w:p>
    <w:p>
      <w:pPr>
        <w:sectPr>
          <w:pgSz w:w="11900" w:h="16838" w:orient="portrait"/>
          <w:cols w:equalWidth="0" w:num="1">
            <w:col w:w="10159"/>
          </w:cols>
          <w:pgMar w:left="300" w:top="372" w:right="1440"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3"/>
          <w:szCs w:val="13"/>
          <w:b w:val="1"/>
          <w:bCs w:val="1"/>
          <w:i w:val="1"/>
          <w:iCs w:val="1"/>
          <w:color w:val="009BDE"/>
        </w:rPr>
        <w:t>Profile of the Board’s Nominees for Director</w:t>
      </w:r>
    </w:p>
    <w:p>
      <w:pPr>
        <w:spacing w:after="0" w:line="41" w:lineRule="exact"/>
        <w:rPr>
          <w:sz w:val="20"/>
          <w:szCs w:val="20"/>
          <w:color w:val="auto"/>
        </w:rPr>
      </w:pPr>
    </w:p>
    <w:p>
      <w:pPr>
        <w:ind w:left="1980" w:right="879"/>
        <w:spacing w:after="0" w:line="241" w:lineRule="auto"/>
        <w:rPr>
          <w:sz w:val="20"/>
          <w:szCs w:val="20"/>
          <w:color w:val="auto"/>
        </w:rPr>
      </w:pPr>
      <w:r>
        <w:rPr>
          <w:rFonts w:ascii="Arial" w:cs="Arial" w:eastAsia="Arial" w:hAnsi="Arial"/>
          <w:sz w:val="11"/>
          <w:szCs w:val="11"/>
          <w:color w:val="auto"/>
        </w:rPr>
        <w:t>The Board’s nominees are balanced by experience, age, gender and tenure. The Board’s nominees are an experienced, diverse group, with each member contributing and having his or her voice heard while supporting and appropriately challenging management. The Nominating, Governance and Social Responsibility Committee and the Board believe the mix of experience, diversity and perspectives on the Board serves to strengthen management and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2515235</wp:posOffset>
            </wp:positionH>
            <wp:positionV relativeFrom="paragraph">
              <wp:posOffset>99695</wp:posOffset>
            </wp:positionV>
            <wp:extent cx="2143125" cy="14287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43125"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980" w:right="879"/>
        <w:spacing w:after="0" w:line="245" w:lineRule="auto"/>
        <w:rPr>
          <w:sz w:val="20"/>
          <w:szCs w:val="20"/>
          <w:color w:val="auto"/>
        </w:rPr>
      </w:pPr>
      <w:r>
        <w:rPr>
          <w:rFonts w:ascii="Arial" w:cs="Arial" w:eastAsia="Arial" w:hAnsi="Arial"/>
          <w:sz w:val="11"/>
          <w:szCs w:val="11"/>
          <w:color w:val="auto"/>
        </w:rPr>
        <w:t>The Board’s nominees for director consist of a strong group of proven leaders with experience across a wide range of industries, including digital gaming, consumer products, and entertainment/media giving us a diverse set of skills, viewpoints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97790</wp:posOffset>
            </wp:positionV>
            <wp:extent cx="3971925" cy="28575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971925" cy="285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FCFCFC"/>
        </w:rPr>
        <w:t>v</w:t>
      </w:r>
    </w:p>
    <w:p>
      <w:pPr>
        <w:sectPr>
          <w:pgSz w:w="11900" w:h="16838" w:orient="portrait"/>
          <w:cols w:equalWidth="0" w:num="1">
            <w:col w:w="10159"/>
          </w:cols>
          <w:pgMar w:left="300" w:top="372" w:right="1440"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136525</wp:posOffset>
            </wp:positionV>
            <wp:extent cx="4663440" cy="2686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4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Corporate Governance Matters</w:t>
      </w:r>
    </w:p>
    <w:p>
      <w:pPr>
        <w:spacing w:after="0" w:line="282" w:lineRule="exact"/>
        <w:rPr>
          <w:sz w:val="20"/>
          <w:szCs w:val="20"/>
          <w:color w:val="auto"/>
        </w:rPr>
      </w:pPr>
    </w:p>
    <w:p>
      <w:pPr>
        <w:ind w:left="1980" w:right="879"/>
        <w:spacing w:after="0" w:line="245" w:lineRule="auto"/>
        <w:rPr>
          <w:sz w:val="20"/>
          <w:szCs w:val="20"/>
          <w:color w:val="auto"/>
        </w:rPr>
      </w:pPr>
      <w:r>
        <w:rPr>
          <w:rFonts w:ascii="Arial" w:cs="Arial" w:eastAsia="Arial" w:hAnsi="Arial"/>
          <w:sz w:val="11"/>
          <w:szCs w:val="11"/>
          <w:color w:val="auto"/>
        </w:rPr>
        <w:t>Hasbro is committed to strong corporate governance, ethical conduct, sustainability and the accountability of the Board and Hasbro’s senior management team to the Company’s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98425</wp:posOffset>
            </wp:positionV>
            <wp:extent cx="4663440" cy="30289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663440" cy="3028950"/>
                    </a:xfrm>
                    <a:prstGeom prst="rect">
                      <a:avLst/>
                    </a:prstGeom>
                    <a:noFill/>
                  </pic:spPr>
                </pic:pic>
              </a:graphicData>
            </a:graphic>
          </wp:anchor>
        </w:drawing>
      </w:r>
    </w:p>
    <w:p>
      <w:pPr>
        <w:spacing w:after="0" w:line="188" w:lineRule="exact"/>
        <w:rPr>
          <w:sz w:val="20"/>
          <w:szCs w:val="20"/>
          <w:color w:val="auto"/>
        </w:rPr>
      </w:pPr>
    </w:p>
    <w:p>
      <w:pPr>
        <w:ind w:left="2280"/>
        <w:spacing w:after="0"/>
        <w:rPr>
          <w:sz w:val="20"/>
          <w:szCs w:val="20"/>
          <w:color w:val="auto"/>
        </w:rPr>
      </w:pPr>
      <w:r>
        <w:rPr>
          <w:rFonts w:ascii="Arial" w:cs="Arial" w:eastAsia="Arial" w:hAnsi="Arial"/>
          <w:sz w:val="13"/>
          <w:szCs w:val="13"/>
          <w:b w:val="1"/>
          <w:bCs w:val="1"/>
          <w:color w:val="009BDE"/>
        </w:rPr>
        <w:t>Board and Board Committee Practices</w:t>
      </w:r>
    </w:p>
    <w:p>
      <w:pPr>
        <w:spacing w:after="0" w:line="104"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Entire Board is elected annually</w:t>
      </w:r>
    </w:p>
    <w:p>
      <w:pPr>
        <w:spacing w:after="0" w:line="45"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10 out of 11 of the Board’s nominees for director are independent (as defined by NASDAQ)</w:t>
      </w:r>
    </w:p>
    <w:p>
      <w:pPr>
        <w:spacing w:after="0" w:line="45"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64% of our director nominees are women</w:t>
      </w:r>
    </w:p>
    <w:p>
      <w:pPr>
        <w:spacing w:after="0" w:line="45"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18% of our director nominees are racially diverse</w:t>
      </w:r>
    </w:p>
    <w:p>
      <w:pPr>
        <w:spacing w:after="0" w:line="45"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Balance of experience, gender, diversity, tenure and qualifications</w:t>
      </w:r>
    </w:p>
    <w:p>
      <w:pPr>
        <w:spacing w:after="0" w:line="45"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Separate CEO and Independent Chair with clearly defined responsibilities</w:t>
      </w:r>
    </w:p>
    <w:p>
      <w:pPr>
        <w:spacing w:after="0" w:line="45"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All committees consist entirely of independent directors</w:t>
      </w:r>
    </w:p>
    <w:p>
      <w:pPr>
        <w:spacing w:after="0" w:line="45"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Risk oversight by Board and its committees</w:t>
      </w:r>
    </w:p>
    <w:p>
      <w:pPr>
        <w:spacing w:after="0" w:line="45" w:lineRule="exact"/>
        <w:rPr>
          <w:sz w:val="20"/>
          <w:szCs w:val="20"/>
          <w:color w:val="auto"/>
        </w:rPr>
      </w:pPr>
    </w:p>
    <w:p>
      <w:pPr>
        <w:ind w:left="2500" w:right="2139"/>
        <w:spacing w:after="0" w:line="324" w:lineRule="auto"/>
        <w:rPr>
          <w:sz w:val="20"/>
          <w:szCs w:val="20"/>
          <w:color w:val="auto"/>
        </w:rPr>
      </w:pPr>
      <w:r>
        <w:rPr>
          <w:rFonts w:ascii="Arial" w:cs="Arial" w:eastAsia="Arial" w:hAnsi="Arial"/>
          <w:sz w:val="11"/>
          <w:szCs w:val="11"/>
          <w:color w:val="auto"/>
        </w:rPr>
        <w:t>ESG oversight by the Board and the Nominating, Governance and Social Responsibility Committee of the Board Capital allocation and finance matters overseen by separate Finance and Capital Allocation Committee of the Board Cybersecurity overseen by separate Cybersecurity and Data Privacy Committee of the Board Annual Board and committee self-evaluations</w:t>
      </w:r>
    </w:p>
    <w:p>
      <w:pPr>
        <w:spacing w:after="0" w:line="1"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Director orientation and continuing education</w:t>
      </w:r>
    </w:p>
    <w:p>
      <w:pPr>
        <w:spacing w:after="0" w:line="45"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Policy limiting the number of public company boards on which our directors may serve</w:t>
      </w:r>
    </w:p>
    <w:p>
      <w:pPr>
        <w:spacing w:after="0" w:line="97" w:lineRule="exact"/>
        <w:rPr>
          <w:sz w:val="20"/>
          <w:szCs w:val="20"/>
          <w:color w:val="auto"/>
        </w:rPr>
      </w:pPr>
    </w:p>
    <w:p>
      <w:pPr>
        <w:ind w:left="2280"/>
        <w:spacing w:after="0"/>
        <w:rPr>
          <w:sz w:val="20"/>
          <w:szCs w:val="20"/>
          <w:color w:val="auto"/>
        </w:rPr>
      </w:pPr>
      <w:r>
        <w:rPr>
          <w:rFonts w:ascii="Arial" w:cs="Arial" w:eastAsia="Arial" w:hAnsi="Arial"/>
          <w:sz w:val="13"/>
          <w:szCs w:val="13"/>
          <w:b w:val="1"/>
          <w:bCs w:val="1"/>
          <w:color w:val="009BDE"/>
        </w:rPr>
        <w:t>Shareholder Rights, Accountability and Other Governance Practices</w:t>
      </w:r>
    </w:p>
    <w:p>
      <w:pPr>
        <w:spacing w:after="0" w:line="104"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Comprehensive shareholder outreach program and track record of constructive engagement</w:t>
      </w:r>
    </w:p>
    <w:p>
      <w:pPr>
        <w:spacing w:after="0" w:line="45"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No shareholder rights plan</w:t>
      </w:r>
    </w:p>
    <w:p>
      <w:pPr>
        <w:spacing w:after="0" w:line="45"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Annual shareholder advisory vote on executive compensation (“Say-on-Pay”)</w:t>
      </w:r>
    </w:p>
    <w:p>
      <w:pPr>
        <w:spacing w:after="0" w:line="45"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Majority vote standard with a plurality carve-out for contested elections</w:t>
      </w:r>
    </w:p>
    <w:p>
      <w:pPr>
        <w:spacing w:after="0" w:line="45"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Proxy access bylaw provision</w:t>
      </w:r>
    </w:p>
    <w:p>
      <w:pPr>
        <w:spacing w:after="0" w:line="45"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No pledging or hedging of Company stock by directors, officers or other employees</w:t>
      </w:r>
    </w:p>
    <w:p>
      <w:pPr>
        <w:spacing w:after="0" w:line="45"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Strong compensation Clawback Policy</w:t>
      </w:r>
    </w:p>
    <w:p>
      <w:pPr>
        <w:spacing w:after="0" w:line="45"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Stock ownership and share retention policy for Board members, executive officers and other key employees</w:t>
      </w:r>
    </w:p>
    <w:p>
      <w:pPr>
        <w:spacing w:after="0" w:line="45"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Written code of conduct and corporate governance principles</w:t>
      </w:r>
    </w:p>
    <w:p>
      <w:pPr>
        <w:spacing w:after="0" w:line="45"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Long-standing commitment to ESG and corporate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124460</wp:posOffset>
            </wp:positionV>
            <wp:extent cx="3971925" cy="2171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234"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vi</w:t>
      </w:r>
    </w:p>
    <w:p>
      <w:pPr>
        <w:sectPr>
          <w:pgSz w:w="11900" w:h="16838" w:orient="portrait"/>
          <w:cols w:equalWidth="0" w:num="1">
            <w:col w:w="10159"/>
          </w:cols>
          <w:pgMar w:left="300" w:top="372" w:right="1440"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3"/>
          <w:szCs w:val="13"/>
          <w:b w:val="1"/>
          <w:bCs w:val="1"/>
          <w:i w:val="1"/>
          <w:iCs w:val="1"/>
          <w:color w:val="009BDE"/>
        </w:rPr>
        <w:t>Shareholder Engagement</w:t>
      </w:r>
    </w:p>
    <w:p>
      <w:pPr>
        <w:spacing w:after="0" w:line="41" w:lineRule="exact"/>
        <w:rPr>
          <w:sz w:val="20"/>
          <w:szCs w:val="20"/>
          <w:color w:val="auto"/>
        </w:rPr>
      </w:pPr>
    </w:p>
    <w:p>
      <w:pPr>
        <w:ind w:left="1980" w:right="859"/>
        <w:spacing w:after="0" w:line="278" w:lineRule="auto"/>
        <w:rPr>
          <w:sz w:val="20"/>
          <w:szCs w:val="20"/>
          <w:color w:val="auto"/>
        </w:rPr>
      </w:pPr>
      <w:r>
        <w:rPr>
          <w:rFonts w:ascii="Arial" w:cs="Arial" w:eastAsia="Arial" w:hAnsi="Arial"/>
          <w:sz w:val="10"/>
          <w:szCs w:val="10"/>
          <w:color w:val="auto"/>
        </w:rPr>
        <w:t>Hasbro has engaged with numerous shareholders on the Company’s strategy and performance, Environmental, Social and Governance (“ESG”) issues, compensation matters and corporate governance for many years. We do this as part of our commitment to build relationships, be responsive to shareholders and ensure that our actions are informed by the viewpoints of our investors. Our shareholder engagement efforts are conducted year-round.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76835</wp:posOffset>
            </wp:positionV>
            <wp:extent cx="3469005" cy="12687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6900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980" w:right="859"/>
        <w:spacing w:after="0"/>
        <w:rPr>
          <w:sz w:val="20"/>
          <w:szCs w:val="20"/>
          <w:color w:val="auto"/>
        </w:rPr>
      </w:pPr>
      <w:r>
        <w:rPr>
          <w:rFonts w:ascii="Arial" w:cs="Arial" w:eastAsia="Arial" w:hAnsi="Arial"/>
          <w:sz w:val="11"/>
          <w:szCs w:val="11"/>
          <w:color w:val="auto"/>
        </w:rPr>
        <w:t>In addition to discussions just before our annual meeting, we initiate discussions during a quieter period several months before, typically in the fourth quarter, reaching out to our largest shareholders. Board members, such as the independent chair or chair of one of the Board committees, participate in many of these discussions. We believe that positive, two-way dialogue builds informed relationships that promote transparency and accountability. Management provides written and oral updates on the discussions with shareholders to your Board, which considers shareholder perspectives, as well as the interests of all stakeholders, when overseeing company strategy, formulating governance practices and designing compensation programs. In 2022, we had many conversations with our shareholders and proxy advisory firms to discuss our strategy, leadership and support for our board nominees for last year’s annual meeting.</w:t>
      </w:r>
    </w:p>
    <w:p>
      <w:pPr>
        <w:spacing w:after="0" w:line="123"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In addition to our year round engagement, in 2022 and early 2023, we proactively extended an invitation to our top 30 shareholders (holding in aggregate approximately 53% of our outstanding shares) to meet and we had discussions with those who accepted our invitation. We also spoke with shareholders who reached out to us. The chair of the Board participated in a number of these conversations. This year we covered a variety of topics, with a primary focus on our actions we have taken in response to shareholder feedback over the past year, as well as contemplated changes to our executive compensation plans, corporate governance and our ESG disclosure, programs and priorities. The meetings with our shareholders were productive, with specific positive comments about the actions we have taken and proposed to take.</w:t>
      </w:r>
    </w:p>
    <w:p>
      <w:pPr>
        <w:spacing w:after="0" w:line="201"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Key Actions Taken in the Past Year Considering Shareholder Feedback</w:t>
      </w:r>
    </w:p>
    <w:p>
      <w:pPr>
        <w:spacing w:after="0" w:line="74" w:lineRule="exact"/>
        <w:rPr>
          <w:sz w:val="20"/>
          <w:szCs w:val="20"/>
          <w:color w:val="auto"/>
        </w:rPr>
      </w:pPr>
    </w:p>
    <w:p>
      <w:pPr>
        <w:ind w:left="1980"/>
        <w:spacing w:after="0"/>
        <w:rPr>
          <w:sz w:val="20"/>
          <w:szCs w:val="20"/>
          <w:color w:val="auto"/>
        </w:rPr>
      </w:pPr>
      <w:r>
        <w:rPr>
          <w:rFonts w:ascii="Arial" w:cs="Arial" w:eastAsia="Arial" w:hAnsi="Arial"/>
          <w:sz w:val="11"/>
          <w:szCs w:val="11"/>
          <w:i w:val="1"/>
          <w:iCs w:val="1"/>
          <w:color w:val="auto"/>
        </w:rPr>
        <w:t>Strategic Review</w:t>
      </w:r>
      <w:r>
        <w:rPr>
          <w:rFonts w:ascii="Arial" w:cs="Arial" w:eastAsia="Arial" w:hAnsi="Arial"/>
          <w:sz w:val="11"/>
          <w:szCs w:val="11"/>
          <w:color w:val="auto"/>
        </w:rPr>
        <w:t>:</w:t>
      </w:r>
    </w:p>
    <w:p>
      <w:pPr>
        <w:spacing w:after="0" w:line="90" w:lineRule="exact"/>
        <w:rPr>
          <w:sz w:val="20"/>
          <w:szCs w:val="20"/>
          <w:color w:val="auto"/>
        </w:rPr>
      </w:pPr>
    </w:p>
    <w:p>
      <w:pPr>
        <w:ind w:left="2540" w:hanging="208"/>
        <w:spacing w:after="0"/>
        <w:tabs>
          <w:tab w:leader="none" w:pos="2540" w:val="left"/>
        </w:tabs>
        <w:numPr>
          <w:ilvl w:val="0"/>
          <w:numId w:val="14"/>
        </w:numPr>
        <w:rPr>
          <w:rFonts w:ascii="Arial" w:cs="Arial" w:eastAsia="Arial" w:hAnsi="Arial"/>
          <w:sz w:val="11"/>
          <w:szCs w:val="11"/>
          <w:color w:val="auto"/>
        </w:rPr>
      </w:pPr>
      <w:r>
        <w:rPr>
          <w:rFonts w:ascii="Arial" w:cs="Arial" w:eastAsia="Arial" w:hAnsi="Arial"/>
          <w:sz w:val="11"/>
          <w:szCs w:val="11"/>
          <w:color w:val="auto"/>
        </w:rPr>
        <w:t>Undertook a comprehensive strategy review.</w:t>
      </w:r>
    </w:p>
    <w:p>
      <w:pPr>
        <w:ind w:left="2540" w:hanging="208"/>
        <w:spacing w:after="0"/>
        <w:tabs>
          <w:tab w:leader="none" w:pos="2540" w:val="left"/>
        </w:tabs>
        <w:numPr>
          <w:ilvl w:val="0"/>
          <w:numId w:val="14"/>
        </w:numPr>
        <w:rPr>
          <w:rFonts w:ascii="Arial" w:cs="Arial" w:eastAsia="Arial" w:hAnsi="Arial"/>
          <w:sz w:val="11"/>
          <w:szCs w:val="11"/>
          <w:color w:val="auto"/>
        </w:rPr>
      </w:pPr>
      <w:r>
        <w:rPr>
          <w:rFonts w:ascii="Arial" w:cs="Arial" w:eastAsia="Arial" w:hAnsi="Arial"/>
          <w:sz w:val="11"/>
          <w:szCs w:val="11"/>
          <w:color w:val="auto"/>
        </w:rPr>
        <w:t>Unveiled Blueprint 2.0, our strategy to drive accelerated revenue and profit growth.</w:t>
      </w:r>
    </w:p>
    <w:p>
      <w:pPr>
        <w:ind w:left="2540" w:hanging="208"/>
        <w:spacing w:after="0"/>
        <w:tabs>
          <w:tab w:leader="none" w:pos="2540" w:val="left"/>
        </w:tabs>
        <w:numPr>
          <w:ilvl w:val="0"/>
          <w:numId w:val="14"/>
        </w:numPr>
        <w:rPr>
          <w:rFonts w:ascii="Arial" w:cs="Arial" w:eastAsia="Arial" w:hAnsi="Arial"/>
          <w:sz w:val="11"/>
          <w:szCs w:val="11"/>
          <w:color w:val="auto"/>
        </w:rPr>
      </w:pPr>
      <w:r>
        <w:rPr>
          <w:rFonts w:ascii="Arial" w:cs="Arial" w:eastAsia="Arial" w:hAnsi="Arial"/>
          <w:sz w:val="11"/>
          <w:szCs w:val="11"/>
          <w:color w:val="auto"/>
        </w:rPr>
        <w:t>Established an Operational Excellence Program to deliver $250 to $300 million in annual savings by end of fiscal 2025.</w:t>
      </w:r>
    </w:p>
    <w:p>
      <w:pPr>
        <w:ind w:left="2540" w:hanging="208"/>
        <w:spacing w:after="0"/>
        <w:tabs>
          <w:tab w:leader="none" w:pos="2540" w:val="left"/>
        </w:tabs>
        <w:numPr>
          <w:ilvl w:val="0"/>
          <w:numId w:val="14"/>
        </w:numPr>
        <w:rPr>
          <w:rFonts w:ascii="Arial" w:cs="Arial" w:eastAsia="Arial" w:hAnsi="Arial"/>
          <w:sz w:val="11"/>
          <w:szCs w:val="11"/>
          <w:color w:val="auto"/>
        </w:rPr>
      </w:pPr>
      <w:r>
        <w:rPr>
          <w:rFonts w:ascii="Arial" w:cs="Arial" w:eastAsia="Arial" w:hAnsi="Arial"/>
          <w:sz w:val="11"/>
          <w:szCs w:val="11"/>
          <w:color w:val="auto"/>
        </w:rPr>
        <w:t>Divested certain non-core assets and commenced a sale process of our eOne television and film business.</w:t>
      </w:r>
    </w:p>
    <w:p>
      <w:pPr>
        <w:spacing w:after="0" w:line="134" w:lineRule="exact"/>
        <w:rPr>
          <w:sz w:val="20"/>
          <w:szCs w:val="20"/>
          <w:color w:val="auto"/>
        </w:rPr>
      </w:pPr>
    </w:p>
    <w:p>
      <w:pPr>
        <w:ind w:left="1980"/>
        <w:spacing w:after="0"/>
        <w:rPr>
          <w:sz w:val="20"/>
          <w:szCs w:val="20"/>
          <w:color w:val="auto"/>
        </w:rPr>
      </w:pPr>
      <w:r>
        <w:rPr>
          <w:rFonts w:ascii="Arial" w:cs="Arial" w:eastAsia="Arial" w:hAnsi="Arial"/>
          <w:sz w:val="11"/>
          <w:szCs w:val="11"/>
          <w:i w:val="1"/>
          <w:iCs w:val="1"/>
          <w:color w:val="auto"/>
        </w:rPr>
        <w:t>Governance Changes</w:t>
      </w:r>
      <w:r>
        <w:rPr>
          <w:rFonts w:ascii="Arial" w:cs="Arial" w:eastAsia="Arial" w:hAnsi="Arial"/>
          <w:sz w:val="11"/>
          <w:szCs w:val="11"/>
          <w:color w:val="auto"/>
        </w:rPr>
        <w:t>:</w:t>
      </w:r>
    </w:p>
    <w:p>
      <w:pPr>
        <w:spacing w:after="0" w:line="37" w:lineRule="exact"/>
        <w:rPr>
          <w:sz w:val="20"/>
          <w:szCs w:val="20"/>
          <w:color w:val="auto"/>
        </w:rPr>
      </w:pPr>
    </w:p>
    <w:p>
      <w:pPr>
        <w:ind w:left="2540" w:right="939" w:hanging="208"/>
        <w:spacing w:after="0" w:line="239" w:lineRule="auto"/>
        <w:tabs>
          <w:tab w:leader="none" w:pos="2540" w:val="left"/>
        </w:tabs>
        <w:numPr>
          <w:ilvl w:val="0"/>
          <w:numId w:val="15"/>
        </w:numPr>
        <w:rPr>
          <w:rFonts w:ascii="Arial" w:cs="Arial" w:eastAsia="Arial" w:hAnsi="Arial"/>
          <w:sz w:val="11"/>
          <w:szCs w:val="11"/>
          <w:color w:val="auto"/>
        </w:rPr>
      </w:pPr>
      <w:r>
        <w:rPr>
          <w:rFonts w:ascii="Arial" w:cs="Arial" w:eastAsia="Arial" w:hAnsi="Arial"/>
          <w:sz w:val="11"/>
          <w:szCs w:val="11"/>
          <w:color w:val="auto"/>
        </w:rPr>
        <w:t>Refreshed our Board of Directors with the appointment of Elizabeth Hamren and Blake Jorgensen, two highly proficient directors with capital allocation and digital gaming experience.</w:t>
      </w:r>
    </w:p>
    <w:p>
      <w:pPr>
        <w:ind w:left="2540" w:right="1099" w:hanging="208"/>
        <w:spacing w:after="0" w:line="239" w:lineRule="auto"/>
        <w:tabs>
          <w:tab w:leader="none" w:pos="2540" w:val="left"/>
        </w:tabs>
        <w:numPr>
          <w:ilvl w:val="0"/>
          <w:numId w:val="15"/>
        </w:numPr>
        <w:rPr>
          <w:rFonts w:ascii="Arial" w:cs="Arial" w:eastAsia="Arial" w:hAnsi="Arial"/>
          <w:sz w:val="11"/>
          <w:szCs w:val="11"/>
          <w:color w:val="auto"/>
        </w:rPr>
      </w:pPr>
      <w:r>
        <w:rPr>
          <w:rFonts w:ascii="Arial" w:cs="Arial" w:eastAsia="Arial" w:hAnsi="Arial"/>
          <w:sz w:val="11"/>
          <w:szCs w:val="11"/>
          <w:color w:val="auto"/>
        </w:rPr>
        <w:t>Announced that our two longest-tenured directors, Ken Bronfin and Ted Philip, would not be standing for re-election as this year’s annual meeting; thereby bringing our total number of directors for election at this meeting to eleven (11).</w:t>
      </w:r>
    </w:p>
    <w:p>
      <w:pPr>
        <w:ind w:left="2540" w:right="959" w:hanging="208"/>
        <w:spacing w:after="0" w:line="239" w:lineRule="auto"/>
        <w:tabs>
          <w:tab w:leader="none" w:pos="2540" w:val="left"/>
        </w:tabs>
        <w:numPr>
          <w:ilvl w:val="0"/>
          <w:numId w:val="15"/>
        </w:numPr>
        <w:rPr>
          <w:rFonts w:ascii="Arial" w:cs="Arial" w:eastAsia="Arial" w:hAnsi="Arial"/>
          <w:sz w:val="11"/>
          <w:szCs w:val="11"/>
          <w:color w:val="auto"/>
        </w:rPr>
      </w:pPr>
      <w:r>
        <w:rPr>
          <w:rFonts w:ascii="Arial" w:cs="Arial" w:eastAsia="Arial" w:hAnsi="Arial"/>
          <w:sz w:val="11"/>
          <w:szCs w:val="11"/>
          <w:color w:val="auto"/>
        </w:rPr>
        <w:t>Clarified the role of our Finance Committee to explicitly provide for its oversight of capital allocation matters, including through renaming the committee to the Finance and Capital Allocation Committee.</w:t>
      </w:r>
    </w:p>
    <w:p>
      <w:pPr>
        <w:ind w:left="2540" w:hanging="208"/>
        <w:spacing w:after="0"/>
        <w:tabs>
          <w:tab w:leader="none" w:pos="2540" w:val="left"/>
        </w:tabs>
        <w:numPr>
          <w:ilvl w:val="0"/>
          <w:numId w:val="15"/>
        </w:numPr>
        <w:rPr>
          <w:rFonts w:ascii="Arial" w:cs="Arial" w:eastAsia="Arial" w:hAnsi="Arial"/>
          <w:sz w:val="11"/>
          <w:szCs w:val="11"/>
          <w:color w:val="auto"/>
        </w:rPr>
      </w:pPr>
      <w:r>
        <w:rPr>
          <w:rFonts w:ascii="Arial" w:cs="Arial" w:eastAsia="Arial" w:hAnsi="Arial"/>
          <w:sz w:val="11"/>
          <w:szCs w:val="11"/>
          <w:color w:val="auto"/>
        </w:rPr>
        <w:t>Reaffirming the separation of the CEO and Chair of the Board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61595</wp:posOffset>
            </wp:positionV>
            <wp:extent cx="3971925" cy="2171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5"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vii</w:t>
      </w:r>
    </w:p>
    <w:p>
      <w:pPr>
        <w:sectPr>
          <w:pgSz w:w="11900" w:h="16838" w:orient="portrait"/>
          <w:cols w:equalWidth="0" w:num="1">
            <w:col w:w="10159"/>
          </w:cols>
          <w:pgMar w:left="300" w:top="372" w:right="1440"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i w:val="1"/>
          <w:iCs w:val="1"/>
          <w:color w:val="auto"/>
        </w:rPr>
        <w:t>Compensation Changes</w:t>
      </w:r>
      <w:r>
        <w:rPr>
          <w:rFonts w:ascii="Arial" w:cs="Arial" w:eastAsia="Arial" w:hAnsi="Arial"/>
          <w:sz w:val="11"/>
          <w:szCs w:val="11"/>
          <w:color w:val="auto"/>
        </w:rPr>
        <w:t>:</w:t>
      </w:r>
    </w:p>
    <w:p>
      <w:pPr>
        <w:spacing w:after="0" w:line="36" w:lineRule="exact"/>
        <w:rPr>
          <w:sz w:val="20"/>
          <w:szCs w:val="20"/>
          <w:color w:val="auto"/>
        </w:rPr>
      </w:pPr>
    </w:p>
    <w:p>
      <w:pPr>
        <w:ind w:left="2540" w:hanging="208"/>
        <w:spacing w:after="0"/>
        <w:tabs>
          <w:tab w:leader="none" w:pos="2540" w:val="left"/>
        </w:tabs>
        <w:numPr>
          <w:ilvl w:val="0"/>
          <w:numId w:val="16"/>
        </w:numPr>
        <w:rPr>
          <w:rFonts w:ascii="Arial" w:cs="Arial" w:eastAsia="Arial" w:hAnsi="Arial"/>
          <w:sz w:val="11"/>
          <w:szCs w:val="11"/>
          <w:color w:val="auto"/>
        </w:rPr>
      </w:pPr>
      <w:r>
        <w:rPr>
          <w:rFonts w:ascii="Arial" w:cs="Arial" w:eastAsia="Arial" w:hAnsi="Arial"/>
          <w:sz w:val="11"/>
          <w:szCs w:val="11"/>
          <w:color w:val="auto"/>
        </w:rPr>
        <w:t>Amended short-term incentive plan performance metrics to remove free cash flow and add metrics relating to our transformation efforts.</w:t>
      </w:r>
    </w:p>
    <w:p>
      <w:pPr>
        <w:ind w:left="2540" w:hanging="208"/>
        <w:spacing w:after="0"/>
        <w:tabs>
          <w:tab w:leader="none" w:pos="2540" w:val="left"/>
        </w:tabs>
        <w:numPr>
          <w:ilvl w:val="0"/>
          <w:numId w:val="16"/>
        </w:numPr>
        <w:rPr>
          <w:rFonts w:ascii="Arial" w:cs="Arial" w:eastAsia="Arial" w:hAnsi="Arial"/>
          <w:sz w:val="11"/>
          <w:szCs w:val="11"/>
          <w:color w:val="auto"/>
        </w:rPr>
      </w:pPr>
      <w:r>
        <w:rPr>
          <w:rFonts w:ascii="Arial" w:cs="Arial" w:eastAsia="Arial" w:hAnsi="Arial"/>
          <w:sz w:val="11"/>
          <w:szCs w:val="11"/>
          <w:color w:val="auto"/>
        </w:rPr>
        <w:t>Reiterated the inclusion of an ESG or DE&amp;I metric to our short-term incentive plan.</w:t>
      </w:r>
    </w:p>
    <w:p>
      <w:pPr>
        <w:ind w:left="2540" w:right="959" w:hanging="208"/>
        <w:spacing w:after="0" w:line="242" w:lineRule="auto"/>
        <w:tabs>
          <w:tab w:leader="none" w:pos="2540" w:val="left"/>
        </w:tabs>
        <w:numPr>
          <w:ilvl w:val="0"/>
          <w:numId w:val="16"/>
        </w:numPr>
        <w:rPr>
          <w:rFonts w:ascii="Arial" w:cs="Arial" w:eastAsia="Arial" w:hAnsi="Arial"/>
          <w:sz w:val="11"/>
          <w:szCs w:val="11"/>
          <w:color w:val="auto"/>
        </w:rPr>
      </w:pPr>
      <w:r>
        <w:rPr>
          <w:rFonts w:ascii="Arial" w:cs="Arial" w:eastAsia="Arial" w:hAnsi="Arial"/>
          <w:sz w:val="11"/>
          <w:szCs w:val="11"/>
          <w:color w:val="auto"/>
        </w:rPr>
        <w:t>Amended long-term incentive plan performance metrics to remove revenue as a metric, thereby eliminating the potential for overlapping metrics with our short-term plan, and added a metric to the plan based on the Company’s TSR performance compared to the S&amp;P 500 TSR performance over the performance period.</w:t>
      </w:r>
    </w:p>
    <w:p>
      <w:pPr>
        <w:spacing w:after="0" w:line="129" w:lineRule="exact"/>
        <w:rPr>
          <w:sz w:val="20"/>
          <w:szCs w:val="20"/>
          <w:color w:val="auto"/>
        </w:rPr>
      </w:pPr>
    </w:p>
    <w:p>
      <w:pPr>
        <w:ind w:left="1980"/>
        <w:spacing w:after="0"/>
        <w:rPr>
          <w:sz w:val="20"/>
          <w:szCs w:val="20"/>
          <w:color w:val="auto"/>
        </w:rPr>
      </w:pPr>
      <w:r>
        <w:rPr>
          <w:rFonts w:ascii="Arial" w:cs="Arial" w:eastAsia="Arial" w:hAnsi="Arial"/>
          <w:sz w:val="11"/>
          <w:szCs w:val="11"/>
          <w:i w:val="1"/>
          <w:iCs w:val="1"/>
          <w:color w:val="auto"/>
        </w:rPr>
        <w:t>ESG Updates</w:t>
      </w:r>
      <w:r>
        <w:rPr>
          <w:rFonts w:ascii="Arial" w:cs="Arial" w:eastAsia="Arial" w:hAnsi="Arial"/>
          <w:sz w:val="11"/>
          <w:szCs w:val="11"/>
          <w:color w:val="auto"/>
        </w:rPr>
        <w:t>:</w:t>
      </w:r>
    </w:p>
    <w:p>
      <w:pPr>
        <w:spacing w:after="0" w:line="36" w:lineRule="exact"/>
        <w:rPr>
          <w:sz w:val="20"/>
          <w:szCs w:val="20"/>
          <w:color w:val="auto"/>
        </w:rPr>
      </w:pPr>
    </w:p>
    <w:p>
      <w:pPr>
        <w:ind w:left="2540" w:hanging="208"/>
        <w:spacing w:after="0"/>
        <w:tabs>
          <w:tab w:leader="none" w:pos="254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Reported that we committed to set Science Based Targets for 2030 and 2050.</w:t>
      </w:r>
    </w:p>
    <w:p>
      <w:pPr>
        <w:ind w:left="2540" w:hanging="208"/>
        <w:spacing w:after="0"/>
        <w:tabs>
          <w:tab w:leader="none" w:pos="2540" w:val="left"/>
        </w:tabs>
        <w:numPr>
          <w:ilvl w:val="0"/>
          <w:numId w:val="17"/>
        </w:numPr>
        <w:rPr>
          <w:rFonts w:ascii="Arial" w:cs="Arial" w:eastAsia="Arial" w:hAnsi="Arial"/>
          <w:sz w:val="11"/>
          <w:szCs w:val="11"/>
          <w:color w:val="auto"/>
        </w:rPr>
      </w:pPr>
      <w:r>
        <w:rPr>
          <w:rFonts w:ascii="Arial" w:cs="Arial" w:eastAsia="Arial" w:hAnsi="Arial"/>
          <w:sz w:val="11"/>
          <w:szCs w:val="11"/>
          <w:color w:val="auto"/>
        </w:rPr>
        <w:t>Discussed our recently released DE&amp;I report.</w:t>
      </w:r>
    </w:p>
    <w:p>
      <w:pPr>
        <w:ind w:left="2540" w:hanging="208"/>
        <w:spacing w:after="0"/>
        <w:tabs>
          <w:tab w:leader="none" w:pos="254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Reviewed key updates to our ESG progress report, which was released in late 2022.</w:t>
      </w:r>
    </w:p>
    <w:p>
      <w:pPr>
        <w:spacing w:after="0" w:line="134" w:lineRule="exact"/>
        <w:rPr>
          <w:sz w:val="20"/>
          <w:szCs w:val="20"/>
          <w:color w:val="auto"/>
        </w:rPr>
      </w:pPr>
    </w:p>
    <w:p>
      <w:pPr>
        <w:ind w:left="1980"/>
        <w:spacing w:after="0"/>
        <w:rPr>
          <w:sz w:val="20"/>
          <w:szCs w:val="20"/>
          <w:color w:val="auto"/>
        </w:rPr>
      </w:pPr>
      <w:r>
        <w:rPr>
          <w:rFonts w:ascii="Arial" w:cs="Arial" w:eastAsia="Arial" w:hAnsi="Arial"/>
          <w:sz w:val="11"/>
          <w:szCs w:val="11"/>
          <w:i w:val="1"/>
          <w:iCs w:val="1"/>
          <w:color w:val="auto"/>
        </w:rPr>
        <w:t>Disclosure Changes</w:t>
      </w:r>
      <w:r>
        <w:rPr>
          <w:rFonts w:ascii="Arial" w:cs="Arial" w:eastAsia="Arial" w:hAnsi="Arial"/>
          <w:sz w:val="11"/>
          <w:szCs w:val="11"/>
          <w:color w:val="auto"/>
        </w:rPr>
        <w:t>:</w:t>
      </w:r>
    </w:p>
    <w:p>
      <w:pPr>
        <w:spacing w:after="0" w:line="36" w:lineRule="exact"/>
        <w:rPr>
          <w:sz w:val="20"/>
          <w:szCs w:val="20"/>
          <w:color w:val="auto"/>
        </w:rPr>
      </w:pPr>
    </w:p>
    <w:p>
      <w:pPr>
        <w:ind w:left="2540" w:hanging="208"/>
        <w:spacing w:after="0"/>
        <w:tabs>
          <w:tab w:leader="none" w:pos="2540" w:val="left"/>
        </w:tabs>
        <w:numPr>
          <w:ilvl w:val="0"/>
          <w:numId w:val="18"/>
        </w:numPr>
        <w:rPr>
          <w:rFonts w:ascii="Arial" w:cs="Arial" w:eastAsia="Arial" w:hAnsi="Arial"/>
          <w:sz w:val="11"/>
          <w:szCs w:val="11"/>
          <w:color w:val="auto"/>
        </w:rPr>
      </w:pPr>
      <w:r>
        <w:rPr>
          <w:rFonts w:ascii="Arial" w:cs="Arial" w:eastAsia="Arial" w:hAnsi="Arial"/>
          <w:sz w:val="11"/>
          <w:szCs w:val="11"/>
          <w:color w:val="auto"/>
        </w:rPr>
        <w:t>Began disclosing tabletop and digital gaming revenues separately for Wizards of the Coast and Digital Gaming Segment.</w:t>
      </w:r>
    </w:p>
    <w:p>
      <w:pPr>
        <w:ind w:left="2540" w:hanging="208"/>
        <w:spacing w:after="0"/>
        <w:tabs>
          <w:tab w:leader="none" w:pos="2540" w:val="left"/>
        </w:tabs>
        <w:numPr>
          <w:ilvl w:val="0"/>
          <w:numId w:val="18"/>
        </w:numPr>
        <w:rPr>
          <w:rFonts w:ascii="Arial" w:cs="Arial" w:eastAsia="Arial" w:hAnsi="Arial"/>
          <w:sz w:val="11"/>
          <w:szCs w:val="11"/>
          <w:color w:val="auto"/>
        </w:rPr>
      </w:pPr>
      <w:r>
        <w:rPr>
          <w:rFonts w:ascii="Arial" w:cs="Arial" w:eastAsia="Arial" w:hAnsi="Arial"/>
          <w:sz w:val="11"/>
          <w:szCs w:val="11"/>
          <w:color w:val="auto"/>
        </w:rPr>
        <w:t>Refreshed our list of franchise brands commencing in the first quarter of 2023.</w:t>
      </w:r>
    </w:p>
    <w:p>
      <w:pPr>
        <w:ind w:left="2540" w:hanging="208"/>
        <w:spacing w:after="0"/>
        <w:tabs>
          <w:tab w:leader="none" w:pos="2540" w:val="left"/>
        </w:tabs>
        <w:numPr>
          <w:ilvl w:val="0"/>
          <w:numId w:val="18"/>
        </w:numPr>
        <w:rPr>
          <w:rFonts w:ascii="Arial" w:cs="Arial" w:eastAsia="Arial" w:hAnsi="Arial"/>
          <w:sz w:val="11"/>
          <w:szCs w:val="11"/>
          <w:color w:val="auto"/>
        </w:rPr>
      </w:pPr>
      <w:r>
        <w:rPr>
          <w:rFonts w:ascii="Arial" w:cs="Arial" w:eastAsia="Arial" w:hAnsi="Arial"/>
          <w:sz w:val="11"/>
          <w:szCs w:val="11"/>
          <w:color w:val="auto"/>
        </w:rPr>
        <w:t>Committed to separately disclose brands with revenue of $1 billion or greater.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101600</wp:posOffset>
            </wp:positionV>
            <wp:extent cx="4663440" cy="2686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186"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Driving ESG Performance</w:t>
      </w:r>
    </w:p>
    <w:p>
      <w:pPr>
        <w:spacing w:after="0" w:line="308" w:lineRule="exact"/>
        <w:rPr>
          <w:sz w:val="20"/>
          <w:szCs w:val="20"/>
          <w:color w:val="auto"/>
        </w:rPr>
      </w:pPr>
    </w:p>
    <w:p>
      <w:pPr>
        <w:ind w:left="1980"/>
        <w:spacing w:after="0"/>
        <w:rPr>
          <w:sz w:val="20"/>
          <w:szCs w:val="20"/>
          <w:color w:val="auto"/>
        </w:rPr>
      </w:pPr>
      <w:r>
        <w:rPr>
          <w:rFonts w:ascii="Arial" w:cs="Arial" w:eastAsia="Arial" w:hAnsi="Arial"/>
          <w:sz w:val="13"/>
          <w:szCs w:val="13"/>
          <w:b w:val="1"/>
          <w:bCs w:val="1"/>
          <w:i w:val="1"/>
          <w:iCs w:val="1"/>
          <w:color w:val="009BDE"/>
        </w:rPr>
        <w:t>Overview</w:t>
      </w:r>
    </w:p>
    <w:p>
      <w:pPr>
        <w:spacing w:after="0" w:line="41" w:lineRule="exact"/>
        <w:rPr>
          <w:sz w:val="20"/>
          <w:szCs w:val="20"/>
          <w:color w:val="auto"/>
        </w:rPr>
      </w:pPr>
    </w:p>
    <w:p>
      <w:pPr>
        <w:jc w:val="both"/>
        <w:ind w:left="1980" w:right="859"/>
        <w:spacing w:after="0" w:line="242" w:lineRule="auto"/>
        <w:rPr>
          <w:sz w:val="20"/>
          <w:szCs w:val="20"/>
          <w:color w:val="auto"/>
        </w:rPr>
      </w:pPr>
      <w:r>
        <w:rPr>
          <w:rFonts w:ascii="Arial" w:cs="Arial" w:eastAsia="Arial" w:hAnsi="Arial"/>
          <w:sz w:val="11"/>
          <w:szCs w:val="11"/>
          <w:color w:val="auto"/>
        </w:rPr>
        <w:t>At Hasbro, we believe strong ESG performance drives long-term value creation for our business and stakeholders. Our ESG priorities include climate and environment, human rights and ethical sourcing, human capital management and culture, including Diversity, Equity &amp; Inclusion (“DE&amp;I”), and product and content safety. Below are some ESG highlights from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99060</wp:posOffset>
            </wp:positionV>
            <wp:extent cx="4314825" cy="31889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1482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viii</w:t>
      </w:r>
    </w:p>
    <w:p>
      <w:pPr>
        <w:sectPr>
          <w:pgSz w:w="11900" w:h="16838" w:orient="portrait"/>
          <w:cols w:equalWidth="0" w:num="1">
            <w:col w:w="10159"/>
          </w:cols>
          <w:pgMar w:left="300" w:top="372" w:right="1440"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3"/>
          <w:szCs w:val="13"/>
          <w:b w:val="1"/>
          <w:bCs w:val="1"/>
          <w:i w:val="1"/>
          <w:iCs w:val="1"/>
          <w:color w:val="009BDE"/>
        </w:rPr>
        <w:t>Building on Our Success and Reaching New Heights</w:t>
      </w:r>
    </w:p>
    <w:p>
      <w:pPr>
        <w:spacing w:after="0" w:line="41" w:lineRule="exact"/>
        <w:rPr>
          <w:sz w:val="20"/>
          <w:szCs w:val="20"/>
          <w:color w:val="auto"/>
        </w:rPr>
      </w:pPr>
    </w:p>
    <w:p>
      <w:pPr>
        <w:ind w:left="1980" w:right="979"/>
        <w:spacing w:after="0" w:line="242" w:lineRule="auto"/>
        <w:rPr>
          <w:sz w:val="20"/>
          <w:szCs w:val="20"/>
          <w:color w:val="auto"/>
        </w:rPr>
      </w:pPr>
      <w:r>
        <w:rPr>
          <w:rFonts w:ascii="Arial" w:cs="Arial" w:eastAsia="Arial" w:hAnsi="Arial"/>
          <w:sz w:val="11"/>
          <w:szCs w:val="11"/>
          <w:color w:val="auto"/>
        </w:rPr>
        <w:t>ESG at Hasbro is the framework for translating our Company’s Purpose into action — getting from “why” we exist to “how” we deliver sustainable, long-term value for our Company and stakeholders. We continue to integrate ESG across our business and are proud of our strategic initiatives that are intended to further our purpose and make a positive impact for our employees, consumers, investors, and planet.</w:t>
      </w:r>
    </w:p>
    <w:p>
      <w:pPr>
        <w:spacing w:after="0" w:line="9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Recent recognition for Hasbro’s leadership in promoting and advancing the interests of our stakeholders, our communities and our planet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101600</wp:posOffset>
            </wp:positionV>
            <wp:extent cx="2257425" cy="19545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25742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980"/>
        <w:spacing w:after="0"/>
        <w:rPr>
          <w:sz w:val="20"/>
          <w:szCs w:val="20"/>
          <w:color w:val="auto"/>
        </w:rPr>
      </w:pPr>
      <w:r>
        <w:rPr>
          <w:rFonts w:ascii="Arial" w:cs="Arial" w:eastAsia="Arial" w:hAnsi="Arial"/>
          <w:sz w:val="13"/>
          <w:szCs w:val="13"/>
          <w:b w:val="1"/>
          <w:bCs w:val="1"/>
          <w:i w:val="1"/>
          <w:iCs w:val="1"/>
          <w:color w:val="009BDE"/>
        </w:rPr>
        <w:t>Governance</w:t>
      </w:r>
    </w:p>
    <w:p>
      <w:pPr>
        <w:spacing w:after="0" w:line="32" w:lineRule="exact"/>
        <w:rPr>
          <w:sz w:val="20"/>
          <w:szCs w:val="20"/>
          <w:color w:val="auto"/>
        </w:rPr>
      </w:pPr>
    </w:p>
    <w:p>
      <w:pPr>
        <w:ind w:left="1980" w:right="899"/>
        <w:spacing w:after="0" w:line="270" w:lineRule="auto"/>
        <w:rPr>
          <w:sz w:val="20"/>
          <w:szCs w:val="20"/>
          <w:color w:val="auto"/>
        </w:rPr>
      </w:pPr>
      <w:r>
        <w:rPr>
          <w:rFonts w:ascii="Arial" w:cs="Arial" w:eastAsia="Arial" w:hAnsi="Arial"/>
          <w:sz w:val="10"/>
          <w:szCs w:val="10"/>
          <w:color w:val="auto"/>
        </w:rPr>
        <w:t>The governance of ESG starts with our Board, with specific oversight by the Nominating, Governance, and Social Responsibility Committee of the Board (the “Governance Committee”). ESG topics, such as climate, human rights and DE&amp;I are regular agenda items at the Governance Committee. Additionally, the Audit Committee of the Board oversees SEC and public disclosures in specific areas like conflict minerals, climate risk and sustainability, and enterprise risk. Through the Compensation Committee of the Board, the Board considers ESG performance and priorities when determining the plan design for compensation, and overall performance of our senior executives. The full Board receives regular updates regarding our ESG progress.</w:t>
      </w:r>
    </w:p>
    <w:p>
      <w:pPr>
        <w:spacing w:after="0" w:line="82"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In addition to Board-level governance, our CEO and the executive leadership team (ELT) regularly review our ESG performance, progress and opportunities. Our ESG Committee, chaired by our Chief Purpose Officer and comprised of our ELT, meets several times a year to ensure rigorous management oversight of the Company’s ESG strategy, impact and performance. The Chief Purpose Officer, who reports to the CEO and is a member of the ELT, together with Chief Executive Officer, Chief Legal Officer and other members of our ELT, set the direction for our global ESG strategy and performance, and ensure the integration of ESG throughout the global organization and supply chain. Our Chief People Officer is also responsible for developing and executing key aspects of our human capital strategy, including the attraction, acquisition, development and engagement of talent to deliver on the Company’s strategy, the design of competitive compensation and employee benefit programs.</w:t>
      </w:r>
    </w:p>
    <w:p>
      <w:pPr>
        <w:spacing w:after="0" w:line="96" w:lineRule="exact"/>
        <w:rPr>
          <w:sz w:val="20"/>
          <w:szCs w:val="20"/>
          <w:color w:val="auto"/>
        </w:rPr>
      </w:pPr>
    </w:p>
    <w:p>
      <w:pPr>
        <w:ind w:left="1980" w:right="879"/>
        <w:spacing w:after="0" w:line="241" w:lineRule="auto"/>
        <w:rPr>
          <w:sz w:val="20"/>
          <w:szCs w:val="20"/>
          <w:color w:val="auto"/>
        </w:rPr>
      </w:pPr>
      <w:r>
        <w:rPr>
          <w:rFonts w:ascii="Arial" w:cs="Arial" w:eastAsia="Arial" w:hAnsi="Arial"/>
          <w:sz w:val="11"/>
          <w:szCs w:val="11"/>
          <w:color w:val="auto"/>
        </w:rPr>
        <w:t>Our CEO and Chief People Officer chair our internal DE&amp;I Steering Committee, a committee comprised of global management leaders from various parts of the business. The DE&amp;I Steering Committee is responsible for setting and reviewing the Company’s DE&amp;I strategy and performance and identifying any gaps and opportunities. Our Senior Vice President of DE&amp;I and Multicultural Strategy is responsible for executing the strategy and presenting our DE&amp;I progress to the Board twice yearly.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3971925" cy="2171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1"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FCFCFC"/>
        </w:rPr>
        <w:t>ix</w:t>
      </w:r>
    </w:p>
    <w:p>
      <w:pPr>
        <w:sectPr>
          <w:pgSz w:w="11900" w:h="16838" w:orient="portrait"/>
          <w:cols w:equalWidth="0" w:num="1">
            <w:col w:w="10159"/>
          </w:cols>
          <w:pgMar w:left="300" w:top="372" w:right="1440"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3"/>
          <w:szCs w:val="13"/>
          <w:b w:val="1"/>
          <w:bCs w:val="1"/>
          <w:i w:val="1"/>
          <w:iCs w:val="1"/>
          <w:color w:val="009BDE"/>
        </w:rPr>
        <w:t>ESG Strategic Priorities</w:t>
      </w:r>
    </w:p>
    <w:p>
      <w:pPr>
        <w:spacing w:after="0" w:line="29" w:lineRule="exact"/>
        <w:rPr>
          <w:sz w:val="20"/>
          <w:szCs w:val="20"/>
          <w:color w:val="auto"/>
        </w:rPr>
      </w:pPr>
    </w:p>
    <w:p>
      <w:pPr>
        <w:ind w:left="2120" w:right="959" w:hanging="148"/>
        <w:spacing w:after="0" w:line="248" w:lineRule="auto"/>
        <w:tabs>
          <w:tab w:leader="none" w:pos="2120" w:val="left"/>
        </w:tabs>
        <w:numPr>
          <w:ilvl w:val="0"/>
          <w:numId w:val="19"/>
        </w:numPr>
        <w:rPr>
          <w:rFonts w:ascii="Arial" w:cs="Arial" w:eastAsia="Arial" w:hAnsi="Arial"/>
          <w:sz w:val="11"/>
          <w:szCs w:val="11"/>
          <w:color w:val="auto"/>
        </w:rPr>
      </w:pPr>
      <w:r>
        <w:rPr>
          <w:rFonts w:ascii="Arial" w:cs="Arial" w:eastAsia="Arial" w:hAnsi="Arial"/>
          <w:sz w:val="11"/>
          <w:szCs w:val="11"/>
          <w:b w:val="1"/>
          <w:bCs w:val="1"/>
          <w:color w:val="009BDE"/>
        </w:rPr>
        <w:t xml:space="preserve">Climate and Environment. </w:t>
      </w:r>
      <w:r>
        <w:rPr>
          <w:rFonts w:ascii="Arial" w:cs="Arial" w:eastAsia="Arial" w:hAnsi="Arial"/>
          <w:sz w:val="11"/>
          <w:szCs w:val="11"/>
          <w:color w:val="000000"/>
        </w:rPr>
        <w:t>We recognize the impact our business can have on the environment and are working to reduce our footprint. We view</w:t>
      </w:r>
      <w:r>
        <w:rPr>
          <w:rFonts w:ascii="Arial" w:cs="Arial" w:eastAsia="Arial" w:hAnsi="Arial"/>
          <w:sz w:val="11"/>
          <w:szCs w:val="11"/>
          <w:b w:val="1"/>
          <w:bCs w:val="1"/>
          <w:color w:val="009BDE"/>
        </w:rPr>
        <w:t xml:space="preserve"> </w:t>
      </w:r>
      <w:r>
        <w:rPr>
          <w:rFonts w:ascii="Arial" w:cs="Arial" w:eastAsia="Arial" w:hAnsi="Arial"/>
          <w:sz w:val="11"/>
          <w:szCs w:val="11"/>
          <w:color w:val="000000"/>
        </w:rPr>
        <w:t>sustainability challenges as opportunities to innovate and continuously improve our product design and operational efficiencies. We believe the long-term viability and health of our own operations and our supply chain, and the significant potential for environmental improvements, are key components to our business success.</w:t>
      </w:r>
    </w:p>
    <w:p>
      <w:pPr>
        <w:spacing w:after="0" w:line="53" w:lineRule="exact"/>
        <w:rPr>
          <w:rFonts w:ascii="Arial" w:cs="Arial" w:eastAsia="Arial" w:hAnsi="Arial"/>
          <w:sz w:val="11"/>
          <w:szCs w:val="11"/>
          <w:color w:val="auto"/>
        </w:rPr>
      </w:pPr>
    </w:p>
    <w:p>
      <w:pPr>
        <w:ind w:left="2120" w:right="959"/>
        <w:spacing w:after="0" w:line="248" w:lineRule="auto"/>
        <w:rPr>
          <w:rFonts w:ascii="Arial" w:cs="Arial" w:eastAsia="Arial" w:hAnsi="Arial"/>
          <w:sz w:val="11"/>
          <w:szCs w:val="11"/>
          <w:color w:val="auto"/>
        </w:rPr>
      </w:pPr>
      <w:r>
        <w:rPr>
          <w:rFonts w:ascii="Arial" w:cs="Arial" w:eastAsia="Arial" w:hAnsi="Arial"/>
          <w:sz w:val="11"/>
          <w:szCs w:val="11"/>
          <w:b w:val="1"/>
          <w:bCs w:val="1"/>
          <w:color w:val="auto"/>
        </w:rPr>
        <w:t xml:space="preserve">Reducing our Carbon Footprint and Setting Science-Based Targets: </w:t>
      </w:r>
      <w:r>
        <w:rPr>
          <w:rFonts w:ascii="Arial" w:cs="Arial" w:eastAsia="Arial" w:hAnsi="Arial"/>
          <w:sz w:val="11"/>
          <w:szCs w:val="11"/>
          <w:color w:val="auto"/>
        </w:rPr>
        <w:t>We committed to set greenhouse gas emission reductions with a near-term</w:t>
      </w:r>
      <w:r>
        <w:rPr>
          <w:rFonts w:ascii="Arial" w:cs="Arial" w:eastAsia="Arial" w:hAnsi="Arial"/>
          <w:sz w:val="11"/>
          <w:szCs w:val="11"/>
          <w:b w:val="1"/>
          <w:bCs w:val="1"/>
          <w:color w:val="auto"/>
        </w:rPr>
        <w:t xml:space="preserve"> </w:t>
      </w:r>
      <w:r>
        <w:rPr>
          <w:rFonts w:ascii="Arial" w:cs="Arial" w:eastAsia="Arial" w:hAnsi="Arial"/>
          <w:sz w:val="11"/>
          <w:szCs w:val="11"/>
          <w:color w:val="auto"/>
        </w:rPr>
        <w:t>2030 goal, based on limiting emissions to keep warming below 1.5°C above pre-industrial levels, and a long-term 2050 goal, based on net-zero emissions across our value chain. In joining the Science-Based Target Initiative (SBTi), we expect to leverage a globally accepted methodology for setting GHG reduction targets in line with the goals of the Paris Agreement.</w:t>
      </w:r>
    </w:p>
    <w:p>
      <w:pPr>
        <w:spacing w:after="0" w:line="65" w:lineRule="exact"/>
        <w:rPr>
          <w:rFonts w:ascii="Arial" w:cs="Arial" w:eastAsia="Arial" w:hAnsi="Arial"/>
          <w:sz w:val="11"/>
          <w:szCs w:val="11"/>
          <w:color w:val="auto"/>
        </w:rPr>
      </w:pPr>
    </w:p>
    <w:p>
      <w:pPr>
        <w:ind w:left="2120" w:right="899"/>
        <w:spacing w:after="0" w:line="241" w:lineRule="auto"/>
        <w:rPr>
          <w:rFonts w:ascii="Arial" w:cs="Arial" w:eastAsia="Arial" w:hAnsi="Arial"/>
          <w:sz w:val="11"/>
          <w:szCs w:val="11"/>
          <w:color w:val="auto"/>
        </w:rPr>
      </w:pPr>
      <w:r>
        <w:rPr>
          <w:rFonts w:ascii="Arial" w:cs="Arial" w:eastAsia="Arial" w:hAnsi="Arial"/>
          <w:sz w:val="11"/>
          <w:szCs w:val="11"/>
          <w:color w:val="auto"/>
        </w:rPr>
        <w:t>We continue to invest in renewable electricity. To address the carbon footprint associated with electricity consumption of our owned and operated facilities, we purchase Renewable Energy Certificates (RECs), each of which represent one megawatt hour (MWh) of renewable energy generated on the same grid as our electricity consumption. We purchase RECs to cover virtually 100% of the electricity consumed in each market where available. The amount of money we have spent in this area has been de minimis.</w:t>
      </w:r>
    </w:p>
    <w:p>
      <w:pPr>
        <w:spacing w:after="0" w:line="55" w:lineRule="exact"/>
        <w:rPr>
          <w:rFonts w:ascii="Arial" w:cs="Arial" w:eastAsia="Arial" w:hAnsi="Arial"/>
          <w:sz w:val="11"/>
          <w:szCs w:val="11"/>
          <w:color w:val="auto"/>
        </w:rPr>
      </w:pPr>
    </w:p>
    <w:p>
      <w:pPr>
        <w:ind w:left="2120" w:right="859"/>
        <w:spacing w:after="0" w:line="246" w:lineRule="auto"/>
        <w:rPr>
          <w:rFonts w:ascii="Arial" w:cs="Arial" w:eastAsia="Arial" w:hAnsi="Arial"/>
          <w:sz w:val="11"/>
          <w:szCs w:val="11"/>
          <w:color w:val="auto"/>
        </w:rPr>
      </w:pPr>
      <w:r>
        <w:rPr>
          <w:rFonts w:ascii="Arial" w:cs="Arial" w:eastAsia="Arial" w:hAnsi="Arial"/>
          <w:sz w:val="11"/>
          <w:szCs w:val="11"/>
          <w:b w:val="1"/>
          <w:bCs w:val="1"/>
          <w:color w:val="auto"/>
        </w:rPr>
        <w:t xml:space="preserve">Managing Climate Risk and Resilience and Leveraging the TCFD Framework: </w:t>
      </w:r>
      <w:r>
        <w:rPr>
          <w:rFonts w:ascii="Arial" w:cs="Arial" w:eastAsia="Arial" w:hAnsi="Arial"/>
          <w:sz w:val="11"/>
          <w:szCs w:val="11"/>
          <w:color w:val="auto"/>
        </w:rPr>
        <w:t>Managing the resilience of our business to the potential risks of</w:t>
      </w:r>
      <w:r>
        <w:rPr>
          <w:rFonts w:ascii="Arial" w:cs="Arial" w:eastAsia="Arial" w:hAnsi="Arial"/>
          <w:sz w:val="11"/>
          <w:szCs w:val="11"/>
          <w:b w:val="1"/>
          <w:bCs w:val="1"/>
          <w:color w:val="auto"/>
        </w:rPr>
        <w:t xml:space="preserve"> </w:t>
      </w:r>
      <w:r>
        <w:rPr>
          <w:rFonts w:ascii="Arial" w:cs="Arial" w:eastAsia="Arial" w:hAnsi="Arial"/>
          <w:sz w:val="11"/>
          <w:szCs w:val="11"/>
          <w:color w:val="auto"/>
        </w:rPr>
        <w:t>climate change is a priority. We are working to further integrate climate risk and resilience into our overall enterprise risk management process. In 2022, we initiated work to evaluate the integration of the Task Force on Climate-related Financial Disclosures (TCFD) framework into our existing ERM process across four key areas: governance, risk management, strategy and metrics &amp; targets. Once implemented, the TCFD framework will help identify any potential climate risks, guide management of those potential risks and measure the effectiveness of our mitigation measures.</w:t>
      </w:r>
    </w:p>
    <w:p>
      <w:pPr>
        <w:spacing w:after="0" w:line="62" w:lineRule="exact"/>
        <w:rPr>
          <w:rFonts w:ascii="Arial" w:cs="Arial" w:eastAsia="Arial" w:hAnsi="Arial"/>
          <w:sz w:val="11"/>
          <w:szCs w:val="11"/>
          <w:color w:val="auto"/>
        </w:rPr>
      </w:pPr>
    </w:p>
    <w:p>
      <w:pPr>
        <w:ind w:left="2120" w:right="899" w:hanging="148"/>
        <w:spacing w:after="0" w:line="276" w:lineRule="auto"/>
        <w:tabs>
          <w:tab w:leader="none" w:pos="2120" w:val="left"/>
        </w:tabs>
        <w:numPr>
          <w:ilvl w:val="0"/>
          <w:numId w:val="19"/>
        </w:numPr>
        <w:rPr>
          <w:rFonts w:ascii="Arial" w:cs="Arial" w:eastAsia="Arial" w:hAnsi="Arial"/>
          <w:sz w:val="10"/>
          <w:szCs w:val="10"/>
          <w:color w:val="auto"/>
        </w:rPr>
      </w:pPr>
      <w:r>
        <w:rPr>
          <w:rFonts w:ascii="Arial" w:cs="Arial" w:eastAsia="Arial" w:hAnsi="Arial"/>
          <w:sz w:val="10"/>
          <w:szCs w:val="10"/>
          <w:b w:val="1"/>
          <w:bCs w:val="1"/>
          <w:color w:val="009BDE"/>
        </w:rPr>
        <w:t xml:space="preserve">Human Rights and Ethical Sourcing. </w:t>
      </w:r>
      <w:r>
        <w:rPr>
          <w:rFonts w:ascii="Arial" w:cs="Arial" w:eastAsia="Arial" w:hAnsi="Arial"/>
          <w:sz w:val="10"/>
          <w:szCs w:val="10"/>
          <w:color w:val="000000"/>
        </w:rPr>
        <w:t>Our Human Rights and Ethical Sourcing program is dedicated to ensuring that facilities involved in the</w:t>
      </w:r>
      <w:r>
        <w:rPr>
          <w:rFonts w:ascii="Arial" w:cs="Arial" w:eastAsia="Arial" w:hAnsi="Arial"/>
          <w:sz w:val="10"/>
          <w:szCs w:val="10"/>
          <w:b w:val="1"/>
          <w:bCs w:val="1"/>
          <w:color w:val="009BDE"/>
        </w:rPr>
        <w:t xml:space="preserve"> </w:t>
      </w:r>
      <w:r>
        <w:rPr>
          <w:rFonts w:ascii="Arial" w:cs="Arial" w:eastAsia="Arial" w:hAnsi="Arial"/>
          <w:sz w:val="10"/>
          <w:szCs w:val="10"/>
          <w:color w:val="000000"/>
        </w:rPr>
        <w:t>production of our toys, games, and licensed consumer products, comply with Hasbro’s Global Business Ethics Principles. The program is designed to ensure fair and safe working conditions; fairness, dignity and respect for workers; and robust supplier engagement to ensure strong safety, health and environmental performance. While working on these issues with partners, suppliers, third-party factories and licensees is complex, we remain vigilant in our commitment to ensure workers in our supply chain are treated in accordance with our high ethical standards and applicable laws.</w:t>
      </w:r>
    </w:p>
    <w:p>
      <w:pPr>
        <w:spacing w:after="0" w:line="49" w:lineRule="exact"/>
        <w:rPr>
          <w:rFonts w:ascii="Arial" w:cs="Arial" w:eastAsia="Arial" w:hAnsi="Arial"/>
          <w:sz w:val="10"/>
          <w:szCs w:val="10"/>
          <w:color w:val="auto"/>
        </w:rPr>
      </w:pPr>
    </w:p>
    <w:p>
      <w:pPr>
        <w:ind w:left="2120" w:right="899" w:hanging="148"/>
        <w:spacing w:after="0" w:line="274" w:lineRule="auto"/>
        <w:tabs>
          <w:tab w:leader="none" w:pos="2120" w:val="left"/>
        </w:tabs>
        <w:numPr>
          <w:ilvl w:val="0"/>
          <w:numId w:val="19"/>
        </w:numPr>
        <w:rPr>
          <w:rFonts w:ascii="Arial" w:cs="Arial" w:eastAsia="Arial" w:hAnsi="Arial"/>
          <w:sz w:val="10"/>
          <w:szCs w:val="10"/>
          <w:color w:val="auto"/>
        </w:rPr>
      </w:pPr>
      <w:r>
        <w:rPr>
          <w:rFonts w:ascii="Arial" w:cs="Arial" w:eastAsia="Arial" w:hAnsi="Arial"/>
          <w:sz w:val="10"/>
          <w:szCs w:val="10"/>
          <w:b w:val="1"/>
          <w:bCs w:val="1"/>
          <w:color w:val="009BDE"/>
        </w:rPr>
        <w:t xml:space="preserve">Human Capital Management and Culture. </w:t>
      </w:r>
      <w:r>
        <w:rPr>
          <w:rFonts w:ascii="Arial" w:cs="Arial" w:eastAsia="Arial" w:hAnsi="Arial"/>
          <w:sz w:val="10"/>
          <w:szCs w:val="10"/>
          <w:color w:val="000000"/>
        </w:rPr>
        <w:t>Our key human capital management objectives for our direct workforce are to attract, develop and retain</w:t>
      </w:r>
      <w:r>
        <w:rPr>
          <w:rFonts w:ascii="Arial" w:cs="Arial" w:eastAsia="Arial" w:hAnsi="Arial"/>
          <w:sz w:val="10"/>
          <w:szCs w:val="10"/>
          <w:b w:val="1"/>
          <w:bCs w:val="1"/>
          <w:color w:val="009BDE"/>
        </w:rPr>
        <w:t xml:space="preserve"> </w:t>
      </w:r>
      <w:r>
        <w:rPr>
          <w:rFonts w:ascii="Arial" w:cs="Arial" w:eastAsia="Arial" w:hAnsi="Arial"/>
          <w:sz w:val="10"/>
          <w:szCs w:val="10"/>
          <w:color w:val="000000"/>
        </w:rPr>
        <w:t>diverse talent. The experience, dedication and diverse backgrounds of our employees are at the heart of our success, energizing everything we do, from developing innovative products to creating immersive game, consumer products and entertainment experiences. Our teams are inspired by our Purpose of creating joy and community for all people around the world. Our inclusive culture sets us up to deliver excellence, build impactful brands and expand our leadership in play, entertainment and beyond. As our organization continues to evolve, we remain steadfast in our ambition to provide a supportive and inclusive community where everyone can show up authentically as themselves and deliver their best work.</w:t>
      </w:r>
    </w:p>
    <w:p>
      <w:pPr>
        <w:spacing w:after="0" w:line="49" w:lineRule="exact"/>
        <w:rPr>
          <w:rFonts w:ascii="Arial" w:cs="Arial" w:eastAsia="Arial" w:hAnsi="Arial"/>
          <w:sz w:val="10"/>
          <w:szCs w:val="10"/>
          <w:color w:val="auto"/>
        </w:rPr>
      </w:pPr>
    </w:p>
    <w:p>
      <w:pPr>
        <w:ind w:left="2260" w:right="959" w:hanging="144"/>
        <w:spacing w:after="0" w:line="244" w:lineRule="auto"/>
        <w:tabs>
          <w:tab w:leader="none" w:pos="2260" w:val="left"/>
        </w:tabs>
        <w:numPr>
          <w:ilvl w:val="1"/>
          <w:numId w:val="19"/>
        </w:numPr>
        <w:rPr>
          <w:rFonts w:ascii="Arial" w:cs="Arial" w:eastAsia="Arial" w:hAnsi="Arial"/>
          <w:sz w:val="8"/>
          <w:szCs w:val="8"/>
          <w:color w:val="auto"/>
        </w:rPr>
      </w:pPr>
      <w:r>
        <w:rPr>
          <w:rFonts w:ascii="Arial" w:cs="Arial" w:eastAsia="Arial" w:hAnsi="Arial"/>
          <w:sz w:val="11"/>
          <w:szCs w:val="11"/>
          <w:b w:val="1"/>
          <w:bCs w:val="1"/>
          <w:color w:val="009BDE"/>
        </w:rPr>
        <w:t xml:space="preserve">Diversity, Equity and Inclusion. </w:t>
      </w:r>
      <w:r>
        <w:rPr>
          <w:rFonts w:ascii="Arial" w:cs="Arial" w:eastAsia="Arial" w:hAnsi="Arial"/>
          <w:sz w:val="11"/>
          <w:szCs w:val="11"/>
          <w:color w:val="000000"/>
        </w:rPr>
        <w:t>We believe that the more inclusive we are as a company, the more effective our employees will be and the</w:t>
      </w:r>
      <w:r>
        <w:rPr>
          <w:rFonts w:ascii="Arial" w:cs="Arial" w:eastAsia="Arial" w:hAnsi="Arial"/>
          <w:sz w:val="11"/>
          <w:szCs w:val="11"/>
          <w:b w:val="1"/>
          <w:bCs w:val="1"/>
          <w:color w:val="009BDE"/>
        </w:rPr>
        <w:t xml:space="preserve"> </w:t>
      </w:r>
      <w:r>
        <w:rPr>
          <w:rFonts w:ascii="Arial" w:cs="Arial" w:eastAsia="Arial" w:hAnsi="Arial"/>
          <w:sz w:val="11"/>
          <w:szCs w:val="11"/>
          <w:color w:val="000000"/>
        </w:rPr>
        <w:t>stronger our business will perform. Hasbro views DE&amp;I as a strategic ESG priority that is linked to the future success of our business and the growth of our brands. We want our work to move beyond traditional gender and demographic stereotypes and to celebrate people of all backgrounds and lived experiences. We know this work begins with our people, and we work diligently to foster an inclusive culture with a diverse workforce that reflects the consumers and communities we serve globally. For our U.S. workforce, we disclose our diversity by job type, based on the EEO-1 filing, which is available on our CSR website.</w:t>
      </w:r>
    </w:p>
    <w:p>
      <w:pPr>
        <w:spacing w:after="0" w:line="65" w:lineRule="exact"/>
        <w:rPr>
          <w:rFonts w:ascii="Arial" w:cs="Arial" w:eastAsia="Arial" w:hAnsi="Arial"/>
          <w:sz w:val="8"/>
          <w:szCs w:val="8"/>
          <w:color w:val="auto"/>
        </w:rPr>
      </w:pPr>
    </w:p>
    <w:p>
      <w:pPr>
        <w:ind w:left="2260" w:right="839" w:hanging="144"/>
        <w:spacing w:after="0" w:line="244" w:lineRule="auto"/>
        <w:tabs>
          <w:tab w:leader="none" w:pos="2260" w:val="left"/>
        </w:tabs>
        <w:numPr>
          <w:ilvl w:val="1"/>
          <w:numId w:val="19"/>
        </w:numPr>
        <w:rPr>
          <w:rFonts w:ascii="Arial" w:cs="Arial" w:eastAsia="Arial" w:hAnsi="Arial"/>
          <w:sz w:val="8"/>
          <w:szCs w:val="8"/>
          <w:color w:val="auto"/>
        </w:rPr>
      </w:pPr>
      <w:r>
        <w:rPr>
          <w:rFonts w:ascii="Arial" w:cs="Arial" w:eastAsia="Arial" w:hAnsi="Arial"/>
          <w:sz w:val="11"/>
          <w:szCs w:val="11"/>
          <w:b w:val="1"/>
          <w:bCs w:val="1"/>
          <w:color w:val="009BDE"/>
        </w:rPr>
        <w:t xml:space="preserve">Compensation, Health, Safety &amp; Well-being of Employees. </w:t>
      </w:r>
      <w:r>
        <w:rPr>
          <w:rFonts w:ascii="Arial" w:cs="Arial" w:eastAsia="Arial" w:hAnsi="Arial"/>
          <w:sz w:val="11"/>
          <w:szCs w:val="11"/>
          <w:color w:val="000000"/>
        </w:rPr>
        <w:t>Employee attraction, development and retention has long been a key Hasbro priority.</w:t>
      </w:r>
      <w:r>
        <w:rPr>
          <w:rFonts w:ascii="Arial" w:cs="Arial" w:eastAsia="Arial" w:hAnsi="Arial"/>
          <w:sz w:val="11"/>
          <w:szCs w:val="11"/>
          <w:b w:val="1"/>
          <w:bCs w:val="1"/>
          <w:color w:val="009BDE"/>
        </w:rPr>
        <w:t xml:space="preserve"> </w:t>
      </w:r>
      <w:r>
        <w:rPr>
          <w:rFonts w:ascii="Arial" w:cs="Arial" w:eastAsia="Arial" w:hAnsi="Arial"/>
          <w:sz w:val="11"/>
          <w:szCs w:val="11"/>
          <w:color w:val="000000"/>
        </w:rPr>
        <w:t>We recognize and reward our employees with a total rewards package that includes competitive base pay, equity compensation (for certain levels), annual incentives, product discounts and other comprehensive benefits, including wellness programs that help people integrate work and life commitments. We regularly review salary ratios for men and women in similar roles to help maintain internal equity and market competitiveness across the globe. We review both industry and local market data at least annually to identify trends and market gaps to maintain the competitiveness of our compensation and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3971925" cy="2171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1"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FCFCFC"/>
        </w:rPr>
        <w:t>x</w:t>
      </w:r>
    </w:p>
    <w:p>
      <w:pPr>
        <w:sectPr>
          <w:pgSz w:w="11900" w:h="16838" w:orient="portrait"/>
          <w:cols w:equalWidth="0" w:num="1">
            <w:col w:w="10159"/>
          </w:cols>
          <w:pgMar w:left="300" w:top="372" w:right="1440"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2260" w:right="859"/>
        <w:spacing w:after="0"/>
        <w:rPr>
          <w:sz w:val="20"/>
          <w:szCs w:val="20"/>
          <w:color w:val="auto"/>
        </w:rPr>
      </w:pPr>
      <w:r>
        <w:rPr>
          <w:rFonts w:ascii="Arial" w:cs="Arial" w:eastAsia="Arial" w:hAnsi="Arial"/>
          <w:sz w:val="11"/>
          <w:szCs w:val="11"/>
          <w:color w:val="auto"/>
        </w:rPr>
        <w:t>benefit programs. When conducting our global compensation reviews, we analyze salary information by a variety of factors, including gender globally and ethnicity in the United States. When designing our compensation and employee benefit programs, we also look beyond the fundamentals of these important components and consider the bigger picture of how these programs contribute to the overall employee experience. Employee health, safety and wellness are top priorities at Hasbro, and we support our colleagues’ well-being, which includes mental, physical and financial wellness, through a number of programs.</w:t>
      </w:r>
    </w:p>
    <w:p>
      <w:pPr>
        <w:spacing w:after="0" w:line="67" w:lineRule="exact"/>
        <w:rPr>
          <w:sz w:val="20"/>
          <w:szCs w:val="20"/>
          <w:color w:val="auto"/>
        </w:rPr>
      </w:pPr>
    </w:p>
    <w:p>
      <w:pPr>
        <w:ind w:left="2260" w:right="899" w:hanging="144"/>
        <w:spacing w:after="0" w:line="244" w:lineRule="auto"/>
        <w:tabs>
          <w:tab w:leader="none" w:pos="2260" w:val="left"/>
        </w:tabs>
        <w:numPr>
          <w:ilvl w:val="0"/>
          <w:numId w:val="20"/>
        </w:numPr>
        <w:rPr>
          <w:rFonts w:ascii="Arial" w:cs="Arial" w:eastAsia="Arial" w:hAnsi="Arial"/>
          <w:sz w:val="8"/>
          <w:szCs w:val="8"/>
          <w:color w:val="auto"/>
        </w:rPr>
      </w:pPr>
      <w:r>
        <w:rPr>
          <w:rFonts w:ascii="Arial" w:cs="Arial" w:eastAsia="Arial" w:hAnsi="Arial"/>
          <w:sz w:val="11"/>
          <w:szCs w:val="11"/>
          <w:b w:val="1"/>
          <w:bCs w:val="1"/>
          <w:color w:val="009BDE"/>
        </w:rPr>
        <w:t xml:space="preserve">Employee Engagement. </w:t>
      </w:r>
      <w:r>
        <w:rPr>
          <w:rFonts w:ascii="Arial" w:cs="Arial" w:eastAsia="Arial" w:hAnsi="Arial"/>
          <w:sz w:val="11"/>
          <w:szCs w:val="11"/>
          <w:color w:val="000000"/>
        </w:rPr>
        <w:t>At Hasbro, we support a number of Employee Resource Groups (ERGs). These groups reflect our diverse employee</w:t>
      </w:r>
      <w:r>
        <w:rPr>
          <w:rFonts w:ascii="Arial" w:cs="Arial" w:eastAsia="Arial" w:hAnsi="Arial"/>
          <w:sz w:val="11"/>
          <w:szCs w:val="11"/>
          <w:b w:val="1"/>
          <w:bCs w:val="1"/>
          <w:color w:val="009BDE"/>
        </w:rPr>
        <w:t xml:space="preserve"> </w:t>
      </w:r>
      <w:r>
        <w:rPr>
          <w:rFonts w:ascii="Arial" w:cs="Arial" w:eastAsia="Arial" w:hAnsi="Arial"/>
          <w:sz w:val="11"/>
          <w:szCs w:val="11"/>
          <w:color w:val="000000"/>
        </w:rPr>
        <w:t>population and provide dynamic opportunities for employee engagement. Our ERGs give voice to member concerns, create opportunities for networking and leadership skills development, support employee recruitment and retention efforts and celebrate ethnic and cultural themes important to our global team. In addition to our ERGs, we established a Business Resource Group (BRG), which provides a channel for employees to provide the business with input, guidance and perspective on strategic brand development and marketing initiatives early in the creation process related to race, ethnicity, gender identity, sexual orientation, veteran status and ability.</w:t>
      </w:r>
    </w:p>
    <w:p>
      <w:pPr>
        <w:spacing w:after="0" w:line="65" w:lineRule="exact"/>
        <w:rPr>
          <w:rFonts w:ascii="Arial" w:cs="Arial" w:eastAsia="Arial" w:hAnsi="Arial"/>
          <w:sz w:val="8"/>
          <w:szCs w:val="8"/>
          <w:color w:val="auto"/>
        </w:rPr>
      </w:pPr>
    </w:p>
    <w:p>
      <w:pPr>
        <w:ind w:left="2260" w:right="879" w:hanging="144"/>
        <w:spacing w:after="0" w:line="246" w:lineRule="auto"/>
        <w:tabs>
          <w:tab w:leader="none" w:pos="2260" w:val="left"/>
        </w:tabs>
        <w:numPr>
          <w:ilvl w:val="0"/>
          <w:numId w:val="20"/>
        </w:numPr>
        <w:rPr>
          <w:rFonts w:ascii="Arial" w:cs="Arial" w:eastAsia="Arial" w:hAnsi="Arial"/>
          <w:sz w:val="8"/>
          <w:szCs w:val="8"/>
          <w:color w:val="auto"/>
        </w:rPr>
      </w:pPr>
      <w:r>
        <w:rPr>
          <w:rFonts w:ascii="Arial" w:cs="Arial" w:eastAsia="Arial" w:hAnsi="Arial"/>
          <w:sz w:val="11"/>
          <w:szCs w:val="11"/>
          <w:b w:val="1"/>
          <w:bCs w:val="1"/>
          <w:color w:val="009BDE"/>
        </w:rPr>
        <w:t xml:space="preserve">Training and Talent Development. </w:t>
      </w:r>
      <w:r>
        <w:rPr>
          <w:rFonts w:ascii="Arial" w:cs="Arial" w:eastAsia="Arial" w:hAnsi="Arial"/>
          <w:sz w:val="11"/>
          <w:szCs w:val="11"/>
          <w:color w:val="000000"/>
        </w:rPr>
        <w:t>We are committed to the continued development of our people. Strategic talent reviews and succession</w:t>
      </w:r>
      <w:r>
        <w:rPr>
          <w:rFonts w:ascii="Arial" w:cs="Arial" w:eastAsia="Arial" w:hAnsi="Arial"/>
          <w:sz w:val="11"/>
          <w:szCs w:val="11"/>
          <w:b w:val="1"/>
          <w:bCs w:val="1"/>
          <w:color w:val="009BDE"/>
        </w:rPr>
        <w:t xml:space="preserve"> </w:t>
      </w:r>
      <w:r>
        <w:rPr>
          <w:rFonts w:ascii="Arial" w:cs="Arial" w:eastAsia="Arial" w:hAnsi="Arial"/>
          <w:sz w:val="11"/>
          <w:szCs w:val="11"/>
          <w:color w:val="000000"/>
        </w:rPr>
        <w:t>planning occur on a planned cadence annually — globally and across all business areas. The CEO and Chief People Officer convene meetings with senior company leadership and the Board to review top company talent. We provide opportunities for our employees to grow their careers. We invest in the development of our employees by providing in-house training and opportunities to participate in third-party programs, including specialized training as well as broader academic pursuits.</w:t>
      </w:r>
    </w:p>
    <w:p>
      <w:pPr>
        <w:spacing w:after="0" w:line="62" w:lineRule="exact"/>
        <w:rPr>
          <w:rFonts w:ascii="Arial" w:cs="Arial" w:eastAsia="Arial" w:hAnsi="Arial"/>
          <w:sz w:val="8"/>
          <w:szCs w:val="8"/>
          <w:color w:val="auto"/>
        </w:rPr>
      </w:pPr>
    </w:p>
    <w:p>
      <w:pPr>
        <w:ind w:left="2260" w:right="899" w:hanging="144"/>
        <w:spacing w:after="0" w:line="243" w:lineRule="auto"/>
        <w:tabs>
          <w:tab w:leader="none" w:pos="2260" w:val="left"/>
        </w:tabs>
        <w:numPr>
          <w:ilvl w:val="0"/>
          <w:numId w:val="20"/>
        </w:numPr>
        <w:rPr>
          <w:rFonts w:ascii="Arial" w:cs="Arial" w:eastAsia="Arial" w:hAnsi="Arial"/>
          <w:sz w:val="8"/>
          <w:szCs w:val="8"/>
          <w:color w:val="auto"/>
        </w:rPr>
      </w:pPr>
      <w:r>
        <w:rPr>
          <w:rFonts w:ascii="Arial" w:cs="Arial" w:eastAsia="Arial" w:hAnsi="Arial"/>
          <w:sz w:val="11"/>
          <w:szCs w:val="11"/>
          <w:b w:val="1"/>
          <w:bCs w:val="1"/>
          <w:color w:val="009BDE"/>
        </w:rPr>
        <w:t xml:space="preserve">Philanthropy and Social Impact. </w:t>
      </w:r>
      <w:r>
        <w:rPr>
          <w:rFonts w:ascii="Arial" w:cs="Arial" w:eastAsia="Arial" w:hAnsi="Arial"/>
          <w:sz w:val="11"/>
          <w:szCs w:val="11"/>
          <w:color w:val="000000"/>
        </w:rPr>
        <w:t>Giving back to our local and global communities is core to our heritage and our culture. We empower our team</w:t>
      </w:r>
      <w:r>
        <w:rPr>
          <w:rFonts w:ascii="Arial" w:cs="Arial" w:eastAsia="Arial" w:hAnsi="Arial"/>
          <w:sz w:val="11"/>
          <w:szCs w:val="11"/>
          <w:b w:val="1"/>
          <w:bCs w:val="1"/>
          <w:color w:val="009BDE"/>
        </w:rPr>
        <w:t xml:space="preserve"> </w:t>
      </w:r>
      <w:r>
        <w:rPr>
          <w:rFonts w:ascii="Arial" w:cs="Arial" w:eastAsia="Arial" w:hAnsi="Arial"/>
          <w:sz w:val="11"/>
          <w:szCs w:val="11"/>
          <w:color w:val="000000"/>
        </w:rPr>
        <w:t>members to give back through our volunteer program which grants four hours paid time off per month to volunteer in programs that support children, underserved communities, the environment and other important areas of impact. In addition, team-building company-sponsored volunteer projects and skills-based volunteer opportunities are organized throughout the year, providing our employees the opportunity to make a meaningful difference in their communities around the world. Global Day of Joy is Hasbro’s annual, company-wide day of service and has become a cherished tradition. Global Day of Joy takes place every December, and employees from each Hasbro office participate in service projects to benefit a variety of organizations.</w:t>
      </w:r>
    </w:p>
    <w:p>
      <w:pPr>
        <w:spacing w:after="0" w:line="66" w:lineRule="exact"/>
        <w:rPr>
          <w:rFonts w:ascii="Arial" w:cs="Arial" w:eastAsia="Arial" w:hAnsi="Arial"/>
          <w:sz w:val="8"/>
          <w:szCs w:val="8"/>
          <w:color w:val="auto"/>
        </w:rPr>
      </w:pPr>
    </w:p>
    <w:p>
      <w:pPr>
        <w:ind w:left="2260" w:right="959" w:hanging="144"/>
        <w:spacing w:after="0" w:line="248" w:lineRule="auto"/>
        <w:tabs>
          <w:tab w:leader="none" w:pos="2260" w:val="left"/>
        </w:tabs>
        <w:numPr>
          <w:ilvl w:val="0"/>
          <w:numId w:val="20"/>
        </w:numPr>
        <w:rPr>
          <w:rFonts w:ascii="Arial" w:cs="Arial" w:eastAsia="Arial" w:hAnsi="Arial"/>
          <w:sz w:val="8"/>
          <w:szCs w:val="8"/>
          <w:color w:val="auto"/>
        </w:rPr>
      </w:pPr>
      <w:r>
        <w:rPr>
          <w:rFonts w:ascii="Arial" w:cs="Arial" w:eastAsia="Arial" w:hAnsi="Arial"/>
          <w:sz w:val="11"/>
          <w:szCs w:val="11"/>
          <w:b w:val="1"/>
          <w:bCs w:val="1"/>
          <w:color w:val="009BDE"/>
        </w:rPr>
        <w:t xml:space="preserve">Incentive Compensation. </w:t>
      </w:r>
      <w:r>
        <w:rPr>
          <w:rFonts w:ascii="Arial" w:cs="Arial" w:eastAsia="Arial" w:hAnsi="Arial"/>
          <w:sz w:val="11"/>
          <w:szCs w:val="11"/>
          <w:color w:val="000000"/>
        </w:rPr>
        <w:t>We also drive performance across our strategic ESG priority areas through incentives and executive compensation.</w:t>
      </w:r>
      <w:r>
        <w:rPr>
          <w:rFonts w:ascii="Arial" w:cs="Arial" w:eastAsia="Arial" w:hAnsi="Arial"/>
          <w:sz w:val="11"/>
          <w:szCs w:val="11"/>
          <w:b w:val="1"/>
          <w:bCs w:val="1"/>
          <w:color w:val="009BDE"/>
        </w:rPr>
        <w:t xml:space="preserve"> </w:t>
      </w:r>
      <w:r>
        <w:rPr>
          <w:rFonts w:ascii="Arial" w:cs="Arial" w:eastAsia="Arial" w:hAnsi="Arial"/>
          <w:sz w:val="11"/>
          <w:szCs w:val="11"/>
          <w:color w:val="000000"/>
        </w:rPr>
        <w:t>Specifically, in 2021 and 2022 we included an ESG objective in each of our executives’ individual annual incentive plan modifiers, which are designed to embed ESG into our business strategy and reward meaningful progress against our ESG goals, including specifically diversity, equity and inclusion.</w:t>
      </w:r>
    </w:p>
    <w:p>
      <w:pPr>
        <w:spacing w:after="0" w:line="109" w:lineRule="exact"/>
        <w:rPr>
          <w:sz w:val="20"/>
          <w:szCs w:val="20"/>
          <w:color w:val="auto"/>
        </w:rPr>
      </w:pPr>
    </w:p>
    <w:p>
      <w:pPr>
        <w:ind w:left="1980" w:right="979"/>
        <w:spacing w:after="0" w:line="247" w:lineRule="auto"/>
        <w:rPr>
          <w:sz w:val="20"/>
          <w:szCs w:val="20"/>
          <w:color w:val="auto"/>
        </w:rPr>
      </w:pPr>
      <w:r>
        <w:rPr>
          <w:rFonts w:ascii="Arial" w:cs="Arial" w:eastAsia="Arial" w:hAnsi="Arial"/>
          <w:sz w:val="11"/>
          <w:szCs w:val="11"/>
          <w:color w:val="auto"/>
        </w:rPr>
        <w:t xml:space="preserve">For a further discussion of our ESG efforts and goals, please see Part I, Item 1, </w:t>
      </w:r>
      <w:r>
        <w:rPr>
          <w:rFonts w:ascii="Arial" w:cs="Arial" w:eastAsia="Arial" w:hAnsi="Arial"/>
          <w:sz w:val="11"/>
          <w:szCs w:val="11"/>
          <w:i w:val="1"/>
          <w:iCs w:val="1"/>
          <w:color w:val="auto"/>
        </w:rPr>
        <w:t>Business</w:t>
      </w:r>
      <w:r>
        <w:rPr>
          <w:rFonts w:ascii="Arial" w:cs="Arial" w:eastAsia="Arial" w:hAnsi="Arial"/>
          <w:sz w:val="11"/>
          <w:szCs w:val="11"/>
          <w:color w:val="auto"/>
        </w:rPr>
        <w:t>, of our Annual Report on Form 10-K for the fiscal year ended December 25, 2022, under the headings “Environment, Social and Governance Performance” and “Human Capital Management”. You may also review our ESG progress report 2021-2022 and updates contained on our website at https://csr.hasbro.com/en-us/news. The contents of our website are not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57785</wp:posOffset>
            </wp:positionV>
            <wp:extent cx="3971925" cy="2171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28"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FCFCFC"/>
        </w:rPr>
        <w:t>xi</w:t>
      </w:r>
    </w:p>
    <w:p>
      <w:pPr>
        <w:sectPr>
          <w:pgSz w:w="11900" w:h="16838" w:orient="portrait"/>
          <w:cols w:equalWidth="0" w:num="1">
            <w:col w:w="10159"/>
          </w:cols>
          <w:pgMar w:left="300" w:top="372" w:right="1440"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136525</wp:posOffset>
            </wp:positionV>
            <wp:extent cx="4663440" cy="2686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4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Executive Compensation Matters</w:t>
      </w:r>
    </w:p>
    <w:p>
      <w:pPr>
        <w:spacing w:after="0" w:line="26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Proposal 2 — Advisory Vote on Compensation of Named Executive Officers</w:t>
      </w:r>
    </w:p>
    <w:p>
      <w:pPr>
        <w:spacing w:after="0" w:line="113" w:lineRule="exact"/>
        <w:rPr>
          <w:sz w:val="20"/>
          <w:szCs w:val="20"/>
          <w:color w:val="auto"/>
        </w:rPr>
      </w:pPr>
    </w:p>
    <w:p>
      <w:pPr>
        <w:ind w:left="1980" w:right="859"/>
        <w:spacing w:after="0"/>
        <w:rPr>
          <w:sz w:val="20"/>
          <w:szCs w:val="20"/>
          <w:color w:val="auto"/>
        </w:rPr>
      </w:pPr>
      <w:r>
        <w:rPr>
          <w:rFonts w:ascii="Arial" w:cs="Arial" w:eastAsia="Arial" w:hAnsi="Arial"/>
          <w:sz w:val="11"/>
          <w:szCs w:val="11"/>
          <w:color w:val="auto"/>
        </w:rPr>
        <w:t>Our Board of Directors recommends that shareholders vote, on an advisory basis, to approve the compensation paid to our named executive officers (“NEOs”) as described in this Proxy Statement. Detailed information about this can be found beginning on page 75. Our compensation programs embody a pay-for-performance philosophy that supports our business strategy and closely aligns executive interests with those of our shareholders. Our shareholders supported our Say-on-Pay votes in the last three years, with favorable votes from 94.6%, 81.3% and 88.0% of the shares voted at the 2020, 2021 and 2022 Annual Meetings, respectively. Our average favorable approval of our Say-on-Pay votes over the past five years has been 91.5%. Highlights of our compensation programs for 2022 and our compensation best practices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100330</wp:posOffset>
            </wp:positionV>
            <wp:extent cx="2931795" cy="15659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931795" cy="156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980" w:type="dxa"/>
        <w:tblCellMar>
          <w:top w:w="0" w:type="dxa"/>
          <w:left w:w="0" w:type="dxa"/>
          <w:bottom w:w="0" w:type="dxa"/>
          <w:right w:w="0" w:type="dxa"/>
        </w:tblCellMar>
      </w:tblPr>
      <w:tr>
        <w:trPr>
          <w:trHeight w:val="189"/>
        </w:trPr>
        <w:tc>
          <w:tcPr>
            <w:tcW w:w="640" w:type="dxa"/>
            <w:vAlign w:val="bottom"/>
            <w:shd w:val="clear" w:color="auto" w:fill="CCEBF8"/>
          </w:tcPr>
          <w:p>
            <w:pPr>
              <w:spacing w:after="0"/>
              <w:rPr>
                <w:sz w:val="16"/>
                <w:szCs w:val="16"/>
                <w:color w:val="auto"/>
              </w:rPr>
            </w:pPr>
          </w:p>
        </w:tc>
        <w:tc>
          <w:tcPr>
            <w:tcW w:w="6700" w:type="dxa"/>
            <w:vAlign w:val="bottom"/>
            <w:shd w:val="clear" w:color="auto" w:fill="CCEBF8"/>
          </w:tcPr>
          <w:p>
            <w:pPr>
              <w:ind w:left="1640"/>
              <w:spacing w:after="0"/>
              <w:rPr>
                <w:sz w:val="20"/>
                <w:szCs w:val="20"/>
                <w:color w:val="auto"/>
              </w:rPr>
            </w:pPr>
            <w:r>
              <w:rPr>
                <w:rFonts w:ascii="Arial" w:cs="Arial" w:eastAsia="Arial" w:hAnsi="Arial"/>
                <w:sz w:val="12"/>
                <w:szCs w:val="12"/>
                <w:b w:val="1"/>
                <w:bCs w:val="1"/>
                <w:color w:val="009BDE"/>
              </w:rPr>
              <w:t>2022 Executive Compensation Program Elements</w:t>
            </w:r>
          </w:p>
        </w:tc>
      </w:tr>
      <w:tr>
        <w:trPr>
          <w:trHeight w:val="81"/>
        </w:trPr>
        <w:tc>
          <w:tcPr>
            <w:tcW w:w="7340" w:type="dxa"/>
            <w:vAlign w:val="bottom"/>
            <w:tcBorders>
              <w:bottom w:val="single" w:sz="8" w:color="009BDE"/>
            </w:tcBorders>
            <w:gridSpan w:val="2"/>
            <w:shd w:val="clear" w:color="auto" w:fill="CCEBF8"/>
          </w:tcPr>
          <w:p>
            <w:pPr>
              <w:spacing w:after="0"/>
              <w:rPr>
                <w:sz w:val="7"/>
                <w:szCs w:val="7"/>
                <w:color w:val="auto"/>
              </w:rPr>
            </w:pPr>
          </w:p>
        </w:tc>
      </w:tr>
      <w:tr>
        <w:trPr>
          <w:trHeight w:val="183"/>
        </w:trPr>
        <w:tc>
          <w:tcPr>
            <w:tcW w:w="7340" w:type="dxa"/>
            <w:vAlign w:val="bottom"/>
            <w:gridSpan w:val="2"/>
          </w:tcPr>
          <w:p>
            <w:pPr>
              <w:ind w:left="40"/>
              <w:spacing w:after="0"/>
              <w:rPr>
                <w:sz w:val="20"/>
                <w:szCs w:val="20"/>
                <w:color w:val="auto"/>
              </w:rPr>
            </w:pPr>
            <w:r>
              <w:rPr>
                <w:rFonts w:ascii="Arial" w:cs="Arial" w:eastAsia="Arial" w:hAnsi="Arial"/>
                <w:sz w:val="11"/>
                <w:szCs w:val="11"/>
                <w:b w:val="1"/>
                <w:bCs w:val="1"/>
                <w:color w:val="auto"/>
              </w:rPr>
              <w:t>Type of Annual Cash Compensation</w:t>
            </w:r>
          </w:p>
        </w:tc>
      </w:tr>
      <w:tr>
        <w:trPr>
          <w:trHeight w:val="67"/>
        </w:trPr>
        <w:tc>
          <w:tcPr>
            <w:tcW w:w="640" w:type="dxa"/>
            <w:vAlign w:val="bottom"/>
            <w:tcBorders>
              <w:bottom w:val="single" w:sz="8" w:color="009BDE"/>
            </w:tcBorders>
          </w:tcPr>
          <w:p>
            <w:pPr>
              <w:spacing w:after="0"/>
              <w:rPr>
                <w:sz w:val="5"/>
                <w:szCs w:val="5"/>
                <w:color w:val="auto"/>
              </w:rPr>
            </w:pPr>
          </w:p>
        </w:tc>
        <w:tc>
          <w:tcPr>
            <w:tcW w:w="6700" w:type="dxa"/>
            <w:vAlign w:val="bottom"/>
            <w:tcBorders>
              <w:bottom w:val="single" w:sz="8" w:color="009BDE"/>
            </w:tcBorders>
          </w:tcPr>
          <w:p>
            <w:pPr>
              <w:spacing w:after="0"/>
              <w:rPr>
                <w:sz w:val="5"/>
                <w:szCs w:val="5"/>
                <w:color w:val="auto"/>
              </w:rPr>
            </w:pPr>
          </w:p>
        </w:tc>
      </w:tr>
      <w:tr>
        <w:trPr>
          <w:trHeight w:val="179"/>
        </w:trPr>
        <w:tc>
          <w:tcPr>
            <w:tcW w:w="640" w:type="dxa"/>
            <w:vAlign w:val="bottom"/>
          </w:tcPr>
          <w:p>
            <w:pPr>
              <w:ind w:left="40"/>
              <w:spacing w:after="0"/>
              <w:rPr>
                <w:sz w:val="20"/>
                <w:szCs w:val="20"/>
                <w:color w:val="auto"/>
              </w:rPr>
            </w:pPr>
            <w:r>
              <w:rPr>
                <w:rFonts w:ascii="Arial" w:cs="Arial" w:eastAsia="Arial" w:hAnsi="Arial"/>
                <w:sz w:val="11"/>
                <w:szCs w:val="11"/>
                <w:color w:val="auto"/>
              </w:rPr>
              <w:t>Base</w:t>
            </w:r>
          </w:p>
        </w:tc>
        <w:tc>
          <w:tcPr>
            <w:tcW w:w="6700" w:type="dxa"/>
            <w:vAlign w:val="bottom"/>
          </w:tcPr>
          <w:p>
            <w:pPr>
              <w:ind w:left="160"/>
              <w:spacing w:after="0"/>
              <w:rPr>
                <w:sz w:val="20"/>
                <w:szCs w:val="20"/>
                <w:color w:val="auto"/>
              </w:rPr>
            </w:pPr>
            <w:r>
              <w:rPr>
                <w:rFonts w:ascii="Arial" w:cs="Arial" w:eastAsia="Arial" w:hAnsi="Arial"/>
                <w:sz w:val="11"/>
                <w:szCs w:val="11"/>
                <w:color w:val="auto"/>
              </w:rPr>
              <w:t>•  Fixed compensation</w:t>
            </w:r>
          </w:p>
        </w:tc>
      </w:tr>
      <w:tr>
        <w:trPr>
          <w:trHeight w:val="130"/>
        </w:trPr>
        <w:tc>
          <w:tcPr>
            <w:tcW w:w="640" w:type="dxa"/>
            <w:vAlign w:val="bottom"/>
          </w:tcPr>
          <w:p>
            <w:pPr>
              <w:ind w:left="40"/>
              <w:spacing w:after="0"/>
              <w:rPr>
                <w:sz w:val="20"/>
                <w:szCs w:val="20"/>
                <w:color w:val="auto"/>
              </w:rPr>
            </w:pPr>
            <w:r>
              <w:rPr>
                <w:rFonts w:ascii="Arial" w:cs="Arial" w:eastAsia="Arial" w:hAnsi="Arial"/>
                <w:sz w:val="11"/>
                <w:szCs w:val="11"/>
                <w:color w:val="auto"/>
              </w:rPr>
              <w:t>Salary</w:t>
            </w:r>
          </w:p>
        </w:tc>
        <w:tc>
          <w:tcPr>
            <w:tcW w:w="6700" w:type="dxa"/>
            <w:vAlign w:val="bottom"/>
          </w:tcPr>
          <w:p>
            <w:pPr>
              <w:ind w:left="160"/>
              <w:spacing w:after="0"/>
              <w:rPr>
                <w:sz w:val="20"/>
                <w:szCs w:val="20"/>
                <w:color w:val="auto"/>
              </w:rPr>
            </w:pPr>
            <w:r>
              <w:rPr>
                <w:rFonts w:ascii="Arial" w:cs="Arial" w:eastAsia="Arial" w:hAnsi="Arial"/>
                <w:sz w:val="11"/>
                <w:szCs w:val="11"/>
                <w:color w:val="auto"/>
              </w:rPr>
              <w:t>•  Set at a market competitive level, in light of individual experience and performance</w:t>
            </w:r>
          </w:p>
        </w:tc>
      </w:tr>
      <w:tr>
        <w:trPr>
          <w:trHeight w:val="76"/>
        </w:trPr>
        <w:tc>
          <w:tcPr>
            <w:tcW w:w="640" w:type="dxa"/>
            <w:vAlign w:val="bottom"/>
            <w:tcBorders>
              <w:bottom w:val="single" w:sz="8" w:color="009BDE"/>
            </w:tcBorders>
          </w:tcPr>
          <w:p>
            <w:pPr>
              <w:spacing w:after="0"/>
              <w:rPr>
                <w:sz w:val="6"/>
                <w:szCs w:val="6"/>
                <w:color w:val="auto"/>
              </w:rPr>
            </w:pPr>
          </w:p>
        </w:tc>
        <w:tc>
          <w:tcPr>
            <w:tcW w:w="6700" w:type="dxa"/>
            <w:vAlign w:val="bottom"/>
            <w:tcBorders>
              <w:bottom w:val="single" w:sz="8" w:color="009BDE"/>
            </w:tcBorders>
          </w:tcPr>
          <w:p>
            <w:pPr>
              <w:spacing w:after="0"/>
              <w:rPr>
                <w:sz w:val="6"/>
                <w:szCs w:val="6"/>
                <w:color w:val="auto"/>
              </w:rPr>
            </w:pPr>
          </w:p>
        </w:tc>
      </w:tr>
      <w:tr>
        <w:trPr>
          <w:trHeight w:val="179"/>
        </w:trPr>
        <w:tc>
          <w:tcPr>
            <w:tcW w:w="640" w:type="dxa"/>
            <w:vAlign w:val="bottom"/>
          </w:tcPr>
          <w:p>
            <w:pPr>
              <w:ind w:left="40"/>
              <w:spacing w:after="0"/>
              <w:rPr>
                <w:sz w:val="20"/>
                <w:szCs w:val="20"/>
                <w:color w:val="auto"/>
              </w:rPr>
            </w:pPr>
            <w:r>
              <w:rPr>
                <w:rFonts w:ascii="Arial" w:cs="Arial" w:eastAsia="Arial" w:hAnsi="Arial"/>
                <w:sz w:val="11"/>
                <w:szCs w:val="11"/>
                <w:color w:val="auto"/>
              </w:rPr>
              <w:t>Annual</w:t>
            </w:r>
          </w:p>
        </w:tc>
        <w:tc>
          <w:tcPr>
            <w:tcW w:w="6700" w:type="dxa"/>
            <w:vAlign w:val="bottom"/>
          </w:tcPr>
          <w:p>
            <w:pPr>
              <w:ind w:left="160"/>
              <w:spacing w:after="0"/>
              <w:rPr>
                <w:sz w:val="20"/>
                <w:szCs w:val="20"/>
                <w:color w:val="auto"/>
              </w:rPr>
            </w:pPr>
            <w:r>
              <w:rPr>
                <w:rFonts w:ascii="Arial" w:cs="Arial" w:eastAsia="Arial" w:hAnsi="Arial"/>
                <w:sz w:val="11"/>
                <w:szCs w:val="11"/>
                <w:color w:val="auto"/>
              </w:rPr>
              <w:t>•  Performance-based</w:t>
            </w:r>
          </w:p>
        </w:tc>
      </w:tr>
      <w:tr>
        <w:trPr>
          <w:trHeight w:val="126"/>
        </w:trPr>
        <w:tc>
          <w:tcPr>
            <w:tcW w:w="640" w:type="dxa"/>
            <w:vAlign w:val="bottom"/>
          </w:tcPr>
          <w:p>
            <w:pPr>
              <w:ind w:left="40"/>
              <w:spacing w:after="0"/>
              <w:rPr>
                <w:sz w:val="20"/>
                <w:szCs w:val="20"/>
                <w:color w:val="auto"/>
              </w:rPr>
            </w:pPr>
            <w:r>
              <w:rPr>
                <w:rFonts w:ascii="Arial" w:cs="Arial" w:eastAsia="Arial" w:hAnsi="Arial"/>
                <w:sz w:val="11"/>
                <w:szCs w:val="11"/>
                <w:color w:val="auto"/>
              </w:rPr>
              <w:t>Incentive</w:t>
            </w:r>
          </w:p>
        </w:tc>
        <w:tc>
          <w:tcPr>
            <w:tcW w:w="6700" w:type="dxa"/>
            <w:vAlign w:val="bottom"/>
          </w:tcPr>
          <w:p>
            <w:pPr>
              <w:ind w:left="160"/>
              <w:spacing w:after="0"/>
              <w:rPr>
                <w:sz w:val="20"/>
                <w:szCs w:val="20"/>
                <w:color w:val="auto"/>
              </w:rPr>
            </w:pPr>
            <w:r>
              <w:rPr>
                <w:rFonts w:ascii="Arial" w:cs="Arial" w:eastAsia="Arial" w:hAnsi="Arial"/>
                <w:sz w:val="11"/>
                <w:szCs w:val="11"/>
                <w:color w:val="auto"/>
              </w:rPr>
              <w:t>•  Tied to company, business area and individual achievement against stated annual financial and strategic goals</w:t>
            </w:r>
          </w:p>
        </w:tc>
      </w:tr>
      <w:tr>
        <w:trPr>
          <w:trHeight w:val="126"/>
        </w:trPr>
        <w:tc>
          <w:tcPr>
            <w:tcW w:w="640" w:type="dxa"/>
            <w:vAlign w:val="bottom"/>
          </w:tcPr>
          <w:p>
            <w:pPr>
              <w:ind w:left="40"/>
              <w:spacing w:after="0"/>
              <w:rPr>
                <w:sz w:val="20"/>
                <w:szCs w:val="20"/>
                <w:color w:val="auto"/>
              </w:rPr>
            </w:pPr>
            <w:r>
              <w:rPr>
                <w:rFonts w:ascii="Arial" w:cs="Arial" w:eastAsia="Arial" w:hAnsi="Arial"/>
                <w:sz w:val="11"/>
                <w:szCs w:val="11"/>
                <w:color w:val="auto"/>
              </w:rPr>
              <w:t>Awards</w:t>
            </w:r>
          </w:p>
        </w:tc>
        <w:tc>
          <w:tcPr>
            <w:tcW w:w="6700" w:type="dxa"/>
            <w:vAlign w:val="bottom"/>
          </w:tcPr>
          <w:p>
            <w:pPr>
              <w:ind w:left="160"/>
              <w:spacing w:after="0"/>
              <w:rPr>
                <w:sz w:val="20"/>
                <w:szCs w:val="20"/>
                <w:color w:val="auto"/>
              </w:rPr>
            </w:pPr>
            <w:r>
              <w:rPr>
                <w:rFonts w:ascii="Arial" w:cs="Arial" w:eastAsia="Arial" w:hAnsi="Arial"/>
                <w:sz w:val="11"/>
                <w:szCs w:val="11"/>
                <w:color w:val="auto"/>
              </w:rPr>
              <w:t>•  Aligns management behavior with maximizing shareholder value</w:t>
            </w:r>
          </w:p>
        </w:tc>
      </w:tr>
      <w:tr>
        <w:trPr>
          <w:trHeight w:val="126"/>
        </w:trPr>
        <w:tc>
          <w:tcPr>
            <w:tcW w:w="640" w:type="dxa"/>
            <w:vAlign w:val="bottom"/>
          </w:tcPr>
          <w:p>
            <w:pPr>
              <w:spacing w:after="0"/>
              <w:rPr>
                <w:sz w:val="10"/>
                <w:szCs w:val="10"/>
                <w:color w:val="auto"/>
              </w:rPr>
            </w:pPr>
          </w:p>
        </w:tc>
        <w:tc>
          <w:tcPr>
            <w:tcW w:w="6700" w:type="dxa"/>
            <w:vAlign w:val="bottom"/>
          </w:tcPr>
          <w:p>
            <w:pPr>
              <w:ind w:left="160"/>
              <w:spacing w:after="0"/>
              <w:rPr>
                <w:sz w:val="20"/>
                <w:szCs w:val="20"/>
                <w:color w:val="auto"/>
              </w:rPr>
            </w:pPr>
            <w:r>
              <w:rPr>
                <w:rFonts w:ascii="Arial" w:cs="Arial" w:eastAsia="Arial" w:hAnsi="Arial"/>
                <w:sz w:val="11"/>
                <w:szCs w:val="11"/>
                <w:color w:val="auto"/>
              </w:rPr>
              <w:t>•  Performance measures evaluated</w:t>
            </w:r>
          </w:p>
        </w:tc>
      </w:tr>
    </w:tbl>
    <w:p>
      <w:pPr>
        <w:ind w:left="2880"/>
        <w:spacing w:after="0"/>
        <w:rPr>
          <w:sz w:val="20"/>
          <w:szCs w:val="20"/>
          <w:color w:val="auto"/>
        </w:rPr>
      </w:pPr>
      <w:r>
        <w:rPr>
          <w:rFonts w:ascii="Arial" w:cs="Arial" w:eastAsia="Arial" w:hAnsi="Arial"/>
          <w:sz w:val="11"/>
          <w:szCs w:val="11"/>
          <w:color w:val="auto"/>
        </w:rPr>
        <w:t>-  Total Net Revenues</w:t>
      </w:r>
    </w:p>
    <w:p>
      <w:pPr>
        <w:ind w:left="2880"/>
        <w:spacing w:after="0"/>
        <w:rPr>
          <w:sz w:val="20"/>
          <w:szCs w:val="20"/>
          <w:color w:val="auto"/>
        </w:rPr>
      </w:pPr>
      <w:r>
        <w:rPr>
          <w:rFonts w:ascii="Arial" w:cs="Arial" w:eastAsia="Arial" w:hAnsi="Arial"/>
          <w:sz w:val="11"/>
          <w:szCs w:val="11"/>
          <w:color w:val="auto"/>
        </w:rPr>
        <w:t>-  Operating Profit Margin</w:t>
      </w:r>
    </w:p>
    <w:p>
      <w:pPr>
        <w:ind w:left="2880"/>
        <w:spacing w:after="0"/>
        <w:rPr>
          <w:sz w:val="20"/>
          <w:szCs w:val="20"/>
          <w:color w:val="auto"/>
        </w:rPr>
      </w:pPr>
      <w:r>
        <w:rPr>
          <w:rFonts w:ascii="Arial" w:cs="Arial" w:eastAsia="Arial" w:hAnsi="Arial"/>
          <w:sz w:val="11"/>
          <w:szCs w:val="11"/>
          <w:color w:val="auto"/>
        </w:rPr>
        <w:t>-  Free Cash Flow</w:t>
      </w:r>
    </w:p>
    <w:p>
      <w:pPr>
        <w:jc w:val="both"/>
        <w:ind w:left="2880" w:right="1119" w:hanging="95"/>
        <w:spacing w:after="0" w:line="278" w:lineRule="auto"/>
        <w:rPr>
          <w:sz w:val="20"/>
          <w:szCs w:val="20"/>
          <w:color w:val="auto"/>
        </w:rPr>
      </w:pPr>
      <w:r>
        <w:rPr>
          <w:rFonts w:ascii="Arial" w:cs="Arial" w:eastAsia="Arial" w:hAnsi="Arial"/>
          <w:sz w:val="10"/>
          <w:szCs w:val="10"/>
          <w:color w:val="auto"/>
        </w:rPr>
        <w:t>•  Individual Performance Adjustment: Designed to enable us to reward for strategic and operating performance not captured by the financial metrics listed by allowing the Committee to adjust the payouts up or down based on individual performance, including, in 2022, performance against ESG goals (which included goals promoting women in leadership and racial and ethnic diversity).</w:t>
      </w:r>
    </w:p>
    <w:p>
      <w:pPr>
        <w:spacing w:after="0" w:line="47" w:lineRule="exact"/>
        <w:rPr>
          <w:sz w:val="20"/>
          <w:szCs w:val="20"/>
          <w:color w:val="auto"/>
        </w:rPr>
      </w:pPr>
    </w:p>
    <w:p>
      <w:pPr>
        <w:ind w:left="2780" w:right="1139"/>
        <w:spacing w:after="0" w:line="318" w:lineRule="auto"/>
        <w:rPr>
          <w:sz w:val="20"/>
          <w:szCs w:val="20"/>
          <w:color w:val="auto"/>
        </w:rPr>
      </w:pPr>
      <w:r>
        <w:rPr>
          <w:rFonts w:ascii="Arial" w:cs="Arial" w:eastAsia="Arial" w:hAnsi="Arial"/>
          <w:sz w:val="10"/>
          <w:szCs w:val="10"/>
          <w:b w:val="1"/>
          <w:bCs w:val="1"/>
          <w:color w:val="auto"/>
        </w:rPr>
        <w:t>For 2023, we updated these metrics to remove free cash flow and replace it with a metric around performance against our transformation, including specific targets for costs savings as part of the Company’s operational excellence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24765</wp:posOffset>
            </wp:positionV>
            <wp:extent cx="466344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93345</wp:posOffset>
            </wp:positionV>
            <wp:extent cx="3971925" cy="2171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84"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xii</w:t>
      </w:r>
    </w:p>
    <w:p>
      <w:pPr>
        <w:sectPr>
          <w:pgSz w:w="11900" w:h="16838" w:orient="portrait"/>
          <w:cols w:equalWidth="0" w:num="1">
            <w:col w:w="10159"/>
          </w:cols>
          <w:pgMar w:left="300" w:top="372" w:right="1440"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tbl>
      <w:tblPr>
        <w:tblLayout w:type="fixed"/>
        <w:tblInd w:w="1980" w:type="dxa"/>
        <w:tblCellMar>
          <w:top w:w="0" w:type="dxa"/>
          <w:left w:w="0" w:type="dxa"/>
          <w:bottom w:w="0" w:type="dxa"/>
          <w:right w:w="0" w:type="dxa"/>
        </w:tblCellMar>
      </w:tblPr>
      <w:tr>
        <w:trPr>
          <w:trHeight w:val="189"/>
        </w:trPr>
        <w:tc>
          <w:tcPr>
            <w:tcW w:w="860" w:type="dxa"/>
            <w:vAlign w:val="bottom"/>
            <w:shd w:val="clear" w:color="auto" w:fill="CCEBF8"/>
          </w:tcPr>
          <w:p>
            <w:pPr>
              <w:spacing w:after="0"/>
              <w:rPr>
                <w:sz w:val="16"/>
                <w:szCs w:val="16"/>
                <w:color w:val="auto"/>
              </w:rPr>
            </w:pPr>
          </w:p>
        </w:tc>
        <w:tc>
          <w:tcPr>
            <w:tcW w:w="6480" w:type="dxa"/>
            <w:vAlign w:val="bottom"/>
            <w:shd w:val="clear" w:color="auto" w:fill="CCEBF8"/>
          </w:tcPr>
          <w:p>
            <w:pPr>
              <w:ind w:left="1420"/>
              <w:spacing w:after="0"/>
              <w:rPr>
                <w:sz w:val="20"/>
                <w:szCs w:val="20"/>
                <w:color w:val="auto"/>
              </w:rPr>
            </w:pPr>
            <w:r>
              <w:rPr>
                <w:rFonts w:ascii="Arial" w:cs="Arial" w:eastAsia="Arial" w:hAnsi="Arial"/>
                <w:sz w:val="12"/>
                <w:szCs w:val="12"/>
                <w:b w:val="1"/>
                <w:bCs w:val="1"/>
                <w:color w:val="009BDE"/>
              </w:rPr>
              <w:t>2022 Executive Compensation Program Elements</w:t>
            </w:r>
          </w:p>
        </w:tc>
      </w:tr>
      <w:tr>
        <w:trPr>
          <w:trHeight w:val="81"/>
        </w:trPr>
        <w:tc>
          <w:tcPr>
            <w:tcW w:w="7340" w:type="dxa"/>
            <w:vAlign w:val="bottom"/>
            <w:tcBorders>
              <w:bottom w:val="single" w:sz="8" w:color="009BDE"/>
            </w:tcBorders>
            <w:gridSpan w:val="2"/>
            <w:shd w:val="clear" w:color="auto" w:fill="CCEBF8"/>
          </w:tcPr>
          <w:p>
            <w:pPr>
              <w:spacing w:after="0"/>
              <w:rPr>
                <w:sz w:val="7"/>
                <w:szCs w:val="7"/>
                <w:color w:val="auto"/>
              </w:rPr>
            </w:pPr>
          </w:p>
        </w:tc>
      </w:tr>
      <w:tr>
        <w:trPr>
          <w:trHeight w:val="183"/>
        </w:trPr>
        <w:tc>
          <w:tcPr>
            <w:tcW w:w="7340" w:type="dxa"/>
            <w:vAlign w:val="bottom"/>
            <w:gridSpan w:val="2"/>
          </w:tcPr>
          <w:p>
            <w:pPr>
              <w:ind w:left="40"/>
              <w:spacing w:after="0"/>
              <w:rPr>
                <w:sz w:val="20"/>
                <w:szCs w:val="20"/>
                <w:color w:val="auto"/>
              </w:rPr>
            </w:pPr>
            <w:r>
              <w:rPr>
                <w:rFonts w:ascii="Arial" w:cs="Arial" w:eastAsia="Arial" w:hAnsi="Arial"/>
                <w:sz w:val="11"/>
                <w:szCs w:val="11"/>
                <w:b w:val="1"/>
                <w:bCs w:val="1"/>
                <w:color w:val="auto"/>
              </w:rPr>
              <w:t>Type of Long-Term Incentive Compensation</w:t>
            </w:r>
          </w:p>
        </w:tc>
      </w:tr>
      <w:tr>
        <w:trPr>
          <w:trHeight w:val="67"/>
        </w:trPr>
        <w:tc>
          <w:tcPr>
            <w:tcW w:w="860" w:type="dxa"/>
            <w:vAlign w:val="bottom"/>
            <w:tcBorders>
              <w:bottom w:val="single" w:sz="8" w:color="009BDE"/>
            </w:tcBorders>
          </w:tcPr>
          <w:p>
            <w:pPr>
              <w:spacing w:after="0"/>
              <w:rPr>
                <w:sz w:val="5"/>
                <w:szCs w:val="5"/>
                <w:color w:val="auto"/>
              </w:rPr>
            </w:pPr>
          </w:p>
        </w:tc>
        <w:tc>
          <w:tcPr>
            <w:tcW w:w="6480" w:type="dxa"/>
            <w:vAlign w:val="bottom"/>
            <w:tcBorders>
              <w:bottom w:val="single" w:sz="8" w:color="009BDE"/>
            </w:tcBorders>
          </w:tcPr>
          <w:p>
            <w:pPr>
              <w:spacing w:after="0"/>
              <w:rPr>
                <w:sz w:val="5"/>
                <w:szCs w:val="5"/>
                <w:color w:val="auto"/>
              </w:rPr>
            </w:pPr>
          </w:p>
        </w:tc>
      </w:tr>
      <w:tr>
        <w:trPr>
          <w:trHeight w:val="179"/>
        </w:trPr>
        <w:tc>
          <w:tcPr>
            <w:tcW w:w="860" w:type="dxa"/>
            <w:vAlign w:val="bottom"/>
          </w:tcPr>
          <w:p>
            <w:pPr>
              <w:ind w:left="40"/>
              <w:spacing w:after="0"/>
              <w:rPr>
                <w:sz w:val="20"/>
                <w:szCs w:val="20"/>
                <w:color w:val="auto"/>
              </w:rPr>
            </w:pPr>
            <w:r>
              <w:rPr>
                <w:rFonts w:ascii="Arial" w:cs="Arial" w:eastAsia="Arial" w:hAnsi="Arial"/>
                <w:sz w:val="11"/>
                <w:szCs w:val="11"/>
                <w:color w:val="auto"/>
              </w:rPr>
              <w:t>Performance</w:t>
            </w:r>
          </w:p>
        </w:tc>
        <w:tc>
          <w:tcPr>
            <w:tcW w:w="6480" w:type="dxa"/>
            <w:vAlign w:val="bottom"/>
          </w:tcPr>
          <w:p>
            <w:pPr>
              <w:ind w:left="160"/>
              <w:spacing w:after="0"/>
              <w:rPr>
                <w:sz w:val="20"/>
                <w:szCs w:val="20"/>
                <w:color w:val="auto"/>
              </w:rPr>
            </w:pPr>
            <w:r>
              <w:rPr>
                <w:rFonts w:ascii="Arial" w:cs="Arial" w:eastAsia="Arial" w:hAnsi="Arial"/>
                <w:sz w:val="11"/>
                <w:szCs w:val="11"/>
                <w:color w:val="auto"/>
              </w:rPr>
              <w:t>•  Represented ~50% of annual target equity award value for our NEOs</w:t>
            </w:r>
          </w:p>
        </w:tc>
      </w:tr>
      <w:tr>
        <w:trPr>
          <w:trHeight w:val="126"/>
        </w:trPr>
        <w:tc>
          <w:tcPr>
            <w:tcW w:w="860" w:type="dxa"/>
            <w:vAlign w:val="bottom"/>
          </w:tcPr>
          <w:p>
            <w:pPr>
              <w:ind w:left="40"/>
              <w:spacing w:after="0"/>
              <w:rPr>
                <w:sz w:val="20"/>
                <w:szCs w:val="20"/>
                <w:color w:val="auto"/>
              </w:rPr>
            </w:pPr>
            <w:r>
              <w:rPr>
                <w:rFonts w:ascii="Arial" w:cs="Arial" w:eastAsia="Arial" w:hAnsi="Arial"/>
                <w:sz w:val="11"/>
                <w:szCs w:val="11"/>
                <w:color w:val="auto"/>
              </w:rPr>
              <w:t>Contingent</w:t>
            </w:r>
          </w:p>
        </w:tc>
        <w:tc>
          <w:tcPr>
            <w:tcW w:w="6480" w:type="dxa"/>
            <w:vAlign w:val="bottom"/>
          </w:tcPr>
          <w:p>
            <w:pPr>
              <w:ind w:left="160"/>
              <w:spacing w:after="0"/>
              <w:rPr>
                <w:sz w:val="20"/>
                <w:szCs w:val="20"/>
                <w:color w:val="auto"/>
              </w:rPr>
            </w:pPr>
            <w:r>
              <w:rPr>
                <w:rFonts w:ascii="Arial" w:cs="Arial" w:eastAsia="Arial" w:hAnsi="Arial"/>
                <w:sz w:val="11"/>
                <w:szCs w:val="11"/>
                <w:color w:val="auto"/>
              </w:rPr>
              <w:t>•  Earned based on challenging long-term three-year goals requiring sustained strong operating performance</w:t>
            </w:r>
          </w:p>
        </w:tc>
      </w:tr>
      <w:tr>
        <w:trPr>
          <w:trHeight w:val="130"/>
        </w:trPr>
        <w:tc>
          <w:tcPr>
            <w:tcW w:w="860" w:type="dxa"/>
            <w:vAlign w:val="bottom"/>
          </w:tcPr>
          <w:p>
            <w:pPr>
              <w:ind w:left="40"/>
              <w:spacing w:after="0"/>
              <w:rPr>
                <w:sz w:val="20"/>
                <w:szCs w:val="20"/>
                <w:color w:val="auto"/>
              </w:rPr>
            </w:pPr>
            <w:r>
              <w:rPr>
                <w:rFonts w:ascii="Arial" w:cs="Arial" w:eastAsia="Arial" w:hAnsi="Arial"/>
                <w:sz w:val="11"/>
                <w:szCs w:val="11"/>
                <w:color w:val="auto"/>
              </w:rPr>
              <w:t>Stock Awards</w:t>
            </w:r>
          </w:p>
        </w:tc>
        <w:tc>
          <w:tcPr>
            <w:tcW w:w="6480" w:type="dxa"/>
            <w:vAlign w:val="bottom"/>
          </w:tcPr>
          <w:p>
            <w:pPr>
              <w:ind w:left="160"/>
              <w:spacing w:after="0"/>
              <w:rPr>
                <w:sz w:val="20"/>
                <w:szCs w:val="20"/>
                <w:color w:val="auto"/>
              </w:rPr>
            </w:pPr>
            <w:r>
              <w:rPr>
                <w:rFonts w:ascii="Arial" w:cs="Arial" w:eastAsia="Arial" w:hAnsi="Arial"/>
                <w:sz w:val="11"/>
                <w:szCs w:val="11"/>
                <w:color w:val="auto"/>
              </w:rPr>
              <w:t>•  Tied to achievement of EPS, Net Revenue and Return on Invested Capital (ROIC) targets over a 3-year performance period.</w:t>
            </w:r>
          </w:p>
        </w:tc>
      </w:tr>
      <w:tr>
        <w:trPr>
          <w:trHeight w:val="207"/>
        </w:trPr>
        <w:tc>
          <w:tcPr>
            <w:tcW w:w="86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1"/>
                <w:szCs w:val="11"/>
                <w:b w:val="1"/>
                <w:bCs w:val="1"/>
                <w:color w:val="auto"/>
                <w:w w:val="99"/>
              </w:rPr>
              <w:t>In 2023, we have updated these metrics to be EPS and ROIC, removing Net Revenue, and adding a Relative TSR Modifier.</w:t>
            </w:r>
          </w:p>
        </w:tc>
      </w:tr>
      <w:tr>
        <w:trPr>
          <w:trHeight w:val="76"/>
        </w:trPr>
        <w:tc>
          <w:tcPr>
            <w:tcW w:w="860" w:type="dxa"/>
            <w:vAlign w:val="bottom"/>
            <w:tcBorders>
              <w:bottom w:val="single" w:sz="8" w:color="009BDE"/>
            </w:tcBorders>
          </w:tcPr>
          <w:p>
            <w:pPr>
              <w:spacing w:after="0"/>
              <w:rPr>
                <w:sz w:val="6"/>
                <w:szCs w:val="6"/>
                <w:color w:val="auto"/>
              </w:rPr>
            </w:pPr>
          </w:p>
        </w:tc>
        <w:tc>
          <w:tcPr>
            <w:tcW w:w="6480" w:type="dxa"/>
            <w:vAlign w:val="bottom"/>
            <w:tcBorders>
              <w:bottom w:val="single" w:sz="8" w:color="009BDE"/>
            </w:tcBorders>
          </w:tcPr>
          <w:p>
            <w:pPr>
              <w:spacing w:after="0"/>
              <w:rPr>
                <w:sz w:val="6"/>
                <w:szCs w:val="6"/>
                <w:color w:val="auto"/>
              </w:rPr>
            </w:pPr>
          </w:p>
        </w:tc>
      </w:tr>
      <w:tr>
        <w:trPr>
          <w:trHeight w:val="179"/>
        </w:trPr>
        <w:tc>
          <w:tcPr>
            <w:tcW w:w="860" w:type="dxa"/>
            <w:vAlign w:val="bottom"/>
          </w:tcPr>
          <w:p>
            <w:pPr>
              <w:ind w:left="40"/>
              <w:spacing w:after="0"/>
              <w:rPr>
                <w:sz w:val="20"/>
                <w:szCs w:val="20"/>
                <w:color w:val="auto"/>
              </w:rPr>
            </w:pPr>
            <w:r>
              <w:rPr>
                <w:rFonts w:ascii="Arial" w:cs="Arial" w:eastAsia="Arial" w:hAnsi="Arial"/>
                <w:sz w:val="11"/>
                <w:szCs w:val="11"/>
                <w:color w:val="auto"/>
              </w:rPr>
              <w:t>Stock Options</w:t>
            </w:r>
          </w:p>
        </w:tc>
        <w:tc>
          <w:tcPr>
            <w:tcW w:w="6480" w:type="dxa"/>
            <w:vAlign w:val="bottom"/>
          </w:tcPr>
          <w:p>
            <w:pPr>
              <w:ind w:left="160"/>
              <w:spacing w:after="0"/>
              <w:rPr>
                <w:sz w:val="20"/>
                <w:szCs w:val="20"/>
                <w:color w:val="auto"/>
              </w:rPr>
            </w:pPr>
            <w:r>
              <w:rPr>
                <w:rFonts w:ascii="Arial" w:cs="Arial" w:eastAsia="Arial" w:hAnsi="Arial"/>
                <w:sz w:val="11"/>
                <w:szCs w:val="11"/>
                <w:color w:val="auto"/>
              </w:rPr>
              <w:t>•  Represented ~25% of annual target equity award value for our NEOs</w:t>
            </w:r>
          </w:p>
        </w:tc>
      </w:tr>
      <w:tr>
        <w:trPr>
          <w:trHeight w:val="126"/>
        </w:trPr>
        <w:tc>
          <w:tcPr>
            <w:tcW w:w="860" w:type="dxa"/>
            <w:vAlign w:val="bottom"/>
          </w:tcPr>
          <w:p>
            <w:pPr>
              <w:spacing w:after="0"/>
              <w:rPr>
                <w:sz w:val="10"/>
                <w:szCs w:val="10"/>
                <w:color w:val="auto"/>
              </w:rPr>
            </w:pPr>
          </w:p>
        </w:tc>
        <w:tc>
          <w:tcPr>
            <w:tcW w:w="6480" w:type="dxa"/>
            <w:vAlign w:val="bottom"/>
          </w:tcPr>
          <w:p>
            <w:pPr>
              <w:ind w:left="160"/>
              <w:spacing w:after="0"/>
              <w:rPr>
                <w:sz w:val="20"/>
                <w:szCs w:val="20"/>
                <w:color w:val="auto"/>
              </w:rPr>
            </w:pPr>
            <w:r>
              <w:rPr>
                <w:rFonts w:ascii="Arial" w:cs="Arial" w:eastAsia="Arial" w:hAnsi="Arial"/>
                <w:sz w:val="11"/>
                <w:szCs w:val="11"/>
                <w:color w:val="auto"/>
              </w:rPr>
              <w:t>•  7-year term</w:t>
            </w:r>
          </w:p>
        </w:tc>
      </w:tr>
      <w:tr>
        <w:trPr>
          <w:trHeight w:val="130"/>
        </w:trPr>
        <w:tc>
          <w:tcPr>
            <w:tcW w:w="860" w:type="dxa"/>
            <w:vAlign w:val="bottom"/>
          </w:tcPr>
          <w:p>
            <w:pPr>
              <w:spacing w:after="0"/>
              <w:rPr>
                <w:sz w:val="11"/>
                <w:szCs w:val="11"/>
                <w:color w:val="auto"/>
              </w:rPr>
            </w:pPr>
          </w:p>
        </w:tc>
        <w:tc>
          <w:tcPr>
            <w:tcW w:w="6480" w:type="dxa"/>
            <w:vAlign w:val="bottom"/>
          </w:tcPr>
          <w:p>
            <w:pPr>
              <w:ind w:left="160"/>
              <w:spacing w:after="0"/>
              <w:rPr>
                <w:sz w:val="20"/>
                <w:szCs w:val="20"/>
                <w:color w:val="auto"/>
              </w:rPr>
            </w:pPr>
            <w:r>
              <w:rPr>
                <w:rFonts w:ascii="Arial" w:cs="Arial" w:eastAsia="Arial" w:hAnsi="Arial"/>
                <w:sz w:val="11"/>
                <w:szCs w:val="11"/>
                <w:color w:val="auto"/>
              </w:rPr>
              <w:t>•  Vest in three equal annual installments over the first three anniversaries of the grant date</w:t>
            </w:r>
          </w:p>
        </w:tc>
      </w:tr>
      <w:tr>
        <w:trPr>
          <w:trHeight w:val="76"/>
        </w:trPr>
        <w:tc>
          <w:tcPr>
            <w:tcW w:w="860" w:type="dxa"/>
            <w:vAlign w:val="bottom"/>
            <w:tcBorders>
              <w:bottom w:val="single" w:sz="8" w:color="009BDE"/>
            </w:tcBorders>
          </w:tcPr>
          <w:p>
            <w:pPr>
              <w:spacing w:after="0"/>
              <w:rPr>
                <w:sz w:val="6"/>
                <w:szCs w:val="6"/>
                <w:color w:val="auto"/>
              </w:rPr>
            </w:pPr>
          </w:p>
        </w:tc>
        <w:tc>
          <w:tcPr>
            <w:tcW w:w="6480" w:type="dxa"/>
            <w:vAlign w:val="bottom"/>
            <w:tcBorders>
              <w:bottom w:val="single" w:sz="8" w:color="009BDE"/>
            </w:tcBorders>
          </w:tcPr>
          <w:p>
            <w:pPr>
              <w:spacing w:after="0"/>
              <w:rPr>
                <w:sz w:val="6"/>
                <w:szCs w:val="6"/>
                <w:color w:val="auto"/>
              </w:rPr>
            </w:pPr>
          </w:p>
        </w:tc>
      </w:tr>
      <w:tr>
        <w:trPr>
          <w:trHeight w:val="179"/>
        </w:trPr>
        <w:tc>
          <w:tcPr>
            <w:tcW w:w="860" w:type="dxa"/>
            <w:vAlign w:val="bottom"/>
          </w:tcPr>
          <w:p>
            <w:pPr>
              <w:ind w:left="40"/>
              <w:spacing w:after="0"/>
              <w:rPr>
                <w:sz w:val="20"/>
                <w:szCs w:val="20"/>
                <w:color w:val="auto"/>
              </w:rPr>
            </w:pPr>
            <w:r>
              <w:rPr>
                <w:rFonts w:ascii="Arial" w:cs="Arial" w:eastAsia="Arial" w:hAnsi="Arial"/>
                <w:sz w:val="11"/>
                <w:szCs w:val="11"/>
                <w:color w:val="auto"/>
              </w:rPr>
              <w:t>Restricted</w:t>
            </w:r>
          </w:p>
        </w:tc>
        <w:tc>
          <w:tcPr>
            <w:tcW w:w="6480" w:type="dxa"/>
            <w:vAlign w:val="bottom"/>
          </w:tcPr>
          <w:p>
            <w:pPr>
              <w:ind w:left="160"/>
              <w:spacing w:after="0"/>
              <w:rPr>
                <w:sz w:val="20"/>
                <w:szCs w:val="20"/>
                <w:color w:val="auto"/>
              </w:rPr>
            </w:pPr>
            <w:r>
              <w:rPr>
                <w:rFonts w:ascii="Arial" w:cs="Arial" w:eastAsia="Arial" w:hAnsi="Arial"/>
                <w:sz w:val="11"/>
                <w:szCs w:val="11"/>
                <w:color w:val="auto"/>
              </w:rPr>
              <w:t>•  Represented ~25% of annual target equity award value for CEO and the other NEOs</w:t>
            </w:r>
          </w:p>
        </w:tc>
      </w:tr>
      <w:tr>
        <w:trPr>
          <w:trHeight w:val="130"/>
        </w:trPr>
        <w:tc>
          <w:tcPr>
            <w:tcW w:w="860" w:type="dxa"/>
            <w:vAlign w:val="bottom"/>
          </w:tcPr>
          <w:p>
            <w:pPr>
              <w:ind w:left="40"/>
              <w:spacing w:after="0"/>
              <w:rPr>
                <w:sz w:val="20"/>
                <w:szCs w:val="20"/>
                <w:color w:val="auto"/>
              </w:rPr>
            </w:pPr>
            <w:r>
              <w:rPr>
                <w:rFonts w:ascii="Arial" w:cs="Arial" w:eastAsia="Arial" w:hAnsi="Arial"/>
                <w:sz w:val="11"/>
                <w:szCs w:val="11"/>
                <w:color w:val="auto"/>
              </w:rPr>
              <w:t>Stock Units</w:t>
            </w:r>
          </w:p>
        </w:tc>
        <w:tc>
          <w:tcPr>
            <w:tcW w:w="6480" w:type="dxa"/>
            <w:vAlign w:val="bottom"/>
          </w:tcPr>
          <w:p>
            <w:pPr>
              <w:ind w:left="160"/>
              <w:spacing w:after="0"/>
              <w:rPr>
                <w:sz w:val="20"/>
                <w:szCs w:val="20"/>
                <w:color w:val="auto"/>
              </w:rPr>
            </w:pPr>
            <w:r>
              <w:rPr>
                <w:rFonts w:ascii="Arial" w:cs="Arial" w:eastAsia="Arial" w:hAnsi="Arial"/>
                <w:sz w:val="11"/>
                <w:szCs w:val="11"/>
                <w:color w:val="auto"/>
              </w:rPr>
              <w:t>•  Vest in three equal annual installments over the first three anniversaries of the grant date</w:t>
            </w:r>
          </w:p>
        </w:tc>
      </w:tr>
      <w:tr>
        <w:trPr>
          <w:trHeight w:val="76"/>
        </w:trPr>
        <w:tc>
          <w:tcPr>
            <w:tcW w:w="860" w:type="dxa"/>
            <w:vAlign w:val="bottom"/>
            <w:tcBorders>
              <w:bottom w:val="single" w:sz="8" w:color="009BDE"/>
            </w:tcBorders>
          </w:tcPr>
          <w:p>
            <w:pPr>
              <w:spacing w:after="0"/>
              <w:rPr>
                <w:sz w:val="6"/>
                <w:szCs w:val="6"/>
                <w:color w:val="auto"/>
              </w:rPr>
            </w:pPr>
          </w:p>
        </w:tc>
        <w:tc>
          <w:tcPr>
            <w:tcW w:w="6480" w:type="dxa"/>
            <w:vAlign w:val="bottom"/>
            <w:tcBorders>
              <w:bottom w:val="single" w:sz="8" w:color="009BDE"/>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102870</wp:posOffset>
            </wp:positionV>
            <wp:extent cx="4663440" cy="11201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663440" cy="1120140"/>
                    </a:xfrm>
                    <a:prstGeom prst="rect">
                      <a:avLst/>
                    </a:prstGeom>
                    <a:noFill/>
                  </pic:spPr>
                </pic:pic>
              </a:graphicData>
            </a:graphic>
          </wp:anchor>
        </w:drawing>
      </w:r>
    </w:p>
    <w:p>
      <w:pPr>
        <w:spacing w:after="0" w:line="154" w:lineRule="exact"/>
        <w:rPr>
          <w:sz w:val="20"/>
          <w:szCs w:val="20"/>
          <w:color w:val="auto"/>
        </w:rPr>
      </w:pPr>
    </w:p>
    <w:p>
      <w:pPr>
        <w:ind w:left="4800"/>
        <w:spacing w:after="0"/>
        <w:rPr>
          <w:sz w:val="20"/>
          <w:szCs w:val="20"/>
          <w:color w:val="auto"/>
        </w:rPr>
      </w:pPr>
      <w:r>
        <w:rPr>
          <w:rFonts w:ascii="Arial" w:cs="Arial" w:eastAsia="Arial" w:hAnsi="Arial"/>
          <w:sz w:val="12"/>
          <w:szCs w:val="12"/>
          <w:b w:val="1"/>
          <w:bCs w:val="1"/>
          <w:color w:val="009BDE"/>
        </w:rPr>
        <w:t>Compensation Best Practices</w:t>
      </w:r>
    </w:p>
    <w:p>
      <w:pPr>
        <w:sectPr>
          <w:pgSz w:w="11900" w:h="16838" w:orient="portrait"/>
          <w:cols w:equalWidth="0" w:num="1">
            <w:col w:w="10159"/>
          </w:cols>
          <w:pgMar w:left="300" w:top="372" w:right="1440" w:bottom="1440" w:gutter="0" w:footer="0" w:header="0"/>
        </w:sectPr>
      </w:pPr>
    </w:p>
    <w:p>
      <w:pPr>
        <w:spacing w:after="0" w:line="103" w:lineRule="exact"/>
        <w:rPr>
          <w:sz w:val="20"/>
          <w:szCs w:val="20"/>
          <w:color w:val="auto"/>
        </w:rPr>
      </w:pPr>
    </w:p>
    <w:p>
      <w:pPr>
        <w:ind w:left="1980"/>
        <w:spacing w:after="0"/>
        <w:rPr>
          <w:sz w:val="20"/>
          <w:szCs w:val="20"/>
          <w:color w:val="auto"/>
        </w:rPr>
      </w:pPr>
      <w:r>
        <w:rPr>
          <w:sz w:val="1"/>
          <w:szCs w:val="1"/>
          <w:color w:val="auto"/>
        </w:rPr>
        <w:drawing>
          <wp:inline distT="0" distB="0" distL="0" distR="0">
            <wp:extent cx="62865" cy="51435"/>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2865" cy="51435"/>
                    </a:xfrm>
                    <a:prstGeom prst="rect">
                      <a:avLst/>
                    </a:prstGeom>
                    <a:noFill/>
                    <a:ln>
                      <a:noFill/>
                    </a:ln>
                  </pic:spPr>
                </pic:pic>
              </a:graphicData>
            </a:graphic>
          </wp:inline>
        </w:drawing>
      </w:r>
      <w:r>
        <w:rPr>
          <w:rFonts w:ascii="Arial" w:cs="Arial" w:eastAsia="Arial" w:hAnsi="Arial"/>
          <w:sz w:val="11"/>
          <w:szCs w:val="11"/>
          <w:color w:val="auto"/>
        </w:rPr>
        <w:t xml:space="preserve">     Robust shareholder engagement process</w:t>
      </w:r>
    </w:p>
    <w:p>
      <w:pPr>
        <w:spacing w:after="0" w:line="27" w:lineRule="exact"/>
        <w:rPr>
          <w:sz w:val="20"/>
          <w:szCs w:val="20"/>
          <w:color w:val="auto"/>
        </w:rPr>
      </w:pPr>
    </w:p>
    <w:p>
      <w:pPr>
        <w:ind w:left="1980"/>
        <w:spacing w:after="0"/>
        <w:rPr>
          <w:sz w:val="20"/>
          <w:szCs w:val="20"/>
          <w:color w:val="auto"/>
        </w:rPr>
      </w:pPr>
      <w:r>
        <w:rPr>
          <w:sz w:val="1"/>
          <w:szCs w:val="1"/>
          <w:color w:val="auto"/>
        </w:rPr>
        <w:drawing>
          <wp:inline distT="0" distB="0" distL="0" distR="0">
            <wp:extent cx="62865" cy="51435"/>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2865" cy="51435"/>
                    </a:xfrm>
                    <a:prstGeom prst="rect">
                      <a:avLst/>
                    </a:prstGeom>
                    <a:noFill/>
                    <a:ln>
                      <a:noFill/>
                    </a:ln>
                  </pic:spPr>
                </pic:pic>
              </a:graphicData>
            </a:graphic>
          </wp:inline>
        </w:drawing>
      </w:r>
      <w:r>
        <w:rPr>
          <w:rFonts w:ascii="Arial" w:cs="Arial" w:eastAsia="Arial" w:hAnsi="Arial"/>
          <w:sz w:val="11"/>
          <w:szCs w:val="11"/>
          <w:color w:val="auto"/>
        </w:rPr>
        <w:t xml:space="preserve">     Program informed by and responsive to shareholder input</w:t>
      </w:r>
    </w:p>
    <w:p>
      <w:pPr>
        <w:spacing w:after="0" w:line="27" w:lineRule="exact"/>
        <w:rPr>
          <w:sz w:val="20"/>
          <w:szCs w:val="20"/>
          <w:color w:val="auto"/>
        </w:rPr>
      </w:pPr>
    </w:p>
    <w:p>
      <w:pPr>
        <w:ind w:left="1980"/>
        <w:spacing w:after="0"/>
        <w:rPr>
          <w:sz w:val="20"/>
          <w:szCs w:val="20"/>
          <w:color w:val="auto"/>
        </w:rPr>
      </w:pPr>
      <w:r>
        <w:rPr>
          <w:sz w:val="1"/>
          <w:szCs w:val="1"/>
          <w:color w:val="auto"/>
        </w:rPr>
        <w:drawing>
          <wp:inline distT="0" distB="0" distL="0" distR="0">
            <wp:extent cx="62865" cy="51435"/>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2865" cy="51435"/>
                    </a:xfrm>
                    <a:prstGeom prst="rect">
                      <a:avLst/>
                    </a:prstGeom>
                    <a:noFill/>
                    <a:ln>
                      <a:noFill/>
                    </a:ln>
                  </pic:spPr>
                </pic:pic>
              </a:graphicData>
            </a:graphic>
          </wp:inline>
        </w:drawing>
      </w:r>
      <w:r>
        <w:rPr>
          <w:rFonts w:ascii="Arial" w:cs="Arial" w:eastAsia="Arial" w:hAnsi="Arial"/>
          <w:sz w:val="10"/>
          <w:szCs w:val="10"/>
          <w:color w:val="auto"/>
        </w:rPr>
        <w:t xml:space="preserve">     Substantial portion of compensation is variable and performance-based</w:t>
      </w:r>
    </w:p>
    <w:p>
      <w:pPr>
        <w:spacing w:after="0" w:line="38" w:lineRule="exact"/>
        <w:rPr>
          <w:sz w:val="20"/>
          <w:szCs w:val="20"/>
          <w:color w:val="auto"/>
        </w:rPr>
      </w:pPr>
    </w:p>
    <w:p>
      <w:pPr>
        <w:ind w:left="1980"/>
        <w:spacing w:after="0"/>
        <w:rPr>
          <w:sz w:val="20"/>
          <w:szCs w:val="20"/>
          <w:color w:val="auto"/>
        </w:rPr>
      </w:pPr>
      <w:r>
        <w:rPr>
          <w:sz w:val="1"/>
          <w:szCs w:val="1"/>
          <w:color w:val="auto"/>
        </w:rPr>
        <w:drawing>
          <wp:inline distT="0" distB="0" distL="0" distR="0">
            <wp:extent cx="62865" cy="51435"/>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2865" cy="51435"/>
                    </a:xfrm>
                    <a:prstGeom prst="rect">
                      <a:avLst/>
                    </a:prstGeom>
                    <a:noFill/>
                    <a:ln>
                      <a:noFill/>
                    </a:ln>
                  </pic:spPr>
                </pic:pic>
              </a:graphicData>
            </a:graphic>
          </wp:inline>
        </w:drawing>
      </w:r>
      <w:r>
        <w:rPr>
          <w:rFonts w:ascii="Arial" w:cs="Arial" w:eastAsia="Arial" w:hAnsi="Arial"/>
          <w:sz w:val="11"/>
          <w:szCs w:val="11"/>
          <w:color w:val="auto"/>
        </w:rPr>
        <w:t xml:space="preserve">     Aligned with shareholder value creation</w:t>
      </w:r>
    </w:p>
    <w:p>
      <w:pPr>
        <w:spacing w:after="0" w:line="27" w:lineRule="exact"/>
        <w:rPr>
          <w:sz w:val="20"/>
          <w:szCs w:val="20"/>
          <w:color w:val="auto"/>
        </w:rPr>
      </w:pPr>
    </w:p>
    <w:p>
      <w:pPr>
        <w:ind w:left="1980"/>
        <w:spacing w:after="0"/>
        <w:rPr>
          <w:sz w:val="20"/>
          <w:szCs w:val="20"/>
          <w:color w:val="auto"/>
        </w:rPr>
      </w:pPr>
      <w:r>
        <w:rPr>
          <w:sz w:val="1"/>
          <w:szCs w:val="1"/>
          <w:color w:val="auto"/>
        </w:rPr>
        <w:drawing>
          <wp:inline distT="0" distB="0" distL="0" distR="0">
            <wp:extent cx="62865" cy="51435"/>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2865" cy="51435"/>
                    </a:xfrm>
                    <a:prstGeom prst="rect">
                      <a:avLst/>
                    </a:prstGeom>
                    <a:noFill/>
                    <a:ln>
                      <a:noFill/>
                    </a:ln>
                  </pic:spPr>
                </pic:pic>
              </a:graphicData>
            </a:graphic>
          </wp:inline>
        </w:drawing>
      </w:r>
      <w:r>
        <w:rPr>
          <w:rFonts w:ascii="Arial" w:cs="Arial" w:eastAsia="Arial" w:hAnsi="Arial"/>
          <w:sz w:val="11"/>
          <w:szCs w:val="11"/>
          <w:color w:val="auto"/>
        </w:rPr>
        <w:t xml:space="preserve">     Significant share ownership and retention requirements</w:t>
      </w:r>
    </w:p>
    <w:p>
      <w:pPr>
        <w:spacing w:after="0" w:line="27" w:lineRule="exact"/>
        <w:rPr>
          <w:sz w:val="20"/>
          <w:szCs w:val="20"/>
          <w:color w:val="auto"/>
        </w:rPr>
      </w:pPr>
    </w:p>
    <w:p>
      <w:pPr>
        <w:ind w:left="2180"/>
        <w:spacing w:after="0"/>
        <w:rPr>
          <w:sz w:val="20"/>
          <w:szCs w:val="20"/>
          <w:color w:val="auto"/>
        </w:rPr>
      </w:pPr>
      <w:r>
        <w:rPr>
          <w:sz w:val="1"/>
          <w:szCs w:val="1"/>
          <w:color w:val="auto"/>
        </w:rPr>
        <w:drawing>
          <wp:inline distT="0" distB="0" distL="0" distR="0">
            <wp:extent cx="62865" cy="51435"/>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2865" cy="51435"/>
                    </a:xfrm>
                    <a:prstGeom prst="rect">
                      <a:avLst/>
                    </a:prstGeom>
                    <a:noFill/>
                    <a:ln>
                      <a:noFill/>
                    </a:ln>
                  </pic:spPr>
                </pic:pic>
              </a:graphicData>
            </a:graphic>
          </wp:inline>
        </w:drawing>
      </w:r>
      <w:r>
        <w:rPr>
          <w:rFonts w:ascii="Arial" w:cs="Arial" w:eastAsia="Arial" w:hAnsi="Arial"/>
          <w:sz w:val="11"/>
          <w:szCs w:val="11"/>
          <w:color w:val="auto"/>
        </w:rPr>
        <w:t xml:space="preserve">     5x base salary for CEO</w:t>
      </w:r>
    </w:p>
    <w:p>
      <w:pPr>
        <w:spacing w:after="0" w:line="27" w:lineRule="exact"/>
        <w:rPr>
          <w:sz w:val="20"/>
          <w:szCs w:val="20"/>
          <w:color w:val="auto"/>
        </w:rPr>
      </w:pPr>
    </w:p>
    <w:p>
      <w:pPr>
        <w:ind w:left="2180"/>
        <w:spacing w:after="0"/>
        <w:rPr>
          <w:sz w:val="20"/>
          <w:szCs w:val="20"/>
          <w:color w:val="auto"/>
        </w:rPr>
      </w:pPr>
      <w:r>
        <w:rPr>
          <w:sz w:val="1"/>
          <w:szCs w:val="1"/>
          <w:color w:val="auto"/>
        </w:rPr>
        <w:drawing>
          <wp:inline distT="0" distB="0" distL="0" distR="0">
            <wp:extent cx="62865" cy="5143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2865" cy="51435"/>
                    </a:xfrm>
                    <a:prstGeom prst="rect">
                      <a:avLst/>
                    </a:prstGeom>
                    <a:noFill/>
                    <a:ln>
                      <a:noFill/>
                    </a:ln>
                  </pic:spPr>
                </pic:pic>
              </a:graphicData>
            </a:graphic>
          </wp:inline>
        </w:drawing>
      </w:r>
      <w:r>
        <w:rPr>
          <w:rFonts w:ascii="Arial" w:cs="Arial" w:eastAsia="Arial" w:hAnsi="Arial"/>
          <w:sz w:val="11"/>
          <w:szCs w:val="11"/>
          <w:color w:val="auto"/>
        </w:rPr>
        <w:t xml:space="preserve">     2x base salary for other NEOs</w:t>
      </w:r>
    </w:p>
    <w:p>
      <w:pPr>
        <w:spacing w:after="0" w:line="27" w:lineRule="exact"/>
        <w:rPr>
          <w:sz w:val="20"/>
          <w:szCs w:val="20"/>
          <w:color w:val="auto"/>
        </w:rPr>
      </w:pPr>
    </w:p>
    <w:p>
      <w:pPr>
        <w:ind w:left="2180" w:right="80" w:hanging="215"/>
        <w:spacing w:after="0"/>
        <w:rPr>
          <w:sz w:val="20"/>
          <w:szCs w:val="20"/>
          <w:color w:val="auto"/>
        </w:rPr>
      </w:pPr>
      <w:r>
        <w:rPr>
          <w:sz w:val="1"/>
          <w:szCs w:val="1"/>
          <w:color w:val="auto"/>
        </w:rPr>
        <w:drawing>
          <wp:inline distT="0" distB="0" distL="0" distR="0">
            <wp:extent cx="62865" cy="51435"/>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2865" cy="51435"/>
                    </a:xfrm>
                    <a:prstGeom prst="rect">
                      <a:avLst/>
                    </a:prstGeom>
                    <a:noFill/>
                    <a:ln>
                      <a:noFill/>
                    </a:ln>
                  </pic:spPr>
                </pic:pic>
              </a:graphicData>
            </a:graphic>
          </wp:inline>
        </w:drawing>
      </w:r>
      <w:r>
        <w:rPr>
          <w:rFonts w:ascii="Arial" w:cs="Arial" w:eastAsia="Arial" w:hAnsi="Arial"/>
          <w:sz w:val="11"/>
          <w:szCs w:val="11"/>
          <w:color w:val="auto"/>
        </w:rPr>
        <w:t xml:space="preserve">     NEOs must hold 50% of net shares received upon option exercises or award vesting until they achieve the required ownership levels</w:t>
      </w:r>
    </w:p>
    <w:p>
      <w:pPr>
        <w:spacing w:after="0" w:line="23" w:lineRule="exact"/>
        <w:rPr>
          <w:sz w:val="20"/>
          <w:szCs w:val="20"/>
          <w:color w:val="auto"/>
        </w:rPr>
      </w:pPr>
    </w:p>
    <w:p>
      <w:pPr>
        <w:ind w:left="1980"/>
        <w:spacing w:after="0"/>
        <w:rPr>
          <w:sz w:val="20"/>
          <w:szCs w:val="20"/>
          <w:color w:val="auto"/>
        </w:rPr>
      </w:pPr>
      <w:r>
        <w:rPr>
          <w:sz w:val="1"/>
          <w:szCs w:val="1"/>
          <w:color w:val="auto"/>
        </w:rPr>
        <w:drawing>
          <wp:inline distT="0" distB="0" distL="0" distR="0">
            <wp:extent cx="62865" cy="51435"/>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2865" cy="51435"/>
                    </a:xfrm>
                    <a:prstGeom prst="rect">
                      <a:avLst/>
                    </a:prstGeom>
                    <a:noFill/>
                    <a:ln>
                      <a:noFill/>
                    </a:ln>
                  </pic:spPr>
                </pic:pic>
              </a:graphicData>
            </a:graphic>
          </wp:inline>
        </w:drawing>
      </w:r>
      <w:r>
        <w:rPr>
          <w:rFonts w:ascii="Arial" w:cs="Arial" w:eastAsia="Arial" w:hAnsi="Arial"/>
          <w:sz w:val="11"/>
          <w:szCs w:val="11"/>
          <w:color w:val="auto"/>
        </w:rPr>
        <w:t xml:space="preserve">     Fully independent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124460</wp:posOffset>
            </wp:positionV>
            <wp:extent cx="4663440" cy="2686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sz w:val="1"/>
          <w:szCs w:val="1"/>
          <w:color w:val="auto"/>
        </w:rPr>
        <w:drawing>
          <wp:inline distT="0" distB="0" distL="0" distR="0">
            <wp:extent cx="62865" cy="51435"/>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2865" cy="51435"/>
                    </a:xfrm>
                    <a:prstGeom prst="rect">
                      <a:avLst/>
                    </a:prstGeom>
                    <a:noFill/>
                    <a:ln>
                      <a:noFill/>
                    </a:ln>
                  </pic:spPr>
                </pic:pic>
              </a:graphicData>
            </a:graphic>
          </wp:inline>
        </w:drawing>
      </w:r>
      <w:r>
        <w:rPr>
          <w:rFonts w:ascii="Arial" w:cs="Arial" w:eastAsia="Arial" w:hAnsi="Arial"/>
          <w:sz w:val="11"/>
          <w:szCs w:val="11"/>
          <w:color w:val="auto"/>
        </w:rPr>
        <w:t xml:space="preserve">     Independent Compensation Consultant</w:t>
      </w:r>
    </w:p>
    <w:p>
      <w:pPr>
        <w:spacing w:after="0" w:line="27" w:lineRule="exact"/>
        <w:rPr>
          <w:sz w:val="20"/>
          <w:szCs w:val="20"/>
          <w:color w:val="auto"/>
        </w:rPr>
      </w:pPr>
    </w:p>
    <w:p>
      <w:pPr>
        <w:spacing w:after="0"/>
        <w:rPr>
          <w:sz w:val="20"/>
          <w:szCs w:val="20"/>
          <w:color w:val="auto"/>
        </w:rPr>
      </w:pPr>
      <w:r>
        <w:rPr>
          <w:sz w:val="1"/>
          <w:szCs w:val="1"/>
          <w:color w:val="auto"/>
        </w:rPr>
        <w:drawing>
          <wp:inline distT="0" distB="0" distL="0" distR="0">
            <wp:extent cx="62865" cy="51435"/>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2865" cy="51435"/>
                    </a:xfrm>
                    <a:prstGeom prst="rect">
                      <a:avLst/>
                    </a:prstGeom>
                    <a:noFill/>
                    <a:ln>
                      <a:noFill/>
                    </a:ln>
                  </pic:spPr>
                </pic:pic>
              </a:graphicData>
            </a:graphic>
          </wp:inline>
        </w:drawing>
      </w:r>
      <w:r>
        <w:rPr>
          <w:rFonts w:ascii="Arial" w:cs="Arial" w:eastAsia="Arial" w:hAnsi="Arial"/>
          <w:sz w:val="11"/>
          <w:szCs w:val="11"/>
          <w:color w:val="auto"/>
        </w:rPr>
        <w:t xml:space="preserve">     Incentive programs do not incentivize excessive risk taking</w:t>
      </w:r>
    </w:p>
    <w:p>
      <w:pPr>
        <w:spacing w:after="0" w:line="27" w:lineRule="exact"/>
        <w:rPr>
          <w:sz w:val="20"/>
          <w:szCs w:val="20"/>
          <w:color w:val="auto"/>
        </w:rPr>
      </w:pPr>
    </w:p>
    <w:p>
      <w:pPr>
        <w:ind w:left="220" w:right="1039" w:hanging="215"/>
        <w:spacing w:after="0"/>
        <w:rPr>
          <w:sz w:val="20"/>
          <w:szCs w:val="20"/>
          <w:color w:val="auto"/>
        </w:rPr>
      </w:pPr>
      <w:r>
        <w:rPr>
          <w:sz w:val="1"/>
          <w:szCs w:val="1"/>
          <w:color w:val="auto"/>
        </w:rPr>
        <w:drawing>
          <wp:inline distT="0" distB="0" distL="0" distR="0">
            <wp:extent cx="62865" cy="51435"/>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2865" cy="51435"/>
                    </a:xfrm>
                    <a:prstGeom prst="rect">
                      <a:avLst/>
                    </a:prstGeom>
                    <a:noFill/>
                    <a:ln>
                      <a:noFill/>
                    </a:ln>
                  </pic:spPr>
                </pic:pic>
              </a:graphicData>
            </a:graphic>
          </wp:inline>
        </w:drawing>
      </w:r>
      <w:r>
        <w:rPr>
          <w:rFonts w:ascii="Arial" w:cs="Arial" w:eastAsia="Arial" w:hAnsi="Arial"/>
          <w:sz w:val="11"/>
          <w:szCs w:val="11"/>
          <w:color w:val="auto"/>
        </w:rPr>
        <w:t xml:space="preserve">     Robust anti-hedging and pledging policies prohibiting pledging or hedging of Company stock</w:t>
      </w:r>
    </w:p>
    <w:p>
      <w:pPr>
        <w:spacing w:after="0" w:line="23" w:lineRule="exact"/>
        <w:rPr>
          <w:sz w:val="20"/>
          <w:szCs w:val="20"/>
          <w:color w:val="auto"/>
        </w:rPr>
      </w:pPr>
    </w:p>
    <w:p>
      <w:pPr>
        <w:spacing w:after="0"/>
        <w:rPr>
          <w:sz w:val="20"/>
          <w:szCs w:val="20"/>
          <w:color w:val="auto"/>
        </w:rPr>
      </w:pPr>
      <w:r>
        <w:rPr>
          <w:sz w:val="1"/>
          <w:szCs w:val="1"/>
          <w:color w:val="auto"/>
        </w:rPr>
        <w:drawing>
          <wp:inline distT="0" distB="0" distL="0" distR="0">
            <wp:extent cx="62865" cy="51435"/>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2865" cy="51435"/>
                    </a:xfrm>
                    <a:prstGeom prst="rect">
                      <a:avLst/>
                    </a:prstGeom>
                    <a:noFill/>
                    <a:ln>
                      <a:noFill/>
                    </a:ln>
                  </pic:spPr>
                </pic:pic>
              </a:graphicData>
            </a:graphic>
          </wp:inline>
        </w:drawing>
      </w:r>
      <w:r>
        <w:rPr>
          <w:rFonts w:ascii="Arial" w:cs="Arial" w:eastAsia="Arial" w:hAnsi="Arial"/>
          <w:sz w:val="11"/>
          <w:szCs w:val="11"/>
          <w:color w:val="auto"/>
        </w:rPr>
        <w:t xml:space="preserve">     Double-trigger change in control provisions for equity grants</w:t>
      </w:r>
    </w:p>
    <w:p>
      <w:pPr>
        <w:spacing w:after="0" w:line="27" w:lineRule="exact"/>
        <w:rPr>
          <w:sz w:val="20"/>
          <w:szCs w:val="20"/>
          <w:color w:val="auto"/>
        </w:rPr>
      </w:pPr>
    </w:p>
    <w:p>
      <w:pPr>
        <w:spacing w:after="0"/>
        <w:rPr>
          <w:sz w:val="20"/>
          <w:szCs w:val="20"/>
          <w:color w:val="auto"/>
        </w:rPr>
      </w:pPr>
      <w:r>
        <w:rPr>
          <w:sz w:val="1"/>
          <w:szCs w:val="1"/>
          <w:color w:val="auto"/>
        </w:rPr>
        <w:drawing>
          <wp:inline distT="0" distB="0" distL="0" distR="0">
            <wp:extent cx="62865" cy="51435"/>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2865" cy="51435"/>
                    </a:xfrm>
                    <a:prstGeom prst="rect">
                      <a:avLst/>
                    </a:prstGeom>
                    <a:noFill/>
                    <a:ln>
                      <a:noFill/>
                    </a:ln>
                  </pic:spPr>
                </pic:pic>
              </a:graphicData>
            </a:graphic>
          </wp:inline>
        </w:drawing>
      </w:r>
      <w:r>
        <w:rPr>
          <w:rFonts w:ascii="Arial" w:cs="Arial" w:eastAsia="Arial" w:hAnsi="Arial"/>
          <w:sz w:val="11"/>
          <w:szCs w:val="11"/>
          <w:color w:val="auto"/>
        </w:rPr>
        <w:t xml:space="preserve">     Maximum payout caps under incentive plans</w:t>
      </w:r>
    </w:p>
    <w:p>
      <w:pPr>
        <w:spacing w:after="0" w:line="27" w:lineRule="exact"/>
        <w:rPr>
          <w:sz w:val="20"/>
          <w:szCs w:val="20"/>
          <w:color w:val="auto"/>
        </w:rPr>
      </w:pPr>
    </w:p>
    <w:p>
      <w:pPr>
        <w:spacing w:after="0"/>
        <w:rPr>
          <w:sz w:val="20"/>
          <w:szCs w:val="20"/>
          <w:color w:val="auto"/>
        </w:rPr>
      </w:pPr>
      <w:r>
        <w:rPr>
          <w:sz w:val="1"/>
          <w:szCs w:val="1"/>
          <w:color w:val="auto"/>
        </w:rPr>
        <w:drawing>
          <wp:inline distT="0" distB="0" distL="0" distR="0">
            <wp:extent cx="62865" cy="51435"/>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2865" cy="51435"/>
                    </a:xfrm>
                    <a:prstGeom prst="rect">
                      <a:avLst/>
                    </a:prstGeom>
                    <a:noFill/>
                    <a:ln>
                      <a:noFill/>
                    </a:ln>
                  </pic:spPr>
                </pic:pic>
              </a:graphicData>
            </a:graphic>
          </wp:inline>
        </w:drawing>
      </w:r>
      <w:r>
        <w:rPr>
          <w:rFonts w:ascii="Arial" w:cs="Arial" w:eastAsia="Arial" w:hAnsi="Arial"/>
          <w:sz w:val="11"/>
          <w:szCs w:val="11"/>
          <w:color w:val="auto"/>
        </w:rPr>
        <w:t xml:space="preserve">     No tax gross-ups</w:t>
      </w:r>
    </w:p>
    <w:p>
      <w:pPr>
        <w:spacing w:after="0" w:line="27" w:lineRule="exact"/>
        <w:rPr>
          <w:sz w:val="20"/>
          <w:szCs w:val="20"/>
          <w:color w:val="auto"/>
        </w:rPr>
      </w:pPr>
    </w:p>
    <w:p>
      <w:pPr>
        <w:spacing w:after="0"/>
        <w:rPr>
          <w:sz w:val="20"/>
          <w:szCs w:val="20"/>
          <w:color w:val="auto"/>
        </w:rPr>
      </w:pPr>
      <w:r>
        <w:rPr>
          <w:sz w:val="1"/>
          <w:szCs w:val="1"/>
          <w:color w:val="auto"/>
        </w:rPr>
        <w:drawing>
          <wp:inline distT="0" distB="0" distL="0" distR="0">
            <wp:extent cx="62865" cy="51435"/>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2865" cy="51435"/>
                    </a:xfrm>
                    <a:prstGeom prst="rect">
                      <a:avLst/>
                    </a:prstGeom>
                    <a:noFill/>
                    <a:ln>
                      <a:noFill/>
                    </a:ln>
                  </pic:spPr>
                </pic:pic>
              </a:graphicData>
            </a:graphic>
          </wp:inline>
        </w:drawing>
      </w:r>
      <w:r>
        <w:rPr>
          <w:rFonts w:ascii="Arial" w:cs="Arial" w:eastAsia="Arial" w:hAnsi="Arial"/>
          <w:sz w:val="11"/>
          <w:szCs w:val="11"/>
          <w:color w:val="auto"/>
        </w:rPr>
        <w:t xml:space="preserve">     No excessive perquisites</w:t>
      </w:r>
    </w:p>
    <w:p>
      <w:pPr>
        <w:spacing w:after="0" w:line="27" w:lineRule="exact"/>
        <w:rPr>
          <w:sz w:val="20"/>
          <w:szCs w:val="20"/>
          <w:color w:val="auto"/>
        </w:rPr>
      </w:pPr>
    </w:p>
    <w:p>
      <w:pPr>
        <w:spacing w:after="0"/>
        <w:rPr>
          <w:sz w:val="20"/>
          <w:szCs w:val="20"/>
          <w:color w:val="auto"/>
        </w:rPr>
      </w:pPr>
      <w:r>
        <w:rPr>
          <w:sz w:val="1"/>
          <w:szCs w:val="1"/>
          <w:color w:val="auto"/>
        </w:rPr>
        <w:drawing>
          <wp:inline distT="0" distB="0" distL="0" distR="0">
            <wp:extent cx="62865" cy="51435"/>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2865" cy="51435"/>
                    </a:xfrm>
                    <a:prstGeom prst="rect">
                      <a:avLst/>
                    </a:prstGeom>
                    <a:noFill/>
                    <a:ln>
                      <a:noFill/>
                    </a:ln>
                  </pic:spPr>
                </pic:pic>
              </a:graphicData>
            </a:graphic>
          </wp:inline>
        </w:drawing>
      </w:r>
      <w:r>
        <w:rPr>
          <w:rFonts w:ascii="Arial" w:cs="Arial" w:eastAsia="Arial" w:hAnsi="Arial"/>
          <w:sz w:val="11"/>
          <w:szCs w:val="11"/>
          <w:color w:val="auto"/>
        </w:rPr>
        <w:t xml:space="preserve">     No repricing of equity incentive awards</w:t>
      </w:r>
    </w:p>
    <w:p>
      <w:pPr>
        <w:spacing w:after="0" w:line="27" w:lineRule="exact"/>
        <w:rPr>
          <w:sz w:val="20"/>
          <w:szCs w:val="20"/>
          <w:color w:val="auto"/>
        </w:rPr>
      </w:pPr>
    </w:p>
    <w:p>
      <w:pPr>
        <w:spacing w:after="0"/>
        <w:rPr>
          <w:sz w:val="20"/>
          <w:szCs w:val="20"/>
          <w:color w:val="auto"/>
        </w:rPr>
      </w:pPr>
      <w:r>
        <w:rPr>
          <w:sz w:val="1"/>
          <w:szCs w:val="1"/>
          <w:color w:val="auto"/>
        </w:rPr>
        <w:drawing>
          <wp:inline distT="0" distB="0" distL="0" distR="0">
            <wp:extent cx="62865" cy="5143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2865" cy="51435"/>
                    </a:xfrm>
                    <a:prstGeom prst="rect">
                      <a:avLst/>
                    </a:prstGeom>
                    <a:noFill/>
                    <a:ln>
                      <a:noFill/>
                    </a:ln>
                  </pic:spPr>
                </pic:pic>
              </a:graphicData>
            </a:graphic>
          </wp:inline>
        </w:drawing>
      </w:r>
      <w:r>
        <w:rPr>
          <w:rFonts w:ascii="Arial" w:cs="Arial" w:eastAsia="Arial" w:hAnsi="Arial"/>
          <w:sz w:val="11"/>
          <w:szCs w:val="11"/>
          <w:color w:val="auto"/>
        </w:rPr>
        <w:t xml:space="preserve">     Strong Clawback Policy</w:t>
      </w:r>
    </w:p>
    <w:p>
      <w:pPr>
        <w:spacing w:after="0" w:line="200" w:lineRule="exact"/>
        <w:rPr>
          <w:sz w:val="20"/>
          <w:szCs w:val="20"/>
          <w:color w:val="auto"/>
        </w:rPr>
      </w:pPr>
    </w:p>
    <w:p>
      <w:pPr>
        <w:sectPr>
          <w:pgSz w:w="11900" w:h="16838" w:orient="portrait"/>
          <w:cols w:equalWidth="0" w:num="2">
            <w:col w:w="5600" w:space="220"/>
            <w:col w:w="4339"/>
          </w:cols>
          <w:pgMar w:left="300" w:top="372" w:right="1440" w:bottom="1440" w:gutter="0" w:footer="0" w:header="0"/>
          <w:type w:val="continuous"/>
        </w:sectPr>
      </w:pPr>
    </w:p>
    <w:p>
      <w:pPr>
        <w:spacing w:after="0" w:line="42"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Frequency on Pay Vote</w:t>
      </w:r>
    </w:p>
    <w:p>
      <w:pPr>
        <w:spacing w:after="0" w:line="26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Proposal 3 — Frequency on Pay Vote</w:t>
      </w:r>
    </w:p>
    <w:p>
      <w:pPr>
        <w:spacing w:after="0" w:line="41" w:lineRule="exact"/>
        <w:rPr>
          <w:sz w:val="20"/>
          <w:szCs w:val="20"/>
          <w:color w:val="auto"/>
        </w:rPr>
      </w:pPr>
    </w:p>
    <w:p>
      <w:pPr>
        <w:ind w:left="1980" w:right="939"/>
        <w:spacing w:after="0" w:line="268" w:lineRule="auto"/>
        <w:rPr>
          <w:sz w:val="20"/>
          <w:szCs w:val="20"/>
          <w:color w:val="auto"/>
        </w:rPr>
      </w:pPr>
      <w:r>
        <w:rPr>
          <w:rFonts w:ascii="Arial" w:cs="Arial" w:eastAsia="Arial" w:hAnsi="Arial"/>
          <w:sz w:val="10"/>
          <w:szCs w:val="10"/>
          <w:color w:val="auto"/>
        </w:rPr>
        <w:t>You are being asked, in a non-binding, advisory vote, to express whether you prefer that shareholder advisory votes on the compensation of our Named Executive Officers, such as the one set forth above under Proposal No. 2, be held every one, two or three years. The Board believes that the most appropriate approach at this time is to continue to have an annual (every year) shareholder advisory vote on the compensation of our Named Executive Officers, as the Company has done since 2011. We believe an annual vote best enables our shareholders to express their viewpoints so the Board and the Compensation Committee can understand and incorporate these views in structuring the Company’s executive compensation programs. As time progresses the Board may alter this view, but the Board is interested in obtaining more frequent feedback from shareholders to assist in evaluating and structuring the Company’s compensation programs. Detailed information about this proposal can be found beginning on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51435</wp:posOffset>
            </wp:positionV>
            <wp:extent cx="3971925" cy="2171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18"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xiii</w:t>
      </w:r>
    </w:p>
    <w:p>
      <w:pPr>
        <w:sectPr>
          <w:pgSz w:w="11900" w:h="16838" w:orient="portrait"/>
          <w:cols w:equalWidth="0" w:num="1">
            <w:col w:w="10159"/>
          </w:cols>
          <w:pgMar w:left="300" w:top="372"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136525</wp:posOffset>
            </wp:positionV>
            <wp:extent cx="4663440" cy="2686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4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Our Stock Incentive Plan</w:t>
      </w:r>
    </w:p>
    <w:p>
      <w:pPr>
        <w:spacing w:after="0" w:line="26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Proposal 4 — Approval of Amendments to our Restated 2003 Stock Incentive Performance Plan</w:t>
      </w:r>
    </w:p>
    <w:p>
      <w:pPr>
        <w:spacing w:after="0" w:line="41"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You are being asked to approve amendments to our Restated 2003 Stock Incentive Performance Plan, as amended (the “2003 Plan”) to increase the authorized shares available for issuance under the plan and extend the duration of the plan. As we continue to evolve our Blueprint 2.0 strategy, we need the ability to grant appropriate and competitive incentives to attract, motivate and retain key personnel and reward those who contribute to the success and performance of our business. We provide variable performance-based compensation that aligns the interests of those persons with shareholders while appropriately rewarding those persons for contributing to our success and the delivery of strong performance.</w:t>
      </w:r>
    </w:p>
    <w:p>
      <w:pPr>
        <w:spacing w:after="0" w:line="115" w:lineRule="exact"/>
        <w:rPr>
          <w:sz w:val="20"/>
          <w:szCs w:val="20"/>
          <w:color w:val="auto"/>
        </w:rPr>
      </w:pPr>
    </w:p>
    <w:p>
      <w:pPr>
        <w:ind w:left="1980" w:right="939"/>
        <w:spacing w:after="0" w:line="245" w:lineRule="auto"/>
        <w:rPr>
          <w:sz w:val="20"/>
          <w:szCs w:val="20"/>
          <w:color w:val="auto"/>
        </w:rPr>
      </w:pPr>
      <w:r>
        <w:rPr>
          <w:rFonts w:ascii="Arial" w:cs="Arial" w:eastAsia="Arial" w:hAnsi="Arial"/>
          <w:sz w:val="11"/>
          <w:szCs w:val="11"/>
          <w:color w:val="auto"/>
        </w:rPr>
        <w:t>We are requesting shareholders to approve an increase in the shares available for issuance under the 2003 Plan by 1,100,000 shares and to extend the duration of the 2003 Plan to December 31, 2028. Detailed information about this proposal can be found beginning on 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149860</wp:posOffset>
            </wp:positionV>
            <wp:extent cx="4663440" cy="2686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1"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Our Auditors</w:t>
      </w:r>
    </w:p>
    <w:p>
      <w:pPr>
        <w:spacing w:after="0" w:line="26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Proposal 5 — Ratification of Independent Registered Public Accounting Firm</w:t>
      </w:r>
    </w:p>
    <w:p>
      <w:pPr>
        <w:spacing w:after="0" w:line="32" w:lineRule="exact"/>
        <w:rPr>
          <w:sz w:val="20"/>
          <w:szCs w:val="20"/>
          <w:color w:val="auto"/>
        </w:rPr>
      </w:pPr>
    </w:p>
    <w:p>
      <w:pPr>
        <w:ind w:left="1980" w:right="879"/>
        <w:spacing w:after="0" w:line="245" w:lineRule="auto"/>
        <w:rPr>
          <w:sz w:val="20"/>
          <w:szCs w:val="20"/>
          <w:color w:val="auto"/>
        </w:rPr>
      </w:pPr>
      <w:r>
        <w:rPr>
          <w:rFonts w:ascii="Arial" w:cs="Arial" w:eastAsia="Arial" w:hAnsi="Arial"/>
          <w:sz w:val="11"/>
          <w:szCs w:val="11"/>
          <w:color w:val="auto"/>
        </w:rPr>
        <w:t>You are being asked to vote to ratify the selection of KPMG LLP as our independent registered public accounting firm for fiscal 2023. Detailed information about this proposal can be found beginning on 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212090</wp:posOffset>
            </wp:positionV>
            <wp:extent cx="3971925" cy="2171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38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xiv</w:t>
      </w:r>
    </w:p>
    <w:p>
      <w:pPr>
        <w:sectPr>
          <w:pgSz w:w="11900" w:h="16838" w:orient="portrait"/>
          <w:cols w:equalWidth="0" w:num="1">
            <w:col w:w="10159"/>
          </w:cols>
          <w:pgMar w:left="300" w:top="372" w:right="1440"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Election of Directors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60960</wp:posOffset>
            </wp:positionV>
            <wp:extent cx="4526280" cy="7715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526280" cy="771525"/>
                    </a:xfrm>
                    <a:prstGeom prst="rect">
                      <a:avLst/>
                    </a:prstGeom>
                    <a:noFill/>
                  </pic:spPr>
                </pic:pic>
              </a:graphicData>
            </a:graphic>
          </wp:anchor>
        </w:drawing>
      </w:r>
    </w:p>
    <w:p>
      <w:pPr>
        <w:spacing w:after="0" w:line="98"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009BDE"/>
        </w:rPr>
        <w:t>The Board of Directors unanimously recommends a vote “FOR ALL” of the following</w:t>
      </w:r>
    </w:p>
    <w:p>
      <w:pPr>
        <w:spacing w:after="0" w:line="19"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009BDE"/>
        </w:rPr>
        <w:t>Board nominees at the 2023 Annual Meeting:</w:t>
      </w:r>
    </w:p>
    <w:p>
      <w:pPr>
        <w:spacing w:after="0" w:line="235" w:lineRule="exact"/>
        <w:rPr>
          <w:sz w:val="20"/>
          <w:szCs w:val="20"/>
          <w:color w:val="auto"/>
        </w:rPr>
      </w:pPr>
    </w:p>
    <w:p>
      <w:pPr>
        <w:ind w:left="2080" w:right="2219"/>
        <w:spacing w:after="0" w:line="263" w:lineRule="auto"/>
        <w:rPr>
          <w:sz w:val="20"/>
          <w:szCs w:val="20"/>
          <w:color w:val="auto"/>
        </w:rPr>
      </w:pPr>
      <w:r>
        <w:rPr>
          <w:rFonts w:ascii="Arial" w:cs="Arial" w:eastAsia="Arial" w:hAnsi="Arial"/>
          <w:sz w:val="14"/>
          <w:szCs w:val="14"/>
          <w:b w:val="1"/>
          <w:bCs w:val="1"/>
          <w:color w:val="009BDE"/>
        </w:rPr>
        <w:t>Michael R. Burns, Hope F. Cochran, Christian P. Cocks, Lisa Gersh, Elizabeth Hamren, Blake Jorgensen, Tracy A. Leinbach, Laurel J. Richie, Richard S. Stoddart, Mary Beth West and Linda Zecher Higgins.</w:t>
      </w:r>
    </w:p>
    <w:p>
      <w:pPr>
        <w:spacing w:after="0" w:line="187" w:lineRule="exact"/>
        <w:rPr>
          <w:sz w:val="20"/>
          <w:szCs w:val="20"/>
          <w:color w:val="auto"/>
        </w:rPr>
      </w:pPr>
    </w:p>
    <w:p>
      <w:pPr>
        <w:jc w:val="both"/>
        <w:ind w:left="1980" w:right="939"/>
        <w:spacing w:after="0" w:line="278" w:lineRule="auto"/>
        <w:rPr>
          <w:sz w:val="20"/>
          <w:szCs w:val="20"/>
          <w:color w:val="auto"/>
        </w:rPr>
      </w:pPr>
      <w:r>
        <w:rPr>
          <w:rFonts w:ascii="Arial" w:cs="Arial" w:eastAsia="Arial" w:hAnsi="Arial"/>
          <w:sz w:val="10"/>
          <w:szCs w:val="10"/>
          <w:color w:val="auto"/>
        </w:rPr>
        <w:t>The Board has set the number of directors at eleven (11), and you will be asked to elect eleven (11) directors at the Annual Meeting. All of the directors elected at the Annual Meeting will serve until the 2024 Annual Meeting of Shareholders (the “2024 Meeting”), and until their successors are duly elected and qualified, or until their earlier death, resignation or removal. Shareholders cannot vote “FOR” more than eleven (11) directors at the Annual Meeting.</w:t>
      </w:r>
    </w:p>
    <w:p>
      <w:pPr>
        <w:spacing w:after="0" w:line="77" w:lineRule="exact"/>
        <w:rPr>
          <w:sz w:val="20"/>
          <w:szCs w:val="20"/>
          <w:color w:val="auto"/>
        </w:rPr>
      </w:pPr>
    </w:p>
    <w:p>
      <w:pPr>
        <w:ind w:left="1980" w:right="839"/>
        <w:spacing w:after="0"/>
        <w:rPr>
          <w:sz w:val="20"/>
          <w:szCs w:val="20"/>
          <w:color w:val="auto"/>
        </w:rPr>
      </w:pPr>
      <w:r>
        <w:rPr>
          <w:rFonts w:ascii="Arial" w:cs="Arial" w:eastAsia="Arial" w:hAnsi="Arial"/>
          <w:sz w:val="11"/>
          <w:szCs w:val="11"/>
          <w:color w:val="auto"/>
        </w:rPr>
        <w:t xml:space="preserve">Based upon the Company’s criteria for nominations of directors to the Board and the unanimous recommendation of the Nominating, Governance and Social Responsibility Committee, the Board unanimously determined to nominate </w:t>
      </w:r>
      <w:r>
        <w:rPr>
          <w:rFonts w:ascii="Arial" w:cs="Arial" w:eastAsia="Arial" w:hAnsi="Arial"/>
          <w:sz w:val="11"/>
          <w:szCs w:val="11"/>
          <w:b w:val="1"/>
          <w:bCs w:val="1"/>
          <w:color w:val="auto"/>
        </w:rPr>
        <w:t>Michael R. Burns, Hope F. Cochran, Christian P. Cocks, Lisa Gersh,</w:t>
      </w:r>
      <w:r>
        <w:rPr>
          <w:rFonts w:ascii="Arial" w:cs="Arial" w:eastAsia="Arial" w:hAnsi="Arial"/>
          <w:sz w:val="11"/>
          <w:szCs w:val="11"/>
          <w:color w:val="auto"/>
        </w:rPr>
        <w:t xml:space="preserve"> </w:t>
      </w:r>
      <w:r>
        <w:rPr>
          <w:rFonts w:ascii="Arial" w:cs="Arial" w:eastAsia="Arial" w:hAnsi="Arial"/>
          <w:sz w:val="11"/>
          <w:szCs w:val="11"/>
          <w:b w:val="1"/>
          <w:bCs w:val="1"/>
          <w:color w:val="auto"/>
        </w:rPr>
        <w:t xml:space="preserve">Elizabeth Hamren, Blake Jorgensen, Tracy A. Leinbach, Laurel J. Richie, Richard S. Stoddart, Mary Beth West, and Linda Zecher Higgins </w:t>
      </w:r>
      <w:r>
        <w:rPr>
          <w:rFonts w:ascii="Arial" w:cs="Arial" w:eastAsia="Arial" w:hAnsi="Arial"/>
          <w:sz w:val="11"/>
          <w:szCs w:val="11"/>
          <w:color w:val="auto"/>
        </w:rPr>
        <w:t>for</w:t>
      </w:r>
      <w:r>
        <w:rPr>
          <w:rFonts w:ascii="Arial" w:cs="Arial" w:eastAsia="Arial" w:hAnsi="Arial"/>
          <w:sz w:val="11"/>
          <w:szCs w:val="11"/>
          <w:b w:val="1"/>
          <w:bCs w:val="1"/>
          <w:color w:val="auto"/>
        </w:rPr>
        <w:t xml:space="preserve"> </w:t>
      </w:r>
      <w:r>
        <w:rPr>
          <w:rFonts w:ascii="Arial" w:cs="Arial" w:eastAsia="Arial" w:hAnsi="Arial"/>
          <w:sz w:val="11"/>
          <w:szCs w:val="11"/>
          <w:color w:val="auto"/>
        </w:rPr>
        <w:t>election by shareholders to serve until the 2024 Annual Meeting. Each nominee has consented to being named in the proxy statement and serving as a director if elected.</w:t>
      </w:r>
    </w:p>
    <w:p>
      <w:pPr>
        <w:spacing w:after="0" w:line="88" w:lineRule="exact"/>
        <w:rPr>
          <w:sz w:val="20"/>
          <w:szCs w:val="20"/>
          <w:color w:val="auto"/>
        </w:rPr>
      </w:pPr>
    </w:p>
    <w:p>
      <w:pPr>
        <w:ind w:left="1980" w:right="919"/>
        <w:spacing w:after="0" w:line="241" w:lineRule="auto"/>
        <w:rPr>
          <w:sz w:val="20"/>
          <w:szCs w:val="20"/>
          <w:color w:val="auto"/>
        </w:rPr>
      </w:pPr>
      <w:r>
        <w:rPr>
          <w:rFonts w:ascii="Arial" w:cs="Arial" w:eastAsia="Arial" w:hAnsi="Arial"/>
          <w:sz w:val="11"/>
          <w:szCs w:val="11"/>
          <w:color w:val="auto"/>
        </w:rPr>
        <w:t>Under Article II, Section 2.6 of Hasbro’s Second Amended and Restated By-laws (“By-Laws”), the affirmative vote of a majority of votes cast with respect to each director nominee will be required for the nominee to be elected. A majority of votes cast means that the number of votes cast “FOR” a director nominee must exceed the number of votes cast “AGAINST” that director nominee. Abstentions will not be counted as votes cast either for or against the nominees.</w:t>
      </w:r>
    </w:p>
    <w:p>
      <w:pPr>
        <w:spacing w:after="0" w:line="95"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If you submit a validly executed proxy card but do not specify how you want to vote your shares with respect to the election of directors, then your shares will be voted in line with the Board’s recommendation with respect to the proposal, i.e., “FOR ALL” the eleven (11) nominees proposed by your Board and named in this proxy statement. Should any of the Board’s nominees be unable or unwilling to stand for election at the time of the Annual Meeting, the proxies named on the proxy card may vote for a replacement nominee recommended by the Board of Directors, or the Board may reduce the number of directors to be elected at the Annual Meeting. At this time, the Board knows of no reason why any of the Board’s nominees would not be able to serve as a director if elected.</w:t>
      </w:r>
    </w:p>
    <w:p>
      <w:pPr>
        <w:spacing w:after="0" w:line="19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Election of Board Nominees</w:t>
      </w:r>
    </w:p>
    <w:p>
      <w:pPr>
        <w:spacing w:after="0" w:line="113" w:lineRule="exact"/>
        <w:rPr>
          <w:sz w:val="20"/>
          <w:szCs w:val="20"/>
          <w:color w:val="auto"/>
        </w:rPr>
      </w:pPr>
    </w:p>
    <w:p>
      <w:pPr>
        <w:ind w:left="1980" w:right="999"/>
        <w:spacing w:after="0" w:line="242" w:lineRule="auto"/>
        <w:rPr>
          <w:sz w:val="20"/>
          <w:szCs w:val="20"/>
          <w:color w:val="auto"/>
        </w:rPr>
      </w:pPr>
      <w:r>
        <w:rPr>
          <w:rFonts w:ascii="Arial" w:cs="Arial" w:eastAsia="Arial" w:hAnsi="Arial"/>
          <w:sz w:val="11"/>
          <w:szCs w:val="11"/>
          <w:color w:val="auto"/>
        </w:rPr>
        <w:t>The Board is currently comprised of thirteen (13) members. As previously announced, Mr. Kenneth A. Bronfin and Mr. Edward M. Philip, directors since 2002 and 2008, respectively, are not standing for re-election at the Meeting. Accordingly, the size of the Board will be reduced to eleven (11) at the Annual Meeting, and the Board is presenting eleven (11) nominees for director.</w:t>
      </w:r>
    </w:p>
    <w:p>
      <w:pPr>
        <w:spacing w:after="0" w:line="85" w:lineRule="exact"/>
        <w:rPr>
          <w:sz w:val="20"/>
          <w:szCs w:val="20"/>
          <w:color w:val="auto"/>
        </w:rPr>
      </w:pPr>
    </w:p>
    <w:p>
      <w:pPr>
        <w:ind w:left="1980" w:right="939"/>
        <w:spacing w:after="0" w:line="245" w:lineRule="auto"/>
        <w:rPr>
          <w:sz w:val="20"/>
          <w:szCs w:val="20"/>
          <w:color w:val="auto"/>
        </w:rPr>
      </w:pPr>
      <w:r>
        <w:rPr>
          <w:rFonts w:ascii="Arial" w:cs="Arial" w:eastAsia="Arial" w:hAnsi="Arial"/>
          <w:sz w:val="11"/>
          <w:szCs w:val="11"/>
          <w:color w:val="auto"/>
        </w:rPr>
        <w:t>In considering candidates for election to the Board, the Nominating, Governance and Social Responsibility Committee and the Board consider a number of factors, including:</w:t>
      </w:r>
    </w:p>
    <w:p>
      <w:pPr>
        <w:spacing w:after="0" w:line="75" w:lineRule="exact"/>
        <w:rPr>
          <w:sz w:val="20"/>
          <w:szCs w:val="20"/>
          <w:color w:val="auto"/>
        </w:rPr>
      </w:pPr>
    </w:p>
    <w:p>
      <w:pPr>
        <w:ind w:left="2120" w:hanging="148"/>
        <w:spacing w:after="0"/>
        <w:tabs>
          <w:tab w:leader="none" w:pos="2120" w:val="left"/>
        </w:tabs>
        <w:numPr>
          <w:ilvl w:val="0"/>
          <w:numId w:val="21"/>
        </w:numPr>
        <w:rPr>
          <w:rFonts w:ascii="Arial" w:cs="Arial" w:eastAsia="Arial" w:hAnsi="Arial"/>
          <w:sz w:val="11"/>
          <w:szCs w:val="11"/>
          <w:color w:val="auto"/>
        </w:rPr>
      </w:pPr>
      <w:r>
        <w:rPr>
          <w:rFonts w:ascii="Arial" w:cs="Arial" w:eastAsia="Arial" w:hAnsi="Arial"/>
          <w:sz w:val="11"/>
          <w:szCs w:val="11"/>
          <w:color w:val="auto"/>
        </w:rPr>
        <w:t>employment, experience and overall qualifications;</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21"/>
        </w:numPr>
        <w:rPr>
          <w:rFonts w:ascii="Arial" w:cs="Arial" w:eastAsia="Arial" w:hAnsi="Arial"/>
          <w:sz w:val="11"/>
          <w:szCs w:val="11"/>
          <w:color w:val="auto"/>
        </w:rPr>
      </w:pPr>
      <w:r>
        <w:rPr>
          <w:rFonts w:ascii="Arial" w:cs="Arial" w:eastAsia="Arial" w:hAnsi="Arial"/>
          <w:sz w:val="11"/>
          <w:szCs w:val="11"/>
          <w:color w:val="auto"/>
        </w:rPr>
        <w:t>skills, expertise and involvement in areas that are of importance to the Company’s business;</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21"/>
        </w:numPr>
        <w:rPr>
          <w:rFonts w:ascii="Arial" w:cs="Arial" w:eastAsia="Arial" w:hAnsi="Arial"/>
          <w:sz w:val="11"/>
          <w:szCs w:val="11"/>
          <w:color w:val="auto"/>
        </w:rPr>
      </w:pPr>
      <w:r>
        <w:rPr>
          <w:rFonts w:ascii="Arial" w:cs="Arial" w:eastAsia="Arial" w:hAnsi="Arial"/>
          <w:sz w:val="11"/>
          <w:szCs w:val="11"/>
          <w:color w:val="auto"/>
        </w:rPr>
        <w:t>gender, diversity and other attributes;</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Board’s and the Company’s needs at that time;</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21"/>
        </w:numPr>
        <w:rPr>
          <w:rFonts w:ascii="Arial" w:cs="Arial" w:eastAsia="Arial" w:hAnsi="Arial"/>
          <w:sz w:val="11"/>
          <w:szCs w:val="11"/>
          <w:color w:val="auto"/>
        </w:rPr>
      </w:pPr>
      <w:r>
        <w:rPr>
          <w:rFonts w:ascii="Arial" w:cs="Arial" w:eastAsia="Arial" w:hAnsi="Arial"/>
          <w:sz w:val="11"/>
          <w:szCs w:val="11"/>
          <w:color w:val="auto"/>
        </w:rPr>
        <w:t>business ethics and professional reputation;</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21"/>
        </w:numPr>
        <w:rPr>
          <w:rFonts w:ascii="Arial" w:cs="Arial" w:eastAsia="Arial" w:hAnsi="Arial"/>
          <w:sz w:val="11"/>
          <w:szCs w:val="11"/>
          <w:color w:val="auto"/>
        </w:rPr>
      </w:pPr>
      <w:r>
        <w:rPr>
          <w:rFonts w:ascii="Arial" w:cs="Arial" w:eastAsia="Arial" w:hAnsi="Arial"/>
          <w:sz w:val="11"/>
          <w:szCs w:val="11"/>
          <w:color w:val="auto"/>
        </w:rPr>
        <w:t>other board service;</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21"/>
        </w:numPr>
        <w:rPr>
          <w:rFonts w:ascii="Arial" w:cs="Arial" w:eastAsia="Arial" w:hAnsi="Arial"/>
          <w:sz w:val="11"/>
          <w:szCs w:val="11"/>
          <w:color w:val="auto"/>
        </w:rPr>
      </w:pPr>
      <w:r>
        <w:rPr>
          <w:rFonts w:ascii="Arial" w:cs="Arial" w:eastAsia="Arial" w:hAnsi="Arial"/>
          <w:sz w:val="11"/>
          <w:szCs w:val="11"/>
          <w:color w:val="auto"/>
        </w:rPr>
        <w:t>business, financial and strategic judgment; and</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desire to have a well-balanced Board that represents a diverse mix of backgrounds, perspectives and expertise.</w:t>
      </w:r>
    </w:p>
    <w:p>
      <w:pPr>
        <w:spacing w:after="0" w:line="99" w:lineRule="exact"/>
        <w:rPr>
          <w:sz w:val="20"/>
          <w:szCs w:val="20"/>
          <w:color w:val="auto"/>
        </w:rPr>
      </w:pPr>
    </w:p>
    <w:p>
      <w:pPr>
        <w:ind w:left="1980" w:right="879"/>
        <w:spacing w:after="0" w:line="241" w:lineRule="auto"/>
        <w:rPr>
          <w:sz w:val="20"/>
          <w:szCs w:val="20"/>
          <w:color w:val="auto"/>
        </w:rPr>
      </w:pPr>
      <w:r>
        <w:rPr>
          <w:rFonts w:ascii="Arial" w:cs="Arial" w:eastAsia="Arial" w:hAnsi="Arial"/>
          <w:sz w:val="11"/>
          <w:szCs w:val="11"/>
          <w:color w:val="auto"/>
        </w:rPr>
        <w:t>Each of the Board nominees for election to the Board at the Annual Meeting has served in senior positions at complex organizations and has demonstrated a successful track record of strategic, business and financial planning, execution and operating skills in these positions. In addition, each of the Board nominees has proven experience in management and leadership development and an understanding of operating and corporate governance issues for a large multinational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3971925" cy="2171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1"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FCFCFC"/>
        </w:rPr>
        <w:t>1</w:t>
      </w:r>
    </w:p>
    <w:p>
      <w:pPr>
        <w:sectPr>
          <w:pgSz w:w="11900" w:h="16838" w:orient="portrait"/>
          <w:cols w:equalWidth="0" w:num="1">
            <w:col w:w="10159"/>
          </w:cols>
          <w:pgMar w:left="300" w:top="372" w:right="1440"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879"/>
        <w:spacing w:after="0" w:line="241" w:lineRule="auto"/>
        <w:rPr>
          <w:sz w:val="20"/>
          <w:szCs w:val="20"/>
          <w:color w:val="auto"/>
        </w:rPr>
      </w:pPr>
      <w:r>
        <w:rPr>
          <w:rFonts w:ascii="Arial" w:cs="Arial" w:eastAsia="Arial" w:hAnsi="Arial"/>
          <w:sz w:val="11"/>
          <w:szCs w:val="11"/>
          <w:color w:val="auto"/>
        </w:rPr>
        <w:t>The following highlights certain skills, experience and characteristics possessed by the Board nominees for election to the Board and explains what we mean when referring to experience. Further information on each nominee’s qualifications is provided below in the individual biographies. In addition to the skills listed below, our nominees for election as directors each have experience with oversight of risk management, as described below under “Role of the Board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99695</wp:posOffset>
            </wp:positionV>
            <wp:extent cx="4663440" cy="2057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663440" cy="205740"/>
                    </a:xfrm>
                    <a:prstGeom prst="rect">
                      <a:avLst/>
                    </a:prstGeom>
                    <a:noFill/>
                  </pic:spPr>
                </pic:pic>
              </a:graphicData>
            </a:graphic>
          </wp:anchor>
        </w:drawing>
      </w:r>
    </w:p>
    <w:p>
      <w:pPr>
        <w:spacing w:after="0" w:line="168" w:lineRule="exact"/>
        <w:rPr>
          <w:sz w:val="20"/>
          <w:szCs w:val="20"/>
          <w:color w:val="auto"/>
        </w:rPr>
      </w:pPr>
    </w:p>
    <w:p>
      <w:pPr>
        <w:jc w:val="right"/>
        <w:ind w:right="899"/>
        <w:spacing w:after="0"/>
        <w:rPr>
          <w:sz w:val="20"/>
          <w:szCs w:val="20"/>
          <w:color w:val="auto"/>
        </w:rPr>
      </w:pPr>
      <w:r>
        <w:rPr>
          <w:rFonts w:ascii="Arial" w:cs="Arial" w:eastAsia="Arial" w:hAnsi="Arial"/>
          <w:sz w:val="8"/>
          <w:szCs w:val="8"/>
          <w:b w:val="1"/>
          <w:bCs w:val="1"/>
          <w:color w:val="009BDE"/>
        </w:rPr>
        <w:t>Zecher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-48895</wp:posOffset>
            </wp:positionV>
            <wp:extent cx="3114675" cy="1771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114675" cy="177165"/>
                    </a:xfrm>
                    <a:prstGeom prst="rect">
                      <a:avLst/>
                    </a:prstGeom>
                    <a:noFill/>
                  </pic:spPr>
                </pic:pic>
              </a:graphicData>
            </a:graphic>
          </wp:anchor>
        </w:drawing>
      </w:r>
    </w:p>
    <w:p>
      <w:pPr>
        <w:jc w:val="both"/>
        <w:ind w:left="4520"/>
        <w:spacing w:after="0"/>
        <w:tabs>
          <w:tab w:leader="none" w:pos="4900" w:val="left"/>
          <w:tab w:leader="none" w:pos="5380" w:val="left"/>
          <w:tab w:leader="none" w:pos="5780" w:val="left"/>
          <w:tab w:leader="none" w:pos="6160" w:val="left"/>
          <w:tab w:leader="none" w:pos="6620" w:val="left"/>
          <w:tab w:leader="none" w:pos="7200" w:val="left"/>
          <w:tab w:leader="none" w:pos="7720" w:val="left"/>
          <w:tab w:leader="none" w:pos="8120" w:val="left"/>
          <w:tab w:leader="none" w:pos="8600" w:val="left"/>
          <w:tab w:leader="none" w:pos="8960" w:val="left"/>
        </w:tabs>
        <w:rPr>
          <w:sz w:val="20"/>
          <w:szCs w:val="20"/>
          <w:color w:val="auto"/>
        </w:rPr>
      </w:pPr>
      <w:r>
        <w:rPr>
          <w:rFonts w:ascii="Arial" w:cs="Arial" w:eastAsia="Arial" w:hAnsi="Arial"/>
          <w:sz w:val="8"/>
          <w:szCs w:val="8"/>
          <w:b w:val="1"/>
          <w:bCs w:val="1"/>
          <w:color w:val="009BDE"/>
        </w:rPr>
        <w:t>Burns</w:t>
        <w:tab/>
        <w:t>Cochran</w:t>
        <w:tab/>
        <w:t>Cocks</w:t>
        <w:tab/>
        <w:t>Gersh</w:t>
        <w:tab/>
        <w:t>Hamren</w:t>
        <w:tab/>
        <w:t>Jorgensen</w:t>
        <w:tab/>
        <w:t>Leinbach</w:t>
      </w:r>
      <w:r>
        <w:rPr>
          <w:sz w:val="20"/>
          <w:szCs w:val="20"/>
          <w:color w:val="auto"/>
        </w:rPr>
        <w:tab/>
      </w:r>
      <w:r>
        <w:rPr>
          <w:rFonts w:ascii="Arial" w:cs="Arial" w:eastAsia="Arial" w:hAnsi="Arial"/>
          <w:sz w:val="8"/>
          <w:szCs w:val="8"/>
          <w:b w:val="1"/>
          <w:bCs w:val="1"/>
          <w:color w:val="009BDE"/>
        </w:rPr>
        <w:t>Richie</w:t>
      </w:r>
      <w:r>
        <w:rPr>
          <w:sz w:val="20"/>
          <w:szCs w:val="20"/>
          <w:color w:val="auto"/>
        </w:rPr>
        <w:tab/>
      </w:r>
      <w:r>
        <w:rPr>
          <w:rFonts w:ascii="Arial" w:cs="Arial" w:eastAsia="Arial" w:hAnsi="Arial"/>
          <w:sz w:val="8"/>
          <w:szCs w:val="8"/>
          <w:b w:val="1"/>
          <w:bCs w:val="1"/>
          <w:color w:val="009BDE"/>
        </w:rPr>
        <w:t>Stoddart</w:t>
        <w:tab/>
        <w:t>West</w:t>
      </w:r>
      <w:r>
        <w:rPr>
          <w:sz w:val="20"/>
          <w:szCs w:val="20"/>
          <w:color w:val="auto"/>
        </w:rPr>
        <w:tab/>
      </w:r>
      <w:r>
        <w:rPr>
          <w:rFonts w:ascii="Arial" w:cs="Arial" w:eastAsia="Arial" w:hAnsi="Arial"/>
          <w:sz w:val="8"/>
          <w:szCs w:val="8"/>
          <w:b w:val="1"/>
          <w:bCs w:val="1"/>
          <w:color w:val="009BDE"/>
        </w:rPr>
        <w:t>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64135</wp:posOffset>
            </wp:positionV>
            <wp:extent cx="466344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44" w:lineRule="exact"/>
        <w:rPr>
          <w:sz w:val="20"/>
          <w:szCs w:val="20"/>
          <w:color w:val="auto"/>
        </w:rPr>
      </w:pPr>
    </w:p>
    <w:p>
      <w:pPr>
        <w:ind w:left="2020"/>
        <w:spacing w:after="0"/>
        <w:rPr>
          <w:sz w:val="20"/>
          <w:szCs w:val="20"/>
          <w:color w:val="auto"/>
        </w:rPr>
      </w:pPr>
      <w:r>
        <w:rPr>
          <w:rFonts w:ascii="Arial" w:cs="Arial" w:eastAsia="Arial" w:hAnsi="Arial"/>
          <w:sz w:val="10"/>
          <w:szCs w:val="10"/>
          <w:b w:val="1"/>
          <w:bCs w:val="1"/>
          <w:color w:val="009BDE"/>
        </w:rPr>
        <w:t>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-66675</wp:posOffset>
            </wp:positionV>
            <wp:extent cx="102870" cy="1028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-66675</wp:posOffset>
            </wp:positionV>
            <wp:extent cx="102870" cy="1028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-66675</wp:posOffset>
            </wp:positionV>
            <wp:extent cx="102870" cy="1028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-66675</wp:posOffset>
            </wp:positionV>
            <wp:extent cx="102870" cy="1028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-66675</wp:posOffset>
            </wp:positionV>
            <wp:extent cx="102870" cy="1028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-66675</wp:posOffset>
            </wp:positionV>
            <wp:extent cx="102870" cy="1028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-66675</wp:posOffset>
            </wp:positionV>
            <wp:extent cx="102870" cy="1028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-66675</wp:posOffset>
            </wp:positionV>
            <wp:extent cx="102870" cy="1028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-66675</wp:posOffset>
            </wp:positionV>
            <wp:extent cx="102870" cy="1028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-66675</wp:posOffset>
            </wp:positionV>
            <wp:extent cx="102870" cy="1028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-66675</wp:posOffset>
            </wp:positionV>
            <wp:extent cx="102870" cy="1028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56" w:lineRule="exact"/>
        <w:rPr>
          <w:sz w:val="20"/>
          <w:szCs w:val="20"/>
          <w:color w:val="auto"/>
        </w:rPr>
      </w:pPr>
    </w:p>
    <w:p>
      <w:pPr>
        <w:ind w:left="2020" w:right="959"/>
        <w:spacing w:after="0" w:line="232" w:lineRule="auto"/>
        <w:rPr>
          <w:sz w:val="20"/>
          <w:szCs w:val="20"/>
          <w:color w:val="auto"/>
        </w:rPr>
      </w:pPr>
      <w:r>
        <w:rPr>
          <w:rFonts w:ascii="Arial" w:cs="Arial" w:eastAsia="Arial" w:hAnsi="Arial"/>
          <w:sz w:val="10"/>
          <w:szCs w:val="10"/>
          <w:color w:val="auto"/>
        </w:rPr>
        <w:t>Directors with CEO or senior management experience bring leadership qualifications and skills that help the Board capably advise, support and oversee our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40005</wp:posOffset>
            </wp:positionV>
            <wp:extent cx="466344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06" w:lineRule="exact"/>
        <w:rPr>
          <w:sz w:val="20"/>
          <w:szCs w:val="20"/>
          <w:color w:val="auto"/>
        </w:rPr>
      </w:pPr>
    </w:p>
    <w:p>
      <w:pPr>
        <w:jc w:val="center"/>
        <w:ind w:right="5359"/>
        <w:spacing w:after="0"/>
        <w:rPr>
          <w:sz w:val="20"/>
          <w:szCs w:val="20"/>
          <w:color w:val="auto"/>
        </w:rPr>
      </w:pPr>
      <w:r>
        <w:rPr>
          <w:rFonts w:ascii="Arial" w:cs="Arial" w:eastAsia="Arial" w:hAnsi="Arial"/>
          <w:sz w:val="10"/>
          <w:szCs w:val="10"/>
          <w:b w:val="1"/>
          <w:bCs w:val="1"/>
          <w:color w:val="009BDE"/>
        </w:rPr>
        <w:t>Global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-66675</wp:posOffset>
            </wp:positionV>
            <wp:extent cx="102870" cy="1028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-66675</wp:posOffset>
            </wp:positionV>
            <wp:extent cx="102870" cy="1028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-66675</wp:posOffset>
            </wp:positionV>
            <wp:extent cx="102870" cy="1028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-66675</wp:posOffset>
            </wp:positionV>
            <wp:extent cx="102870" cy="1028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-66675</wp:posOffset>
            </wp:positionV>
            <wp:extent cx="102870" cy="1028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-66675</wp:posOffset>
            </wp:positionV>
            <wp:extent cx="102870" cy="1028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-66675</wp:posOffset>
            </wp:positionV>
            <wp:extent cx="102870" cy="1028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-66675</wp:posOffset>
            </wp:positionV>
            <wp:extent cx="102870" cy="10287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-66675</wp:posOffset>
            </wp:positionV>
            <wp:extent cx="102870" cy="1028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-66675</wp:posOffset>
            </wp:positionV>
            <wp:extent cx="102870" cy="1028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-66675</wp:posOffset>
            </wp:positionV>
            <wp:extent cx="102870" cy="1028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56" w:lineRule="exact"/>
        <w:rPr>
          <w:sz w:val="20"/>
          <w:szCs w:val="20"/>
          <w:color w:val="auto"/>
        </w:rPr>
      </w:pPr>
    </w:p>
    <w:p>
      <w:pPr>
        <w:ind w:left="2020" w:right="999"/>
        <w:spacing w:after="0" w:line="230" w:lineRule="auto"/>
        <w:rPr>
          <w:sz w:val="20"/>
          <w:szCs w:val="20"/>
          <w:color w:val="auto"/>
        </w:rPr>
      </w:pPr>
      <w:r>
        <w:rPr>
          <w:rFonts w:ascii="Arial" w:cs="Arial" w:eastAsia="Arial" w:hAnsi="Arial"/>
          <w:sz w:val="10"/>
          <w:szCs w:val="10"/>
          <w:color w:val="auto"/>
        </w:rPr>
        <w:t>We benefit from directors having experience as a senior leader in a large organization with international operations. International exposure yields an understanding of diverse business environments, economic conditions and cultural perspectives that informs our global business and strategy and enhances oversight of our multinational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39370</wp:posOffset>
            </wp:positionV>
            <wp:extent cx="466344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05" w:lineRule="exact"/>
        <w:rPr>
          <w:sz w:val="20"/>
          <w:szCs w:val="20"/>
          <w:color w:val="auto"/>
        </w:rPr>
      </w:pPr>
    </w:p>
    <w:p>
      <w:pPr>
        <w:ind w:left="2020"/>
        <w:spacing w:after="0"/>
        <w:rPr>
          <w:sz w:val="20"/>
          <w:szCs w:val="20"/>
          <w:color w:val="auto"/>
        </w:rPr>
      </w:pPr>
      <w:r>
        <w:rPr>
          <w:rFonts w:ascii="Arial" w:cs="Arial" w:eastAsia="Arial" w:hAnsi="Arial"/>
          <w:sz w:val="10"/>
          <w:szCs w:val="10"/>
          <w:b w:val="1"/>
          <w:bCs w:val="1"/>
          <w:color w:val="009BDE"/>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-66675</wp:posOffset>
            </wp:positionV>
            <wp:extent cx="102870" cy="1028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-66675</wp:posOffset>
            </wp:positionV>
            <wp:extent cx="102870" cy="1028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-66675</wp:posOffset>
            </wp:positionV>
            <wp:extent cx="102870" cy="1028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-66675</wp:posOffset>
            </wp:positionV>
            <wp:extent cx="102870" cy="1028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-66675</wp:posOffset>
            </wp:positionV>
            <wp:extent cx="102870" cy="1028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-66675</wp:posOffset>
            </wp:positionV>
            <wp:extent cx="102870" cy="10287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-66675</wp:posOffset>
            </wp:positionV>
            <wp:extent cx="102870" cy="1028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-66675</wp:posOffset>
            </wp:positionV>
            <wp:extent cx="102870" cy="1028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-66675</wp:posOffset>
            </wp:positionV>
            <wp:extent cx="102870" cy="1028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-66675</wp:posOffset>
            </wp:positionV>
            <wp:extent cx="102870" cy="1028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-66675</wp:posOffset>
            </wp:positionV>
            <wp:extent cx="102870" cy="1028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56" w:lineRule="exact"/>
        <w:rPr>
          <w:sz w:val="20"/>
          <w:szCs w:val="20"/>
          <w:color w:val="auto"/>
        </w:rPr>
      </w:pPr>
    </w:p>
    <w:p>
      <w:pPr>
        <w:ind w:left="2020" w:right="1139"/>
        <w:spacing w:after="0" w:line="232" w:lineRule="auto"/>
        <w:rPr>
          <w:sz w:val="20"/>
          <w:szCs w:val="20"/>
          <w:color w:val="auto"/>
        </w:rPr>
      </w:pPr>
      <w:r>
        <w:rPr>
          <w:rFonts w:ascii="Arial" w:cs="Arial" w:eastAsia="Arial" w:hAnsi="Arial"/>
          <w:sz w:val="10"/>
          <w:szCs w:val="10"/>
          <w:color w:val="auto"/>
        </w:rPr>
        <w:t>Directors with board and management experience, particularly in industries in which we operate, provide vision and insights to effectively set and plan strategy for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40005</wp:posOffset>
            </wp:positionV>
            <wp:extent cx="466344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06" w:lineRule="exact"/>
        <w:rPr>
          <w:sz w:val="20"/>
          <w:szCs w:val="20"/>
          <w:color w:val="auto"/>
        </w:rPr>
      </w:pPr>
    </w:p>
    <w:p>
      <w:pPr>
        <w:ind w:left="2020"/>
        <w:spacing w:after="0"/>
        <w:rPr>
          <w:sz w:val="20"/>
          <w:szCs w:val="20"/>
          <w:color w:val="auto"/>
        </w:rPr>
      </w:pPr>
      <w:r>
        <w:rPr>
          <w:rFonts w:ascii="Arial" w:cs="Arial" w:eastAsia="Arial" w:hAnsi="Arial"/>
          <w:sz w:val="10"/>
          <w:szCs w:val="10"/>
          <w:b w:val="1"/>
          <w:bCs w:val="1"/>
          <w:color w:val="009BDE"/>
        </w:rPr>
        <w:t>Digital Gaming/Digital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-66675</wp:posOffset>
            </wp:positionV>
            <wp:extent cx="102870" cy="1028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-66675</wp:posOffset>
            </wp:positionV>
            <wp:extent cx="102870" cy="1028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-66675</wp:posOffset>
            </wp:positionV>
            <wp:extent cx="102870" cy="1028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-66675</wp:posOffset>
            </wp:positionV>
            <wp:extent cx="102870" cy="1028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-66675</wp:posOffset>
            </wp:positionV>
            <wp:extent cx="102870" cy="1028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-66675</wp:posOffset>
            </wp:positionV>
            <wp:extent cx="102870" cy="1028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56" w:lineRule="exact"/>
        <w:rPr>
          <w:sz w:val="20"/>
          <w:szCs w:val="20"/>
          <w:color w:val="auto"/>
        </w:rPr>
      </w:pPr>
    </w:p>
    <w:p>
      <w:pPr>
        <w:ind w:left="2020" w:right="1099"/>
        <w:spacing w:after="0" w:line="232" w:lineRule="auto"/>
        <w:rPr>
          <w:sz w:val="20"/>
          <w:szCs w:val="20"/>
          <w:color w:val="auto"/>
        </w:rPr>
      </w:pPr>
      <w:r>
        <w:rPr>
          <w:rFonts w:ascii="Arial" w:cs="Arial" w:eastAsia="Arial" w:hAnsi="Arial"/>
          <w:sz w:val="10"/>
          <w:szCs w:val="10"/>
          <w:color w:val="auto"/>
        </w:rPr>
        <w:t>Directors with experience or insights in digital gaming development and licensing as well as digital media, content and products adds to a greater understanding of the activation of our Blueprint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40005</wp:posOffset>
            </wp:positionV>
            <wp:extent cx="466344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06" w:lineRule="exact"/>
        <w:rPr>
          <w:sz w:val="20"/>
          <w:szCs w:val="20"/>
          <w:color w:val="auto"/>
        </w:rPr>
      </w:pPr>
    </w:p>
    <w:p>
      <w:pPr>
        <w:ind w:left="2020"/>
        <w:spacing w:after="0"/>
        <w:rPr>
          <w:sz w:val="20"/>
          <w:szCs w:val="20"/>
          <w:color w:val="auto"/>
        </w:rPr>
      </w:pPr>
      <w:r>
        <w:rPr>
          <w:rFonts w:ascii="Arial" w:cs="Arial" w:eastAsia="Arial" w:hAnsi="Arial"/>
          <w:sz w:val="10"/>
          <w:szCs w:val="10"/>
          <w:b w:val="1"/>
          <w:bCs w:val="1"/>
          <w:color w:val="009BDE"/>
        </w:rPr>
        <w:t>Consumer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-66675</wp:posOffset>
            </wp:positionV>
            <wp:extent cx="102870" cy="1028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-66675</wp:posOffset>
            </wp:positionV>
            <wp:extent cx="102870" cy="1028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-66675</wp:posOffset>
            </wp:positionV>
            <wp:extent cx="102870" cy="1028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-66675</wp:posOffset>
            </wp:positionV>
            <wp:extent cx="102870" cy="1028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-66675</wp:posOffset>
            </wp:positionV>
            <wp:extent cx="102870" cy="1028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-66675</wp:posOffset>
            </wp:positionV>
            <wp:extent cx="102870" cy="10287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-66675</wp:posOffset>
            </wp:positionV>
            <wp:extent cx="102870" cy="1028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-66675</wp:posOffset>
            </wp:positionV>
            <wp:extent cx="102870" cy="1028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-66675</wp:posOffset>
            </wp:positionV>
            <wp:extent cx="102870" cy="1028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56" w:lineRule="exact"/>
        <w:rPr>
          <w:sz w:val="20"/>
          <w:szCs w:val="20"/>
          <w:color w:val="auto"/>
        </w:rPr>
      </w:pPr>
    </w:p>
    <w:p>
      <w:pPr>
        <w:ind w:left="2020" w:right="1099"/>
        <w:spacing w:after="0" w:line="232" w:lineRule="auto"/>
        <w:rPr>
          <w:sz w:val="20"/>
          <w:szCs w:val="20"/>
          <w:color w:val="auto"/>
        </w:rPr>
      </w:pPr>
      <w:r>
        <w:rPr>
          <w:rFonts w:ascii="Arial" w:cs="Arial" w:eastAsia="Arial" w:hAnsi="Arial"/>
          <w:sz w:val="10"/>
          <w:szCs w:val="10"/>
          <w:color w:val="auto"/>
        </w:rPr>
        <w:t>Directors with experience in the design, development, marketing and sale of consumer products, as well as consumer insights, together with the interplay of consumer products with digital gaming and entertainment are important components to the success of Blueprint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40005</wp:posOffset>
            </wp:positionV>
            <wp:extent cx="466344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06" w:lineRule="exact"/>
        <w:rPr>
          <w:sz w:val="20"/>
          <w:szCs w:val="20"/>
          <w:color w:val="auto"/>
        </w:rPr>
      </w:pPr>
    </w:p>
    <w:p>
      <w:pPr>
        <w:jc w:val="center"/>
        <w:ind w:right="5459"/>
        <w:spacing w:after="0"/>
        <w:rPr>
          <w:sz w:val="20"/>
          <w:szCs w:val="20"/>
          <w:color w:val="auto"/>
        </w:rPr>
      </w:pPr>
      <w:r>
        <w:rPr>
          <w:rFonts w:ascii="Arial" w:cs="Arial" w:eastAsia="Arial" w:hAnsi="Arial"/>
          <w:sz w:val="10"/>
          <w:szCs w:val="10"/>
          <w:b w:val="1"/>
          <w:bCs w:val="1"/>
          <w:color w:val="009BDE"/>
        </w:rPr>
        <w:t>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-66675</wp:posOffset>
            </wp:positionV>
            <wp:extent cx="102870" cy="1028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-66675</wp:posOffset>
            </wp:positionV>
            <wp:extent cx="102870" cy="1028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-66675</wp:posOffset>
            </wp:positionV>
            <wp:extent cx="102870" cy="1028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-66675</wp:posOffset>
            </wp:positionV>
            <wp:extent cx="102870" cy="10287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56" w:lineRule="exact"/>
        <w:rPr>
          <w:sz w:val="20"/>
          <w:szCs w:val="20"/>
          <w:color w:val="auto"/>
        </w:rPr>
      </w:pPr>
    </w:p>
    <w:p>
      <w:pPr>
        <w:ind w:left="2020" w:right="959"/>
        <w:spacing w:after="0" w:line="232" w:lineRule="auto"/>
        <w:rPr>
          <w:sz w:val="20"/>
          <w:szCs w:val="20"/>
          <w:color w:val="auto"/>
        </w:rPr>
      </w:pPr>
      <w:r>
        <w:rPr>
          <w:rFonts w:ascii="Arial" w:cs="Arial" w:eastAsia="Arial" w:hAnsi="Arial"/>
          <w:sz w:val="10"/>
          <w:szCs w:val="10"/>
          <w:color w:val="auto"/>
        </w:rPr>
        <w:t>Directors with experience or insights in the licensing, production and distribution of entertainment, and an understanding of how the entertainment can drive other aspects of our business, such as consumer products and digital gaming, is a key part to the success of Blueprint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40005</wp:posOffset>
            </wp:positionV>
            <wp:extent cx="466344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06" w:lineRule="exact"/>
        <w:rPr>
          <w:sz w:val="20"/>
          <w:szCs w:val="20"/>
          <w:color w:val="auto"/>
        </w:rPr>
      </w:pPr>
    </w:p>
    <w:p>
      <w:pPr>
        <w:ind w:left="2020"/>
        <w:spacing w:after="0"/>
        <w:rPr>
          <w:sz w:val="20"/>
          <w:szCs w:val="20"/>
          <w:color w:val="auto"/>
        </w:rPr>
      </w:pPr>
      <w:r>
        <w:rPr>
          <w:rFonts w:ascii="Arial" w:cs="Arial" w:eastAsia="Arial" w:hAnsi="Arial"/>
          <w:sz w:val="10"/>
          <w:szCs w:val="10"/>
          <w:b w:val="1"/>
          <w:bCs w:val="1"/>
          <w:color w:val="009BDE"/>
        </w:rPr>
        <w:t>IT/Technology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-66675</wp:posOffset>
            </wp:positionV>
            <wp:extent cx="102870" cy="10287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-66675</wp:posOffset>
            </wp:positionV>
            <wp:extent cx="102870" cy="10287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-66675</wp:posOffset>
            </wp:positionV>
            <wp:extent cx="102870" cy="1028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-66675</wp:posOffset>
            </wp:positionV>
            <wp:extent cx="102870" cy="1028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-66675</wp:posOffset>
            </wp:positionV>
            <wp:extent cx="102870" cy="1028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-66675</wp:posOffset>
            </wp:positionV>
            <wp:extent cx="102870" cy="10287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56" w:lineRule="exact"/>
        <w:rPr>
          <w:sz w:val="20"/>
          <w:szCs w:val="20"/>
          <w:color w:val="auto"/>
        </w:rPr>
      </w:pPr>
    </w:p>
    <w:p>
      <w:pPr>
        <w:ind w:left="2020" w:right="879"/>
        <w:spacing w:after="0" w:line="232" w:lineRule="auto"/>
        <w:rPr>
          <w:sz w:val="20"/>
          <w:szCs w:val="20"/>
          <w:color w:val="auto"/>
        </w:rPr>
      </w:pPr>
      <w:r>
        <w:rPr>
          <w:rFonts w:ascii="Arial" w:cs="Arial" w:eastAsia="Arial" w:hAnsi="Arial"/>
          <w:sz w:val="10"/>
          <w:szCs w:val="10"/>
          <w:color w:val="auto"/>
        </w:rPr>
        <w:t>Technology experience helps the Board oversee cybersecurity and advise our management team as we seek to enhance the consumer experience and further develop our Blueprint 2.0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40005</wp:posOffset>
            </wp:positionV>
            <wp:extent cx="466344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06" w:lineRule="exact"/>
        <w:rPr>
          <w:sz w:val="20"/>
          <w:szCs w:val="20"/>
          <w:color w:val="auto"/>
        </w:rPr>
      </w:pPr>
    </w:p>
    <w:p>
      <w:pPr>
        <w:ind w:left="2020"/>
        <w:spacing w:after="0"/>
        <w:rPr>
          <w:sz w:val="20"/>
          <w:szCs w:val="20"/>
          <w:color w:val="auto"/>
        </w:rPr>
      </w:pPr>
      <w:r>
        <w:rPr>
          <w:rFonts w:ascii="Arial" w:cs="Arial" w:eastAsia="Arial" w:hAnsi="Arial"/>
          <w:sz w:val="10"/>
          <w:szCs w:val="10"/>
          <w:b w:val="1"/>
          <w:bCs w:val="1"/>
          <w:color w:val="009BDE"/>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-66675</wp:posOffset>
            </wp:positionV>
            <wp:extent cx="102870" cy="1028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-66675</wp:posOffset>
            </wp:positionV>
            <wp:extent cx="102870" cy="10287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-66675</wp:posOffset>
            </wp:positionV>
            <wp:extent cx="102870" cy="1028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-66675</wp:posOffset>
            </wp:positionV>
            <wp:extent cx="102870" cy="1028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-66675</wp:posOffset>
            </wp:positionV>
            <wp:extent cx="102870" cy="10287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-66675</wp:posOffset>
            </wp:positionV>
            <wp:extent cx="102870" cy="10287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-66675</wp:posOffset>
            </wp:positionV>
            <wp:extent cx="102870" cy="1028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-66675</wp:posOffset>
            </wp:positionV>
            <wp:extent cx="102870" cy="1028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-66675</wp:posOffset>
            </wp:positionV>
            <wp:extent cx="102870" cy="1028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-66675</wp:posOffset>
            </wp:positionV>
            <wp:extent cx="102870" cy="1028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56" w:lineRule="exact"/>
        <w:rPr>
          <w:sz w:val="20"/>
          <w:szCs w:val="20"/>
          <w:color w:val="auto"/>
        </w:rPr>
      </w:pPr>
    </w:p>
    <w:p>
      <w:pPr>
        <w:ind w:left="2020" w:right="939"/>
        <w:spacing w:after="0" w:line="232" w:lineRule="auto"/>
        <w:rPr>
          <w:sz w:val="20"/>
          <w:szCs w:val="20"/>
          <w:color w:val="auto"/>
        </w:rPr>
      </w:pPr>
      <w:r>
        <w:rPr>
          <w:rFonts w:ascii="Arial" w:cs="Arial" w:eastAsia="Arial" w:hAnsi="Arial"/>
          <w:sz w:val="10"/>
          <w:szCs w:val="10"/>
          <w:color w:val="auto"/>
        </w:rPr>
        <w:t>We have an iconic and global portfolio brands with vast IP potential. As we look to capture the full value of our IP through our Blueprint 2.0 strategy, directors with relevant experience in sales, marketing or brand management provide important insights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40005</wp:posOffset>
            </wp:positionV>
            <wp:extent cx="466344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06" w:lineRule="exact"/>
        <w:rPr>
          <w:sz w:val="20"/>
          <w:szCs w:val="20"/>
          <w:color w:val="auto"/>
        </w:rPr>
      </w:pPr>
    </w:p>
    <w:p>
      <w:pPr>
        <w:ind w:left="2020"/>
        <w:spacing w:after="0"/>
        <w:rPr>
          <w:sz w:val="20"/>
          <w:szCs w:val="20"/>
          <w:color w:val="auto"/>
        </w:rPr>
      </w:pPr>
      <w:r>
        <w:rPr>
          <w:rFonts w:ascii="Arial" w:cs="Arial" w:eastAsia="Arial" w:hAnsi="Arial"/>
          <w:sz w:val="10"/>
          <w:szCs w:val="10"/>
          <w:b w:val="1"/>
          <w:bCs w:val="1"/>
          <w:color w:val="009BDE"/>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-66675</wp:posOffset>
            </wp:positionV>
            <wp:extent cx="102870" cy="1028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-66675</wp:posOffset>
            </wp:positionV>
            <wp:extent cx="102870" cy="1028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-66675</wp:posOffset>
            </wp:positionV>
            <wp:extent cx="102870" cy="1028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-66675</wp:posOffset>
            </wp:positionV>
            <wp:extent cx="102870" cy="1028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-66675</wp:posOffset>
            </wp:positionV>
            <wp:extent cx="102870" cy="1028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-66675</wp:posOffset>
            </wp:positionV>
            <wp:extent cx="102870" cy="1028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-66675</wp:posOffset>
            </wp:positionV>
            <wp:extent cx="102870" cy="1028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-66675</wp:posOffset>
            </wp:positionV>
            <wp:extent cx="102870" cy="1028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-66675</wp:posOffset>
            </wp:positionV>
            <wp:extent cx="102870" cy="1028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-66675</wp:posOffset>
            </wp:positionV>
            <wp:extent cx="102870" cy="1028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-66675</wp:posOffset>
            </wp:positionV>
            <wp:extent cx="102870" cy="10287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83" w:lineRule="exact"/>
        <w:rPr>
          <w:sz w:val="20"/>
          <w:szCs w:val="20"/>
          <w:color w:val="auto"/>
        </w:rPr>
      </w:pPr>
    </w:p>
    <w:p>
      <w:pPr>
        <w:ind w:left="2020" w:right="879"/>
        <w:spacing w:after="0" w:line="232" w:lineRule="auto"/>
        <w:rPr>
          <w:sz w:val="20"/>
          <w:szCs w:val="20"/>
          <w:color w:val="auto"/>
        </w:rPr>
      </w:pPr>
      <w:r>
        <w:rPr>
          <w:rFonts w:ascii="Arial" w:cs="Arial" w:eastAsia="Arial" w:hAnsi="Arial"/>
          <w:sz w:val="10"/>
          <w:szCs w:val="10"/>
          <w:color w:val="auto"/>
        </w:rPr>
        <w:t>Our people are among our most important assets, and we believe the successful development and retention of our employees is critical to our success. As such, we benefit from having directors with a deep understanding of human capital management obtained from experience as a senior leader in a large organization.</w:t>
      </w:r>
    </w:p>
    <w:p>
      <w:pPr>
        <w:spacing w:after="0" w:line="75" w:lineRule="exact"/>
        <w:rPr>
          <w:sz w:val="20"/>
          <w:szCs w:val="20"/>
          <w:color w:val="auto"/>
        </w:rPr>
      </w:pPr>
    </w:p>
    <w:p>
      <w:pPr>
        <w:ind w:left="2020" w:right="919"/>
        <w:spacing w:after="0" w:line="230" w:lineRule="auto"/>
        <w:rPr>
          <w:sz w:val="20"/>
          <w:szCs w:val="20"/>
          <w:color w:val="auto"/>
        </w:rPr>
      </w:pPr>
      <w:r>
        <w:rPr>
          <w:rFonts w:ascii="Arial" w:cs="Arial" w:eastAsia="Arial" w:hAnsi="Arial"/>
          <w:sz w:val="10"/>
          <w:szCs w:val="10"/>
          <w:color w:val="auto"/>
        </w:rPr>
        <w:t>We also understand that a culture rich in diversity is key to our business success, as it allows us to better understand the business opportunities in various markets around the world and develop products that resonate with consumers in diverse cultures. Diverse directors representing a range of perspectives expands the Board’s understanding of the needs and viewpoints of consumers, employees and other stakeholders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45085</wp:posOffset>
            </wp:positionV>
            <wp:extent cx="466344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14" w:lineRule="exact"/>
        <w:rPr>
          <w:sz w:val="20"/>
          <w:szCs w:val="20"/>
          <w:color w:val="auto"/>
        </w:rPr>
      </w:pPr>
    </w:p>
    <w:p>
      <w:pPr>
        <w:ind w:left="2020"/>
        <w:spacing w:after="0"/>
        <w:rPr>
          <w:sz w:val="20"/>
          <w:szCs w:val="20"/>
          <w:color w:val="auto"/>
        </w:rPr>
      </w:pPr>
      <w:r>
        <w:rPr>
          <w:rFonts w:ascii="Arial" w:cs="Arial" w:eastAsia="Arial" w:hAnsi="Arial"/>
          <w:sz w:val="10"/>
          <w:szCs w:val="10"/>
          <w:b w:val="1"/>
          <w:bCs w:val="1"/>
          <w:color w:val="009BDE"/>
        </w:rPr>
        <w:t>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-66675</wp:posOffset>
            </wp:positionV>
            <wp:extent cx="102870" cy="1028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-66675</wp:posOffset>
            </wp:positionV>
            <wp:extent cx="102870" cy="1028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-66675</wp:posOffset>
            </wp:positionV>
            <wp:extent cx="102870" cy="1028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-66675</wp:posOffset>
            </wp:positionV>
            <wp:extent cx="102870" cy="1028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-66675</wp:posOffset>
            </wp:positionV>
            <wp:extent cx="102870" cy="10287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-66675</wp:posOffset>
            </wp:positionV>
            <wp:extent cx="102870" cy="1028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-66675</wp:posOffset>
            </wp:positionV>
            <wp:extent cx="102870" cy="1028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-66675</wp:posOffset>
            </wp:positionV>
            <wp:extent cx="102870" cy="1028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-66675</wp:posOffset>
            </wp:positionV>
            <wp:extent cx="102870" cy="10287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56" w:lineRule="exact"/>
        <w:rPr>
          <w:sz w:val="20"/>
          <w:szCs w:val="20"/>
          <w:color w:val="auto"/>
        </w:rPr>
      </w:pPr>
    </w:p>
    <w:p>
      <w:pPr>
        <w:ind w:left="2020" w:right="1239"/>
        <w:spacing w:after="0" w:line="232" w:lineRule="auto"/>
        <w:rPr>
          <w:sz w:val="20"/>
          <w:szCs w:val="20"/>
          <w:color w:val="auto"/>
        </w:rPr>
      </w:pPr>
      <w:r>
        <w:rPr>
          <w:rFonts w:ascii="Arial" w:cs="Arial" w:eastAsia="Arial" w:hAnsi="Arial"/>
          <w:sz w:val="10"/>
          <w:szCs w:val="10"/>
          <w:color w:val="auto"/>
        </w:rPr>
        <w:t>We recognize our responsibility to be a global, corporate citizen and positive environmental steward, which is a priority for the entire organization. Our directors are committed to our sustainability initiatives designed to achieve long-term stockholder value through a responsible, sustainable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40005</wp:posOffset>
            </wp:positionV>
            <wp:extent cx="466344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107950</wp:posOffset>
            </wp:positionV>
            <wp:extent cx="3971925" cy="21717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217"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FCFCFC"/>
        </w:rPr>
        <w:t>2</w:t>
      </w:r>
    </w:p>
    <w:p>
      <w:pPr>
        <w:sectPr>
          <w:pgSz w:w="11900" w:h="16838" w:orient="portrait"/>
          <w:cols w:equalWidth="0" w:num="1">
            <w:col w:w="10159"/>
          </w:cols>
          <w:pgMar w:left="300" w:top="372" w:right="1440"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136525</wp:posOffset>
            </wp:positionV>
            <wp:extent cx="4663440" cy="2057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663440" cy="205740"/>
                    </a:xfrm>
                    <a:prstGeom prst="rect">
                      <a:avLst/>
                    </a:prstGeom>
                    <a:noFill/>
                  </pic:spPr>
                </pic:pic>
              </a:graphicData>
            </a:graphic>
          </wp:anchor>
        </w:drawing>
      </w:r>
    </w:p>
    <w:p>
      <w:pPr>
        <w:spacing w:after="0" w:line="226" w:lineRule="exact"/>
        <w:rPr>
          <w:sz w:val="20"/>
          <w:szCs w:val="20"/>
          <w:color w:val="auto"/>
        </w:rPr>
      </w:pPr>
    </w:p>
    <w:p>
      <w:pPr>
        <w:jc w:val="right"/>
        <w:ind w:right="899"/>
        <w:spacing w:after="0"/>
        <w:rPr>
          <w:sz w:val="20"/>
          <w:szCs w:val="20"/>
          <w:color w:val="auto"/>
        </w:rPr>
      </w:pPr>
      <w:r>
        <w:rPr>
          <w:rFonts w:ascii="Arial" w:cs="Arial" w:eastAsia="Arial" w:hAnsi="Arial"/>
          <w:sz w:val="8"/>
          <w:szCs w:val="8"/>
          <w:b w:val="1"/>
          <w:bCs w:val="1"/>
          <w:color w:val="009BDE"/>
        </w:rPr>
        <w:t>Zecher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-48895</wp:posOffset>
            </wp:positionV>
            <wp:extent cx="3114675" cy="1771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114675" cy="177165"/>
                    </a:xfrm>
                    <a:prstGeom prst="rect">
                      <a:avLst/>
                    </a:prstGeom>
                    <a:noFill/>
                  </pic:spPr>
                </pic:pic>
              </a:graphicData>
            </a:graphic>
          </wp:anchor>
        </w:drawing>
      </w:r>
    </w:p>
    <w:p>
      <w:pPr>
        <w:jc w:val="both"/>
        <w:ind w:left="4520"/>
        <w:spacing w:after="0"/>
        <w:tabs>
          <w:tab w:leader="none" w:pos="4900" w:val="left"/>
          <w:tab w:leader="none" w:pos="5380" w:val="left"/>
          <w:tab w:leader="none" w:pos="5780" w:val="left"/>
          <w:tab w:leader="none" w:pos="6160" w:val="left"/>
          <w:tab w:leader="none" w:pos="6620" w:val="left"/>
          <w:tab w:leader="none" w:pos="7200" w:val="left"/>
          <w:tab w:leader="none" w:pos="7720" w:val="left"/>
          <w:tab w:leader="none" w:pos="8120" w:val="left"/>
          <w:tab w:leader="none" w:pos="8600" w:val="left"/>
          <w:tab w:leader="none" w:pos="8960" w:val="left"/>
        </w:tabs>
        <w:rPr>
          <w:sz w:val="20"/>
          <w:szCs w:val="20"/>
          <w:color w:val="auto"/>
        </w:rPr>
      </w:pPr>
      <w:r>
        <w:rPr>
          <w:rFonts w:ascii="Arial" w:cs="Arial" w:eastAsia="Arial" w:hAnsi="Arial"/>
          <w:sz w:val="8"/>
          <w:szCs w:val="8"/>
          <w:b w:val="1"/>
          <w:bCs w:val="1"/>
          <w:color w:val="009BDE"/>
        </w:rPr>
        <w:t>Burns</w:t>
        <w:tab/>
        <w:t>Cochran</w:t>
        <w:tab/>
        <w:t>Cocks</w:t>
        <w:tab/>
        <w:t>Gersh</w:t>
        <w:tab/>
        <w:t>Hamren</w:t>
        <w:tab/>
        <w:t>Jorgensen</w:t>
        <w:tab/>
        <w:t>Leinbach</w:t>
      </w:r>
      <w:r>
        <w:rPr>
          <w:sz w:val="20"/>
          <w:szCs w:val="20"/>
          <w:color w:val="auto"/>
        </w:rPr>
        <w:tab/>
      </w:r>
      <w:r>
        <w:rPr>
          <w:rFonts w:ascii="Arial" w:cs="Arial" w:eastAsia="Arial" w:hAnsi="Arial"/>
          <w:sz w:val="8"/>
          <w:szCs w:val="8"/>
          <w:b w:val="1"/>
          <w:bCs w:val="1"/>
          <w:color w:val="009BDE"/>
        </w:rPr>
        <w:t>Richie</w:t>
      </w:r>
      <w:r>
        <w:rPr>
          <w:sz w:val="20"/>
          <w:szCs w:val="20"/>
          <w:color w:val="auto"/>
        </w:rPr>
        <w:tab/>
      </w:r>
      <w:r>
        <w:rPr>
          <w:rFonts w:ascii="Arial" w:cs="Arial" w:eastAsia="Arial" w:hAnsi="Arial"/>
          <w:sz w:val="8"/>
          <w:szCs w:val="8"/>
          <w:b w:val="1"/>
          <w:bCs w:val="1"/>
          <w:color w:val="009BDE"/>
        </w:rPr>
        <w:t>Stoddart</w:t>
        <w:tab/>
        <w:t>West</w:t>
      </w:r>
      <w:r>
        <w:rPr>
          <w:sz w:val="20"/>
          <w:szCs w:val="20"/>
          <w:color w:val="auto"/>
        </w:rPr>
        <w:tab/>
      </w:r>
      <w:r>
        <w:rPr>
          <w:rFonts w:ascii="Arial" w:cs="Arial" w:eastAsia="Arial" w:hAnsi="Arial"/>
          <w:sz w:val="8"/>
          <w:szCs w:val="8"/>
          <w:b w:val="1"/>
          <w:bCs w:val="1"/>
          <w:color w:val="009BDE"/>
        </w:rPr>
        <w:t>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64135</wp:posOffset>
            </wp:positionV>
            <wp:extent cx="466344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44" w:lineRule="exact"/>
        <w:rPr>
          <w:sz w:val="20"/>
          <w:szCs w:val="20"/>
          <w:color w:val="auto"/>
        </w:rPr>
      </w:pPr>
    </w:p>
    <w:p>
      <w:pPr>
        <w:ind w:left="2020"/>
        <w:spacing w:after="0"/>
        <w:rPr>
          <w:sz w:val="20"/>
          <w:szCs w:val="20"/>
          <w:color w:val="auto"/>
        </w:rPr>
      </w:pPr>
      <w:r>
        <w:rPr>
          <w:rFonts w:ascii="Arial" w:cs="Arial" w:eastAsia="Arial" w:hAnsi="Arial"/>
          <w:sz w:val="10"/>
          <w:szCs w:val="10"/>
          <w:b w:val="1"/>
          <w:bCs w:val="1"/>
          <w:color w:val="009BDE"/>
        </w:rPr>
        <w:t>Finance/Accounting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-66675</wp:posOffset>
            </wp:positionV>
            <wp:extent cx="102870" cy="10287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-66675</wp:posOffset>
            </wp:positionV>
            <wp:extent cx="102870" cy="10287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-66675</wp:posOffset>
            </wp:positionV>
            <wp:extent cx="102870" cy="1028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-66675</wp:posOffset>
            </wp:positionV>
            <wp:extent cx="102870" cy="10287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-66675</wp:posOffset>
            </wp:positionV>
            <wp:extent cx="102870" cy="10287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-66675</wp:posOffset>
            </wp:positionV>
            <wp:extent cx="102870" cy="10287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-66675</wp:posOffset>
            </wp:positionV>
            <wp:extent cx="102870" cy="10287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56" w:lineRule="exact"/>
        <w:rPr>
          <w:sz w:val="20"/>
          <w:szCs w:val="20"/>
          <w:color w:val="auto"/>
        </w:rPr>
      </w:pPr>
    </w:p>
    <w:p>
      <w:pPr>
        <w:ind w:left="2020"/>
        <w:spacing w:after="0"/>
        <w:rPr>
          <w:sz w:val="20"/>
          <w:szCs w:val="20"/>
          <w:color w:val="auto"/>
        </w:rPr>
      </w:pPr>
      <w:r>
        <w:rPr>
          <w:rFonts w:ascii="Arial" w:cs="Arial" w:eastAsia="Arial" w:hAnsi="Arial"/>
          <w:sz w:val="10"/>
          <w:szCs w:val="10"/>
          <w:color w:val="auto"/>
        </w:rPr>
        <w:t>We seek directors with strong financial acumen. Financial expertise assists the Board in overseeing our financial statements, capital structure and internal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39370</wp:posOffset>
            </wp:positionV>
            <wp:extent cx="4663440"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05" w:lineRule="exact"/>
        <w:rPr>
          <w:sz w:val="20"/>
          <w:szCs w:val="20"/>
          <w:color w:val="auto"/>
        </w:rPr>
      </w:pPr>
    </w:p>
    <w:p>
      <w:pPr>
        <w:ind w:left="2020"/>
        <w:spacing w:after="0"/>
        <w:rPr>
          <w:sz w:val="20"/>
          <w:szCs w:val="20"/>
          <w:color w:val="auto"/>
        </w:rPr>
      </w:pPr>
      <w:r>
        <w:rPr>
          <w:rFonts w:ascii="Arial" w:cs="Arial" w:eastAsia="Arial" w:hAnsi="Arial"/>
          <w:sz w:val="10"/>
          <w:szCs w:val="10"/>
          <w:b w:val="1"/>
          <w:bCs w:val="1"/>
          <w:color w:val="009BD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-66675</wp:posOffset>
            </wp:positionV>
            <wp:extent cx="102870" cy="10287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-66675</wp:posOffset>
            </wp:positionV>
            <wp:extent cx="102870" cy="10287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-66675</wp:posOffset>
            </wp:positionV>
            <wp:extent cx="102870" cy="10287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-66675</wp:posOffset>
            </wp:positionV>
            <wp:extent cx="102870" cy="10287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-66675</wp:posOffset>
            </wp:positionV>
            <wp:extent cx="102870" cy="10287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-66675</wp:posOffset>
            </wp:positionV>
            <wp:extent cx="102870" cy="10287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-66675</wp:posOffset>
            </wp:positionV>
            <wp:extent cx="102870" cy="10287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-66675</wp:posOffset>
            </wp:positionV>
            <wp:extent cx="102870" cy="1028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-66675</wp:posOffset>
            </wp:positionV>
            <wp:extent cx="102870" cy="10287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56" w:lineRule="exact"/>
        <w:rPr>
          <w:sz w:val="20"/>
          <w:szCs w:val="20"/>
          <w:color w:val="auto"/>
        </w:rPr>
      </w:pPr>
    </w:p>
    <w:p>
      <w:pPr>
        <w:ind w:left="2020"/>
        <w:spacing w:after="0"/>
        <w:rPr>
          <w:sz w:val="20"/>
          <w:szCs w:val="20"/>
          <w:color w:val="auto"/>
        </w:rPr>
      </w:pPr>
      <w:r>
        <w:rPr>
          <w:rFonts w:ascii="Arial" w:cs="Arial" w:eastAsia="Arial" w:hAnsi="Arial"/>
          <w:sz w:val="10"/>
          <w:szCs w:val="10"/>
          <w:color w:val="auto"/>
        </w:rPr>
        <w:t>We seek directors with strong understanding of corporate governance for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39370</wp:posOffset>
            </wp:positionV>
            <wp:extent cx="466344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05" w:lineRule="exact"/>
        <w:rPr>
          <w:sz w:val="20"/>
          <w:szCs w:val="20"/>
          <w:color w:val="auto"/>
        </w:rPr>
      </w:pPr>
    </w:p>
    <w:p>
      <w:pPr>
        <w:jc w:val="center"/>
        <w:ind w:right="5599"/>
        <w:spacing w:after="0"/>
        <w:rPr>
          <w:sz w:val="20"/>
          <w:szCs w:val="20"/>
          <w:color w:val="auto"/>
        </w:rPr>
      </w:pPr>
      <w:r>
        <w:rPr>
          <w:rFonts w:ascii="Arial" w:cs="Arial" w:eastAsia="Arial" w:hAnsi="Arial"/>
          <w:sz w:val="10"/>
          <w:szCs w:val="10"/>
          <w:b w:val="1"/>
          <w:bCs w:val="1"/>
          <w:color w:val="009BDE"/>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-66675</wp:posOffset>
            </wp:positionV>
            <wp:extent cx="102870" cy="1028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-66675</wp:posOffset>
            </wp:positionV>
            <wp:extent cx="102870" cy="10287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-66675</wp:posOffset>
            </wp:positionV>
            <wp:extent cx="102870" cy="10287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-66675</wp:posOffset>
            </wp:positionV>
            <wp:extent cx="102870" cy="10287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-66675</wp:posOffset>
            </wp:positionV>
            <wp:extent cx="102870" cy="10287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-66675</wp:posOffset>
            </wp:positionV>
            <wp:extent cx="102870" cy="10287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-66675</wp:posOffset>
            </wp:positionV>
            <wp:extent cx="102870" cy="10287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-66675</wp:posOffset>
            </wp:positionV>
            <wp:extent cx="102870" cy="10287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-66675</wp:posOffset>
            </wp:positionV>
            <wp:extent cx="102870" cy="10287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56" w:lineRule="exact"/>
        <w:rPr>
          <w:sz w:val="20"/>
          <w:szCs w:val="20"/>
          <w:color w:val="auto"/>
        </w:rPr>
      </w:pPr>
    </w:p>
    <w:p>
      <w:pPr>
        <w:ind w:left="2020"/>
        <w:spacing w:after="0"/>
        <w:rPr>
          <w:sz w:val="20"/>
          <w:szCs w:val="20"/>
          <w:color w:val="auto"/>
        </w:rPr>
      </w:pPr>
      <w:r>
        <w:rPr>
          <w:rFonts w:ascii="Arial" w:cs="Arial" w:eastAsia="Arial" w:hAnsi="Arial"/>
          <w:sz w:val="10"/>
          <w:szCs w:val="10"/>
          <w:color w:val="auto"/>
        </w:rPr>
        <w:t>We seek directors with experience in operational aspects of complex global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39370</wp:posOffset>
            </wp:positionV>
            <wp:extent cx="466344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49"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Board Diversity Matrix as of April 3, 2023</w:t>
      </w:r>
    </w:p>
    <w:p>
      <w:pPr>
        <w:spacing w:after="0" w:line="86" w:lineRule="exact"/>
        <w:rPr>
          <w:sz w:val="20"/>
          <w:szCs w:val="20"/>
          <w:color w:val="auto"/>
        </w:rPr>
      </w:pPr>
    </w:p>
    <w:p>
      <w:pPr>
        <w:ind w:left="1980" w:right="919"/>
        <w:spacing w:after="0" w:line="239" w:lineRule="auto"/>
        <w:rPr>
          <w:sz w:val="20"/>
          <w:szCs w:val="20"/>
          <w:color w:val="auto"/>
        </w:rPr>
      </w:pPr>
      <w:r>
        <w:rPr>
          <w:rFonts w:ascii="Arial" w:cs="Arial" w:eastAsia="Arial" w:hAnsi="Arial"/>
          <w:sz w:val="11"/>
          <w:szCs w:val="11"/>
          <w:color w:val="auto"/>
        </w:rPr>
        <w:t>As mentioned above, diversity is one of the factors considered by the Nominating, Governance and Social Responsibility Committee in identifying nominees for director. It does not, however, have a formal policy in this regard. The Nominating, Governance and Social Responsibility Committee views diversity broadly to include diversity of experience, skills and viewpoint, as well as diversity of gender, race and ethnicity. The Nominating, Governance and Social Responsibility Committee does not assign specific weights to particular criteria and no particular criterion is necessarily applicable to all prospective nominees. The Nominating, Governance and Social Responsibility Committee believes that the backgrounds and qualifications of the directors considered as a whole should provide a significant breadth of experience, knowledge and abilities to assist the Board in fulfilling its responsibilities. Generally, directors should be individuals who have succeeded in their particular fields and who demonstrate integrity, reliability and extensive knowledge of corporate affairs. The Nominating, Governance and Social Responsibility Committee also considers other relevant factors as it deems appropriate, including the current composition of the Board.</w:t>
      </w:r>
    </w:p>
    <w:p>
      <w:pPr>
        <w:spacing w:after="0" w:line="9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More specifically, the following chart lists the self-identified diverse attributes of our current directors.</w:t>
      </w:r>
    </w:p>
    <w:p>
      <w:pPr>
        <w:spacing w:after="0" w:line="160" w:lineRule="exact"/>
        <w:rPr>
          <w:sz w:val="20"/>
          <w:szCs w:val="20"/>
          <w:color w:val="auto"/>
        </w:rPr>
      </w:pPr>
    </w:p>
    <w:tbl>
      <w:tblPr>
        <w:tblLayout w:type="fixed"/>
        <w:tblInd w:w="1980" w:type="dxa"/>
        <w:tblCellMar>
          <w:top w:w="0" w:type="dxa"/>
          <w:left w:w="0" w:type="dxa"/>
          <w:bottom w:w="0" w:type="dxa"/>
          <w:right w:w="0" w:type="dxa"/>
        </w:tblCellMar>
      </w:tblPr>
      <w:tr>
        <w:trPr>
          <w:trHeight w:val="176"/>
        </w:trPr>
        <w:tc>
          <w:tcPr>
            <w:tcW w:w="3560" w:type="dxa"/>
            <w:vAlign w:val="bottom"/>
            <w:shd w:val="clear" w:color="auto" w:fill="CCEBF8"/>
          </w:tcPr>
          <w:p>
            <w:pPr>
              <w:spacing w:after="0"/>
              <w:rPr>
                <w:sz w:val="20"/>
                <w:szCs w:val="20"/>
                <w:color w:val="auto"/>
              </w:rPr>
            </w:pPr>
            <w:r>
              <w:rPr>
                <w:rFonts w:ascii="Arial" w:cs="Arial" w:eastAsia="Arial" w:hAnsi="Arial"/>
                <w:sz w:val="11"/>
                <w:szCs w:val="11"/>
                <w:b w:val="1"/>
                <w:bCs w:val="1"/>
                <w:color w:val="009BDE"/>
              </w:rPr>
              <w:t>Total Number of Directors</w:t>
            </w:r>
          </w:p>
        </w:tc>
        <w:tc>
          <w:tcPr>
            <w:tcW w:w="840" w:type="dxa"/>
            <w:vAlign w:val="bottom"/>
            <w:shd w:val="clear" w:color="auto" w:fill="CCEBF8"/>
          </w:tcPr>
          <w:p>
            <w:pPr>
              <w:spacing w:after="0"/>
              <w:rPr>
                <w:sz w:val="15"/>
                <w:szCs w:val="15"/>
                <w:color w:val="auto"/>
              </w:rPr>
            </w:pPr>
          </w:p>
        </w:tc>
        <w:tc>
          <w:tcPr>
            <w:tcW w:w="780" w:type="dxa"/>
            <w:vAlign w:val="bottom"/>
            <w:shd w:val="clear" w:color="auto" w:fill="CCEBF8"/>
          </w:tcPr>
          <w:p>
            <w:pPr>
              <w:spacing w:after="0"/>
              <w:rPr>
                <w:sz w:val="15"/>
                <w:szCs w:val="15"/>
                <w:color w:val="auto"/>
              </w:rPr>
            </w:pPr>
          </w:p>
        </w:tc>
        <w:tc>
          <w:tcPr>
            <w:tcW w:w="960" w:type="dxa"/>
            <w:vAlign w:val="bottom"/>
            <w:shd w:val="clear" w:color="auto" w:fill="CCEBF8"/>
          </w:tcPr>
          <w:p>
            <w:pPr>
              <w:jc w:val="right"/>
              <w:ind w:right="392"/>
              <w:spacing w:after="0"/>
              <w:rPr>
                <w:sz w:val="20"/>
                <w:szCs w:val="20"/>
                <w:color w:val="auto"/>
              </w:rPr>
            </w:pPr>
            <w:r>
              <w:rPr>
                <w:rFonts w:ascii="Arial" w:cs="Arial" w:eastAsia="Arial" w:hAnsi="Arial"/>
                <w:sz w:val="11"/>
                <w:szCs w:val="11"/>
                <w:color w:val="auto"/>
              </w:rPr>
              <w:t>13</w:t>
            </w:r>
          </w:p>
        </w:tc>
        <w:tc>
          <w:tcPr>
            <w:tcW w:w="1200" w:type="dxa"/>
            <w:vAlign w:val="bottom"/>
            <w:shd w:val="clear" w:color="auto" w:fill="CCEBF8"/>
          </w:tcPr>
          <w:p>
            <w:pPr>
              <w:spacing w:after="0"/>
              <w:rPr>
                <w:sz w:val="15"/>
                <w:szCs w:val="15"/>
                <w:color w:val="auto"/>
              </w:rPr>
            </w:pPr>
          </w:p>
        </w:tc>
      </w:tr>
      <w:tr>
        <w:trPr>
          <w:trHeight w:val="85"/>
        </w:trPr>
        <w:tc>
          <w:tcPr>
            <w:tcW w:w="3560" w:type="dxa"/>
            <w:vAlign w:val="bottom"/>
            <w:tcBorders>
              <w:bottom w:val="single" w:sz="8" w:color="009BDE"/>
            </w:tcBorders>
            <w:shd w:val="clear" w:color="auto" w:fill="CCEBF8"/>
          </w:tcPr>
          <w:p>
            <w:pPr>
              <w:spacing w:after="0"/>
              <w:rPr>
                <w:sz w:val="7"/>
                <w:szCs w:val="7"/>
                <w:color w:val="auto"/>
              </w:rPr>
            </w:pPr>
          </w:p>
        </w:tc>
        <w:tc>
          <w:tcPr>
            <w:tcW w:w="840" w:type="dxa"/>
            <w:vAlign w:val="bottom"/>
            <w:tcBorders>
              <w:bottom w:val="single" w:sz="8" w:color="009BDE"/>
            </w:tcBorders>
            <w:shd w:val="clear" w:color="auto" w:fill="CCEBF8"/>
          </w:tcPr>
          <w:p>
            <w:pPr>
              <w:spacing w:after="0"/>
              <w:rPr>
                <w:sz w:val="7"/>
                <w:szCs w:val="7"/>
                <w:color w:val="auto"/>
              </w:rPr>
            </w:pPr>
          </w:p>
        </w:tc>
        <w:tc>
          <w:tcPr>
            <w:tcW w:w="780" w:type="dxa"/>
            <w:vAlign w:val="bottom"/>
            <w:tcBorders>
              <w:bottom w:val="single" w:sz="8" w:color="009BDE"/>
            </w:tcBorders>
            <w:shd w:val="clear" w:color="auto" w:fill="CCEBF8"/>
          </w:tcPr>
          <w:p>
            <w:pPr>
              <w:spacing w:after="0"/>
              <w:rPr>
                <w:sz w:val="7"/>
                <w:szCs w:val="7"/>
                <w:color w:val="auto"/>
              </w:rPr>
            </w:pPr>
          </w:p>
        </w:tc>
        <w:tc>
          <w:tcPr>
            <w:tcW w:w="960" w:type="dxa"/>
            <w:vAlign w:val="bottom"/>
            <w:tcBorders>
              <w:bottom w:val="single" w:sz="8" w:color="009BDE"/>
            </w:tcBorders>
            <w:shd w:val="clear" w:color="auto" w:fill="CCEBF8"/>
          </w:tcPr>
          <w:p>
            <w:pPr>
              <w:spacing w:after="0"/>
              <w:rPr>
                <w:sz w:val="7"/>
                <w:szCs w:val="7"/>
                <w:color w:val="auto"/>
              </w:rPr>
            </w:pPr>
          </w:p>
        </w:tc>
        <w:tc>
          <w:tcPr>
            <w:tcW w:w="1200" w:type="dxa"/>
            <w:vAlign w:val="bottom"/>
            <w:tcBorders>
              <w:bottom w:val="single" w:sz="8" w:color="009BDE"/>
            </w:tcBorders>
            <w:shd w:val="clear" w:color="auto" w:fill="CCEBF8"/>
          </w:tcPr>
          <w:p>
            <w:pPr>
              <w:spacing w:after="0"/>
              <w:rPr>
                <w:sz w:val="7"/>
                <w:szCs w:val="7"/>
                <w:color w:val="auto"/>
              </w:rPr>
            </w:pPr>
          </w:p>
        </w:tc>
      </w:tr>
      <w:tr>
        <w:trPr>
          <w:trHeight w:val="143"/>
        </w:trPr>
        <w:tc>
          <w:tcPr>
            <w:tcW w:w="3560" w:type="dxa"/>
            <w:vAlign w:val="bottom"/>
            <w:shd w:val="clear" w:color="auto" w:fill="CCEBF8"/>
          </w:tcPr>
          <w:p>
            <w:pPr>
              <w:ind w:left="40"/>
              <w:spacing w:after="0"/>
              <w:rPr>
                <w:sz w:val="20"/>
                <w:szCs w:val="20"/>
                <w:color w:val="auto"/>
              </w:rPr>
            </w:pPr>
            <w:r>
              <w:rPr>
                <w:rFonts w:ascii="Arial" w:cs="Arial" w:eastAsia="Arial" w:hAnsi="Arial"/>
                <w:sz w:val="10"/>
                <w:szCs w:val="10"/>
                <w:b w:val="1"/>
                <w:bCs w:val="1"/>
                <w:color w:val="009BDE"/>
              </w:rPr>
              <w:t>Gender</w:t>
            </w:r>
          </w:p>
        </w:tc>
        <w:tc>
          <w:tcPr>
            <w:tcW w:w="840" w:type="dxa"/>
            <w:vAlign w:val="bottom"/>
            <w:shd w:val="clear" w:color="auto" w:fill="CCEBF8"/>
          </w:tcPr>
          <w:p>
            <w:pPr>
              <w:jc w:val="right"/>
              <w:ind w:right="172"/>
              <w:spacing w:after="0"/>
              <w:rPr>
                <w:sz w:val="20"/>
                <w:szCs w:val="20"/>
                <w:color w:val="auto"/>
              </w:rPr>
            </w:pPr>
            <w:r>
              <w:rPr>
                <w:rFonts w:ascii="Arial" w:cs="Arial" w:eastAsia="Arial" w:hAnsi="Arial"/>
                <w:sz w:val="10"/>
                <w:szCs w:val="10"/>
                <w:b w:val="1"/>
                <w:bCs w:val="1"/>
                <w:color w:val="009BDE"/>
              </w:rPr>
              <w:t>Male</w:t>
            </w:r>
          </w:p>
        </w:tc>
        <w:tc>
          <w:tcPr>
            <w:tcW w:w="780" w:type="dxa"/>
            <w:vAlign w:val="bottom"/>
            <w:shd w:val="clear" w:color="auto" w:fill="CCEBF8"/>
          </w:tcPr>
          <w:p>
            <w:pPr>
              <w:jc w:val="right"/>
              <w:ind w:right="172"/>
              <w:spacing w:after="0"/>
              <w:rPr>
                <w:sz w:val="20"/>
                <w:szCs w:val="20"/>
                <w:color w:val="auto"/>
              </w:rPr>
            </w:pPr>
            <w:r>
              <w:rPr>
                <w:rFonts w:ascii="Arial" w:cs="Arial" w:eastAsia="Arial" w:hAnsi="Arial"/>
                <w:sz w:val="10"/>
                <w:szCs w:val="10"/>
                <w:b w:val="1"/>
                <w:bCs w:val="1"/>
                <w:color w:val="009BDE"/>
              </w:rPr>
              <w:t>Female</w:t>
            </w:r>
          </w:p>
        </w:tc>
        <w:tc>
          <w:tcPr>
            <w:tcW w:w="960" w:type="dxa"/>
            <w:vAlign w:val="bottom"/>
            <w:shd w:val="clear" w:color="auto" w:fill="CCEBF8"/>
          </w:tcPr>
          <w:p>
            <w:pPr>
              <w:jc w:val="right"/>
              <w:ind w:right="172"/>
              <w:spacing w:after="0"/>
              <w:rPr>
                <w:sz w:val="20"/>
                <w:szCs w:val="20"/>
                <w:color w:val="auto"/>
              </w:rPr>
            </w:pPr>
            <w:r>
              <w:rPr>
                <w:rFonts w:ascii="Arial" w:cs="Arial" w:eastAsia="Arial" w:hAnsi="Arial"/>
                <w:sz w:val="10"/>
                <w:szCs w:val="10"/>
                <w:b w:val="1"/>
                <w:bCs w:val="1"/>
                <w:color w:val="009BDE"/>
              </w:rPr>
              <w:t>Non-Binary</w:t>
            </w:r>
          </w:p>
        </w:tc>
        <w:tc>
          <w:tcPr>
            <w:tcW w:w="1200" w:type="dxa"/>
            <w:vAlign w:val="bottom"/>
            <w:shd w:val="clear" w:color="auto" w:fill="CCEBF8"/>
          </w:tcPr>
          <w:p>
            <w:pPr>
              <w:jc w:val="right"/>
              <w:spacing w:after="0"/>
              <w:rPr>
                <w:sz w:val="20"/>
                <w:szCs w:val="20"/>
                <w:color w:val="auto"/>
              </w:rPr>
            </w:pPr>
            <w:r>
              <w:rPr>
                <w:rFonts w:ascii="Arial" w:cs="Arial" w:eastAsia="Arial" w:hAnsi="Arial"/>
                <w:sz w:val="10"/>
                <w:szCs w:val="10"/>
                <w:b w:val="1"/>
                <w:bCs w:val="1"/>
                <w:color w:val="009BDE"/>
              </w:rPr>
              <w:t>Gender Undisclosed</w:t>
            </w:r>
          </w:p>
        </w:tc>
      </w:tr>
      <w:tr>
        <w:trPr>
          <w:trHeight w:val="80"/>
        </w:trPr>
        <w:tc>
          <w:tcPr>
            <w:tcW w:w="3560" w:type="dxa"/>
            <w:vAlign w:val="bottom"/>
            <w:tcBorders>
              <w:bottom w:val="single" w:sz="8" w:color="009BDE"/>
            </w:tcBorders>
            <w:shd w:val="clear" w:color="auto" w:fill="CCEBF8"/>
          </w:tcPr>
          <w:p>
            <w:pPr>
              <w:spacing w:after="0"/>
              <w:rPr>
                <w:sz w:val="6"/>
                <w:szCs w:val="6"/>
                <w:color w:val="auto"/>
              </w:rPr>
            </w:pPr>
          </w:p>
        </w:tc>
        <w:tc>
          <w:tcPr>
            <w:tcW w:w="840" w:type="dxa"/>
            <w:vAlign w:val="bottom"/>
            <w:tcBorders>
              <w:bottom w:val="single" w:sz="8" w:color="009BDE"/>
            </w:tcBorders>
            <w:shd w:val="clear" w:color="auto" w:fill="CCEBF8"/>
          </w:tcPr>
          <w:p>
            <w:pPr>
              <w:spacing w:after="0"/>
              <w:rPr>
                <w:sz w:val="6"/>
                <w:szCs w:val="6"/>
                <w:color w:val="auto"/>
              </w:rPr>
            </w:pPr>
          </w:p>
        </w:tc>
        <w:tc>
          <w:tcPr>
            <w:tcW w:w="780" w:type="dxa"/>
            <w:vAlign w:val="bottom"/>
            <w:tcBorders>
              <w:bottom w:val="single" w:sz="8" w:color="009BDE"/>
            </w:tcBorders>
            <w:shd w:val="clear" w:color="auto" w:fill="CCEBF8"/>
          </w:tcPr>
          <w:p>
            <w:pPr>
              <w:spacing w:after="0"/>
              <w:rPr>
                <w:sz w:val="6"/>
                <w:szCs w:val="6"/>
                <w:color w:val="auto"/>
              </w:rPr>
            </w:pPr>
          </w:p>
        </w:tc>
        <w:tc>
          <w:tcPr>
            <w:tcW w:w="960" w:type="dxa"/>
            <w:vAlign w:val="bottom"/>
            <w:tcBorders>
              <w:bottom w:val="single" w:sz="8" w:color="009BDE"/>
            </w:tcBorders>
            <w:shd w:val="clear" w:color="auto" w:fill="CCEBF8"/>
          </w:tcPr>
          <w:p>
            <w:pPr>
              <w:spacing w:after="0"/>
              <w:rPr>
                <w:sz w:val="6"/>
                <w:szCs w:val="6"/>
                <w:color w:val="auto"/>
              </w:rPr>
            </w:pPr>
          </w:p>
        </w:tc>
        <w:tc>
          <w:tcPr>
            <w:tcW w:w="1200" w:type="dxa"/>
            <w:vAlign w:val="bottom"/>
            <w:tcBorders>
              <w:bottom w:val="single" w:sz="8" w:color="009BDE"/>
            </w:tcBorders>
            <w:shd w:val="clear" w:color="auto" w:fill="CCEBF8"/>
          </w:tcPr>
          <w:p>
            <w:pPr>
              <w:spacing w:after="0"/>
              <w:rPr>
                <w:sz w:val="6"/>
                <w:szCs w:val="6"/>
                <w:color w:val="auto"/>
              </w:rPr>
            </w:pPr>
          </w:p>
        </w:tc>
      </w:tr>
      <w:tr>
        <w:trPr>
          <w:trHeight w:val="170"/>
        </w:trPr>
        <w:tc>
          <w:tcPr>
            <w:tcW w:w="3560" w:type="dxa"/>
            <w:vAlign w:val="bottom"/>
          </w:tcPr>
          <w:p>
            <w:pPr>
              <w:ind w:left="40"/>
              <w:spacing w:after="0"/>
              <w:rPr>
                <w:sz w:val="20"/>
                <w:szCs w:val="20"/>
                <w:color w:val="auto"/>
              </w:rPr>
            </w:pPr>
            <w:r>
              <w:rPr>
                <w:rFonts w:ascii="Arial" w:cs="Arial" w:eastAsia="Arial" w:hAnsi="Arial"/>
                <w:sz w:val="10"/>
                <w:szCs w:val="10"/>
                <w:color w:val="auto"/>
              </w:rPr>
              <w:t>Number of directors based on gender identity</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6</w:t>
            </w:r>
          </w:p>
        </w:tc>
        <w:tc>
          <w:tcPr>
            <w:tcW w:w="780" w:type="dxa"/>
            <w:vAlign w:val="bottom"/>
          </w:tcPr>
          <w:p>
            <w:pPr>
              <w:jc w:val="right"/>
              <w:ind w:right="172"/>
              <w:spacing w:after="0"/>
              <w:rPr>
                <w:sz w:val="20"/>
                <w:szCs w:val="20"/>
                <w:color w:val="auto"/>
              </w:rPr>
            </w:pPr>
            <w:r>
              <w:rPr>
                <w:rFonts w:ascii="Arial" w:cs="Arial" w:eastAsia="Arial" w:hAnsi="Arial"/>
                <w:sz w:val="10"/>
                <w:szCs w:val="10"/>
                <w:color w:val="auto"/>
              </w:rPr>
              <w:t>7</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120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62"/>
        </w:trPr>
        <w:tc>
          <w:tcPr>
            <w:tcW w:w="356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1200" w:type="dxa"/>
            <w:vAlign w:val="bottom"/>
            <w:tcBorders>
              <w:bottom w:val="single" w:sz="8" w:color="009BDE"/>
            </w:tcBorders>
          </w:tcPr>
          <w:p>
            <w:pPr>
              <w:spacing w:after="0"/>
              <w:rPr>
                <w:sz w:val="5"/>
                <w:szCs w:val="5"/>
                <w:color w:val="auto"/>
              </w:rPr>
            </w:pPr>
          </w:p>
        </w:tc>
      </w:tr>
      <w:tr>
        <w:trPr>
          <w:trHeight w:val="170"/>
        </w:trPr>
        <w:tc>
          <w:tcPr>
            <w:tcW w:w="3560" w:type="dxa"/>
            <w:vAlign w:val="bottom"/>
          </w:tcPr>
          <w:p>
            <w:pPr>
              <w:ind w:left="40"/>
              <w:spacing w:after="0"/>
              <w:rPr>
                <w:sz w:val="20"/>
                <w:szCs w:val="20"/>
                <w:color w:val="auto"/>
              </w:rPr>
            </w:pPr>
            <w:r>
              <w:rPr>
                <w:rFonts w:ascii="Arial" w:cs="Arial" w:eastAsia="Arial" w:hAnsi="Arial"/>
                <w:sz w:val="10"/>
                <w:szCs w:val="10"/>
                <w:color w:val="auto"/>
              </w:rPr>
              <w:t>African American or Black</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780" w:type="dxa"/>
            <w:vAlign w:val="bottom"/>
          </w:tcPr>
          <w:p>
            <w:pPr>
              <w:jc w:val="right"/>
              <w:ind w:right="172"/>
              <w:spacing w:after="0"/>
              <w:rPr>
                <w:sz w:val="20"/>
                <w:szCs w:val="20"/>
                <w:color w:val="auto"/>
              </w:rPr>
            </w:pPr>
            <w:r>
              <w:rPr>
                <w:rFonts w:ascii="Arial" w:cs="Arial" w:eastAsia="Arial" w:hAnsi="Arial"/>
                <w:sz w:val="10"/>
                <w:szCs w:val="10"/>
                <w:color w:val="auto"/>
              </w:rPr>
              <w:t>2</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120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62"/>
        </w:trPr>
        <w:tc>
          <w:tcPr>
            <w:tcW w:w="356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1200" w:type="dxa"/>
            <w:vAlign w:val="bottom"/>
            <w:tcBorders>
              <w:bottom w:val="single" w:sz="8" w:color="009BDE"/>
            </w:tcBorders>
          </w:tcPr>
          <w:p>
            <w:pPr>
              <w:spacing w:after="0"/>
              <w:rPr>
                <w:sz w:val="5"/>
                <w:szCs w:val="5"/>
                <w:color w:val="auto"/>
              </w:rPr>
            </w:pPr>
          </w:p>
        </w:tc>
      </w:tr>
      <w:tr>
        <w:trPr>
          <w:trHeight w:val="170"/>
        </w:trPr>
        <w:tc>
          <w:tcPr>
            <w:tcW w:w="3560" w:type="dxa"/>
            <w:vAlign w:val="bottom"/>
          </w:tcPr>
          <w:p>
            <w:pPr>
              <w:ind w:left="40"/>
              <w:spacing w:after="0"/>
              <w:rPr>
                <w:sz w:val="20"/>
                <w:szCs w:val="20"/>
                <w:color w:val="auto"/>
              </w:rPr>
            </w:pPr>
            <w:r>
              <w:rPr>
                <w:rFonts w:ascii="Arial" w:cs="Arial" w:eastAsia="Arial" w:hAnsi="Arial"/>
                <w:sz w:val="10"/>
                <w:szCs w:val="10"/>
                <w:color w:val="auto"/>
              </w:rPr>
              <w:t>Alaskan Native or American Indian</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78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120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62"/>
        </w:trPr>
        <w:tc>
          <w:tcPr>
            <w:tcW w:w="356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1200" w:type="dxa"/>
            <w:vAlign w:val="bottom"/>
            <w:tcBorders>
              <w:bottom w:val="single" w:sz="8" w:color="009BDE"/>
            </w:tcBorders>
          </w:tcPr>
          <w:p>
            <w:pPr>
              <w:spacing w:after="0"/>
              <w:rPr>
                <w:sz w:val="5"/>
                <w:szCs w:val="5"/>
                <w:color w:val="auto"/>
              </w:rPr>
            </w:pPr>
          </w:p>
        </w:tc>
      </w:tr>
      <w:tr>
        <w:trPr>
          <w:trHeight w:val="170"/>
        </w:trPr>
        <w:tc>
          <w:tcPr>
            <w:tcW w:w="3560" w:type="dxa"/>
            <w:vAlign w:val="bottom"/>
          </w:tcPr>
          <w:p>
            <w:pPr>
              <w:ind w:left="40"/>
              <w:spacing w:after="0"/>
              <w:rPr>
                <w:sz w:val="20"/>
                <w:szCs w:val="20"/>
                <w:color w:val="auto"/>
              </w:rPr>
            </w:pPr>
            <w:r>
              <w:rPr>
                <w:rFonts w:ascii="Arial" w:cs="Arial" w:eastAsia="Arial" w:hAnsi="Arial"/>
                <w:sz w:val="10"/>
                <w:szCs w:val="10"/>
                <w:color w:val="auto"/>
              </w:rPr>
              <w:t>Asian</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78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120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62"/>
        </w:trPr>
        <w:tc>
          <w:tcPr>
            <w:tcW w:w="356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1200" w:type="dxa"/>
            <w:vAlign w:val="bottom"/>
            <w:tcBorders>
              <w:bottom w:val="single" w:sz="8" w:color="009BDE"/>
            </w:tcBorders>
          </w:tcPr>
          <w:p>
            <w:pPr>
              <w:spacing w:after="0"/>
              <w:rPr>
                <w:sz w:val="5"/>
                <w:szCs w:val="5"/>
                <w:color w:val="auto"/>
              </w:rPr>
            </w:pPr>
          </w:p>
        </w:tc>
      </w:tr>
      <w:tr>
        <w:trPr>
          <w:trHeight w:val="170"/>
        </w:trPr>
        <w:tc>
          <w:tcPr>
            <w:tcW w:w="3560" w:type="dxa"/>
            <w:vAlign w:val="bottom"/>
          </w:tcPr>
          <w:p>
            <w:pPr>
              <w:ind w:left="40"/>
              <w:spacing w:after="0"/>
              <w:rPr>
                <w:sz w:val="20"/>
                <w:szCs w:val="20"/>
                <w:color w:val="auto"/>
              </w:rPr>
            </w:pPr>
            <w:r>
              <w:rPr>
                <w:rFonts w:ascii="Arial" w:cs="Arial" w:eastAsia="Arial" w:hAnsi="Arial"/>
                <w:sz w:val="10"/>
                <w:szCs w:val="10"/>
                <w:color w:val="auto"/>
              </w:rPr>
              <w:t>Hispanic or Latinx</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78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120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62"/>
        </w:trPr>
        <w:tc>
          <w:tcPr>
            <w:tcW w:w="356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1200" w:type="dxa"/>
            <w:vAlign w:val="bottom"/>
            <w:tcBorders>
              <w:bottom w:val="single" w:sz="8" w:color="009BDE"/>
            </w:tcBorders>
          </w:tcPr>
          <w:p>
            <w:pPr>
              <w:spacing w:after="0"/>
              <w:rPr>
                <w:sz w:val="5"/>
                <w:szCs w:val="5"/>
                <w:color w:val="auto"/>
              </w:rPr>
            </w:pPr>
          </w:p>
        </w:tc>
      </w:tr>
      <w:tr>
        <w:trPr>
          <w:trHeight w:val="170"/>
        </w:trPr>
        <w:tc>
          <w:tcPr>
            <w:tcW w:w="3560" w:type="dxa"/>
            <w:vAlign w:val="bottom"/>
          </w:tcPr>
          <w:p>
            <w:pPr>
              <w:ind w:left="40"/>
              <w:spacing w:after="0"/>
              <w:rPr>
                <w:sz w:val="20"/>
                <w:szCs w:val="20"/>
                <w:color w:val="auto"/>
              </w:rPr>
            </w:pPr>
            <w:r>
              <w:rPr>
                <w:rFonts w:ascii="Arial" w:cs="Arial" w:eastAsia="Arial" w:hAnsi="Arial"/>
                <w:sz w:val="10"/>
                <w:szCs w:val="10"/>
                <w:color w:val="auto"/>
              </w:rPr>
              <w:t>Native Hawaiian or Pacific Islander</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78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120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62"/>
        </w:trPr>
        <w:tc>
          <w:tcPr>
            <w:tcW w:w="356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1200" w:type="dxa"/>
            <w:vAlign w:val="bottom"/>
            <w:tcBorders>
              <w:bottom w:val="single" w:sz="8" w:color="009BDE"/>
            </w:tcBorders>
          </w:tcPr>
          <w:p>
            <w:pPr>
              <w:spacing w:after="0"/>
              <w:rPr>
                <w:sz w:val="5"/>
                <w:szCs w:val="5"/>
                <w:color w:val="auto"/>
              </w:rPr>
            </w:pPr>
          </w:p>
        </w:tc>
      </w:tr>
      <w:tr>
        <w:trPr>
          <w:trHeight w:val="170"/>
        </w:trPr>
        <w:tc>
          <w:tcPr>
            <w:tcW w:w="3560" w:type="dxa"/>
            <w:vAlign w:val="bottom"/>
          </w:tcPr>
          <w:p>
            <w:pPr>
              <w:ind w:left="40"/>
              <w:spacing w:after="0"/>
              <w:rPr>
                <w:sz w:val="20"/>
                <w:szCs w:val="20"/>
                <w:color w:val="auto"/>
              </w:rPr>
            </w:pPr>
            <w:r>
              <w:rPr>
                <w:rFonts w:ascii="Arial" w:cs="Arial" w:eastAsia="Arial" w:hAnsi="Arial"/>
                <w:sz w:val="10"/>
                <w:szCs w:val="10"/>
                <w:color w:val="auto"/>
              </w:rPr>
              <w:t>White</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6</w:t>
            </w:r>
          </w:p>
        </w:tc>
        <w:tc>
          <w:tcPr>
            <w:tcW w:w="780" w:type="dxa"/>
            <w:vAlign w:val="bottom"/>
          </w:tcPr>
          <w:p>
            <w:pPr>
              <w:jc w:val="right"/>
              <w:ind w:right="172"/>
              <w:spacing w:after="0"/>
              <w:rPr>
                <w:sz w:val="20"/>
                <w:szCs w:val="20"/>
                <w:color w:val="auto"/>
              </w:rPr>
            </w:pPr>
            <w:r>
              <w:rPr>
                <w:rFonts w:ascii="Arial" w:cs="Arial" w:eastAsia="Arial" w:hAnsi="Arial"/>
                <w:sz w:val="10"/>
                <w:szCs w:val="10"/>
                <w:color w:val="auto"/>
              </w:rPr>
              <w:t>5</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120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62"/>
        </w:trPr>
        <w:tc>
          <w:tcPr>
            <w:tcW w:w="356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1200" w:type="dxa"/>
            <w:vAlign w:val="bottom"/>
            <w:tcBorders>
              <w:bottom w:val="single" w:sz="8" w:color="009BDE"/>
            </w:tcBorders>
          </w:tcPr>
          <w:p>
            <w:pPr>
              <w:spacing w:after="0"/>
              <w:rPr>
                <w:sz w:val="5"/>
                <w:szCs w:val="5"/>
                <w:color w:val="auto"/>
              </w:rPr>
            </w:pPr>
          </w:p>
        </w:tc>
      </w:tr>
      <w:tr>
        <w:trPr>
          <w:trHeight w:val="170"/>
        </w:trPr>
        <w:tc>
          <w:tcPr>
            <w:tcW w:w="3560" w:type="dxa"/>
            <w:vAlign w:val="bottom"/>
          </w:tcPr>
          <w:p>
            <w:pPr>
              <w:ind w:left="40"/>
              <w:spacing w:after="0"/>
              <w:rPr>
                <w:sz w:val="20"/>
                <w:szCs w:val="20"/>
                <w:color w:val="auto"/>
              </w:rPr>
            </w:pPr>
            <w:r>
              <w:rPr>
                <w:rFonts w:ascii="Arial" w:cs="Arial" w:eastAsia="Arial" w:hAnsi="Arial"/>
                <w:sz w:val="10"/>
                <w:szCs w:val="10"/>
                <w:color w:val="auto"/>
              </w:rPr>
              <w:t>Two or More Races or Ethnicities</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78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120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62"/>
        </w:trPr>
        <w:tc>
          <w:tcPr>
            <w:tcW w:w="356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1200" w:type="dxa"/>
            <w:vAlign w:val="bottom"/>
            <w:tcBorders>
              <w:bottom w:val="single" w:sz="8" w:color="009BDE"/>
            </w:tcBorders>
          </w:tcPr>
          <w:p>
            <w:pPr>
              <w:spacing w:after="0"/>
              <w:rPr>
                <w:sz w:val="5"/>
                <w:szCs w:val="5"/>
                <w:color w:val="auto"/>
              </w:rPr>
            </w:pPr>
          </w:p>
        </w:tc>
      </w:tr>
      <w:tr>
        <w:trPr>
          <w:trHeight w:val="170"/>
        </w:trPr>
        <w:tc>
          <w:tcPr>
            <w:tcW w:w="3560" w:type="dxa"/>
            <w:vAlign w:val="bottom"/>
          </w:tcPr>
          <w:p>
            <w:pPr>
              <w:ind w:left="40"/>
              <w:spacing w:after="0"/>
              <w:rPr>
                <w:sz w:val="20"/>
                <w:szCs w:val="20"/>
                <w:color w:val="auto"/>
              </w:rPr>
            </w:pPr>
            <w:r>
              <w:rPr>
                <w:rFonts w:ascii="Arial" w:cs="Arial" w:eastAsia="Arial" w:hAnsi="Arial"/>
                <w:sz w:val="10"/>
                <w:szCs w:val="10"/>
                <w:color w:val="auto"/>
              </w:rPr>
              <w:t>LGBTQ+</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78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120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62"/>
        </w:trPr>
        <w:tc>
          <w:tcPr>
            <w:tcW w:w="356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1200" w:type="dxa"/>
            <w:vAlign w:val="bottom"/>
            <w:tcBorders>
              <w:bottom w:val="single" w:sz="8" w:color="009BDE"/>
            </w:tcBorders>
          </w:tcPr>
          <w:p>
            <w:pPr>
              <w:spacing w:after="0"/>
              <w:rPr>
                <w:sz w:val="5"/>
                <w:szCs w:val="5"/>
                <w:color w:val="auto"/>
              </w:rPr>
            </w:pPr>
          </w:p>
        </w:tc>
      </w:tr>
      <w:tr>
        <w:trPr>
          <w:trHeight w:val="170"/>
        </w:trPr>
        <w:tc>
          <w:tcPr>
            <w:tcW w:w="3560" w:type="dxa"/>
            <w:vAlign w:val="bottom"/>
          </w:tcPr>
          <w:p>
            <w:pPr>
              <w:ind w:left="40"/>
              <w:spacing w:after="0"/>
              <w:rPr>
                <w:sz w:val="20"/>
                <w:szCs w:val="20"/>
                <w:color w:val="auto"/>
              </w:rPr>
            </w:pPr>
            <w:r>
              <w:rPr>
                <w:rFonts w:ascii="Arial" w:cs="Arial" w:eastAsia="Arial" w:hAnsi="Arial"/>
                <w:sz w:val="10"/>
                <w:szCs w:val="10"/>
                <w:color w:val="auto"/>
              </w:rPr>
              <w:t>Undisclosed</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78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0</w:t>
            </w:r>
          </w:p>
        </w:tc>
        <w:tc>
          <w:tcPr>
            <w:tcW w:w="120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62"/>
        </w:trPr>
        <w:tc>
          <w:tcPr>
            <w:tcW w:w="356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1200" w:type="dxa"/>
            <w:vAlign w:val="bottom"/>
            <w:tcBorders>
              <w:bottom w:val="single" w:sz="8" w:color="009BDE"/>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3971925" cy="21717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6"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FCFCFC"/>
        </w:rPr>
        <w:t>3</w:t>
      </w:r>
    </w:p>
    <w:p>
      <w:pPr>
        <w:sectPr>
          <w:pgSz w:w="11900" w:h="16838" w:orient="portrait"/>
          <w:cols w:equalWidth="0" w:num="1">
            <w:col w:w="10159"/>
          </w:cols>
          <w:pgMar w:left="300" w:top="372" w:right="1440"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Nominees for Election as Directors</w:t>
      </w:r>
    </w:p>
    <w:p>
      <w:pPr>
        <w:spacing w:after="0" w:line="66" w:lineRule="exact"/>
        <w:rPr>
          <w:sz w:val="20"/>
          <w:szCs w:val="20"/>
          <w:color w:val="auto"/>
        </w:rPr>
      </w:pPr>
    </w:p>
    <w:p>
      <w:pPr>
        <w:ind w:left="1980" w:right="939"/>
        <w:spacing w:after="0" w:line="236" w:lineRule="auto"/>
        <w:rPr>
          <w:sz w:val="20"/>
          <w:szCs w:val="20"/>
          <w:color w:val="auto"/>
        </w:rPr>
      </w:pPr>
      <w:r>
        <w:rPr>
          <w:rFonts w:ascii="Arial" w:cs="Arial" w:eastAsia="Arial" w:hAnsi="Arial"/>
          <w:sz w:val="13"/>
          <w:szCs w:val="13"/>
          <w:color w:val="auto"/>
        </w:rPr>
        <w:t>The following sets forth certain biographical information regarding each of the Board’s director nominees as of April 3, 2023, as well as particular experience, qualifications, attributes or skills (beyond those indicated in the preceding charts), which led the Company’s Board to conclude that the nominee should serve as a director of the Company. Except as otherwise indicated, each person has had the same principal occupation or employment during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159385</wp:posOffset>
            </wp:positionV>
            <wp:extent cx="4663440" cy="1143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3180"/>
        <w:spacing w:after="0"/>
        <w:rPr>
          <w:sz w:val="20"/>
          <w:szCs w:val="20"/>
          <w:color w:val="auto"/>
        </w:rPr>
      </w:pPr>
      <w:r>
        <w:rPr>
          <w:rFonts w:ascii="Arial" w:cs="Arial" w:eastAsia="Arial" w:hAnsi="Arial"/>
          <w:sz w:val="17"/>
          <w:szCs w:val="17"/>
          <w:b w:val="1"/>
          <w:bCs w:val="1"/>
          <w:color w:val="009BDE"/>
        </w:rPr>
        <w:t>Michael R.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-111125</wp:posOffset>
            </wp:positionV>
            <wp:extent cx="11430" cy="1143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-93980</wp:posOffset>
            </wp:positionV>
            <wp:extent cx="11430" cy="1143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-71120</wp:posOffset>
            </wp:positionV>
            <wp:extent cx="11430" cy="1143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-48260</wp:posOffset>
            </wp:positionV>
            <wp:extent cx="11430" cy="1143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-25400</wp:posOffset>
            </wp:positionV>
            <wp:extent cx="11430" cy="1143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wp:posOffset>
            </wp:positionV>
            <wp:extent cx="11430" cy="1143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19685</wp:posOffset>
            </wp:positionV>
            <wp:extent cx="11430" cy="1143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-111760</wp:posOffset>
            </wp:positionV>
            <wp:extent cx="622935" cy="6229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22935" cy="622935"/>
                    </a:xfrm>
                    <a:prstGeom prst="rect">
                      <a:avLst/>
                    </a:prstGeom>
                    <a:noFill/>
                  </pic:spPr>
                </pic:pic>
              </a:graphicData>
            </a:graphic>
          </wp:anchor>
        </w:drawing>
      </w:r>
    </w:p>
    <w:p>
      <w:pPr>
        <w:spacing w:after="0" w:line="28" w:lineRule="exact"/>
        <w:rPr>
          <w:sz w:val="20"/>
          <w:szCs w:val="20"/>
          <w:color w:val="auto"/>
        </w:rPr>
      </w:pPr>
    </w:p>
    <w:p>
      <w:pPr>
        <w:ind w:left="318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-82550</wp:posOffset>
            </wp:positionV>
            <wp:extent cx="11430" cy="1143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-59690</wp:posOffset>
            </wp:positionV>
            <wp:extent cx="11430" cy="1143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-36830</wp:posOffset>
            </wp:positionV>
            <wp:extent cx="11430" cy="1143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-13970</wp:posOffset>
            </wp:positionV>
            <wp:extent cx="11430" cy="1143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8255</wp:posOffset>
            </wp:positionV>
            <wp:extent cx="11430" cy="1143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20" w:lineRule="exact"/>
        <w:rPr>
          <w:sz w:val="20"/>
          <w:szCs w:val="20"/>
          <w:color w:val="auto"/>
        </w:rPr>
      </w:pPr>
    </w:p>
    <w:p>
      <w:pPr>
        <w:ind w:left="318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-88265</wp:posOffset>
            </wp:positionV>
            <wp:extent cx="11430" cy="1143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-65405</wp:posOffset>
            </wp:positionV>
            <wp:extent cx="11430" cy="1143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-42545</wp:posOffset>
            </wp:positionV>
            <wp:extent cx="11430" cy="1143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-19685</wp:posOffset>
            </wp:positionV>
            <wp:extent cx="11430" cy="1143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wp:posOffset>
            </wp:positionV>
            <wp:extent cx="11430" cy="1143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20" w:lineRule="exact"/>
        <w:rPr>
          <w:sz w:val="20"/>
          <w:szCs w:val="20"/>
          <w:color w:val="auto"/>
        </w:rPr>
      </w:pPr>
    </w:p>
    <w:p>
      <w:pPr>
        <w:ind w:left="3180"/>
        <w:spacing w:after="0"/>
        <w:rPr>
          <w:sz w:val="20"/>
          <w:szCs w:val="20"/>
          <w:color w:val="auto"/>
        </w:rPr>
      </w:pPr>
      <w:r>
        <w:rPr>
          <w:rFonts w:ascii="Arial" w:cs="Arial" w:eastAsia="Arial" w:hAnsi="Arial"/>
          <w:sz w:val="13"/>
          <w:szCs w:val="13"/>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-93980</wp:posOffset>
            </wp:positionV>
            <wp:extent cx="11430" cy="1143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-71120</wp:posOffset>
            </wp:positionV>
            <wp:extent cx="11430" cy="1143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-48260</wp:posOffset>
            </wp:positionV>
            <wp:extent cx="11430" cy="1143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-25400</wp:posOffset>
            </wp:positionV>
            <wp:extent cx="11430" cy="1143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wp:posOffset>
            </wp:positionV>
            <wp:extent cx="11430" cy="1143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3180" w:right="540"/>
        <w:spacing w:after="0" w:line="262" w:lineRule="auto"/>
        <w:rPr>
          <w:sz w:val="20"/>
          <w:szCs w:val="20"/>
          <w:color w:val="auto"/>
        </w:rPr>
      </w:pPr>
      <w:r>
        <w:rPr>
          <w:rFonts w:ascii="Arial" w:cs="Arial" w:eastAsia="Arial" w:hAnsi="Arial"/>
          <w:sz w:val="10"/>
          <w:szCs w:val="10"/>
          <w:color w:val="auto"/>
        </w:rPr>
        <w:t>•  Finance and Capital Allocation •  Nominating, Governance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-147955</wp:posOffset>
            </wp:positionV>
            <wp:extent cx="11430" cy="1143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-125095</wp:posOffset>
            </wp:positionV>
            <wp:extent cx="11430" cy="1143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-102235</wp:posOffset>
            </wp:positionV>
            <wp:extent cx="11430" cy="1143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-79375</wp:posOffset>
            </wp:positionV>
            <wp:extent cx="11430" cy="1143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-56515</wp:posOffset>
            </wp:positionV>
            <wp:extent cx="11430" cy="1143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-33655</wp:posOffset>
            </wp:positionV>
            <wp:extent cx="11430" cy="1143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-10795</wp:posOffset>
            </wp:positionV>
            <wp:extent cx="11430" cy="1143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3280"/>
        <w:spacing w:after="0"/>
        <w:rPr>
          <w:sz w:val="20"/>
          <w:szCs w:val="20"/>
          <w:color w:val="auto"/>
        </w:rPr>
      </w:pPr>
      <w:r>
        <w:rPr>
          <w:rFonts w:ascii="Arial" w:cs="Arial" w:eastAsia="Arial" w:hAnsi="Arial"/>
          <w:sz w:val="11"/>
          <w:szCs w:val="11"/>
          <w:color w:val="auto"/>
        </w:rPr>
        <w:t>Social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61595</wp:posOffset>
            </wp:positionV>
            <wp:extent cx="11430" cy="2286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1430" cy="2286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-69215</wp:posOffset>
            </wp:positionV>
            <wp:extent cx="11430" cy="1143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-46355</wp:posOffset>
            </wp:positionV>
            <wp:extent cx="11430" cy="1143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-23495</wp:posOffset>
            </wp:positionV>
            <wp:extent cx="11430" cy="1143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wp:posOffset>
            </wp:positionV>
            <wp:extent cx="11430" cy="1143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21590</wp:posOffset>
            </wp:positionV>
            <wp:extent cx="11430" cy="1143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44450</wp:posOffset>
            </wp:positionV>
            <wp:extent cx="11430" cy="1143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-66040</wp:posOffset>
            </wp:positionV>
            <wp:extent cx="11430" cy="1143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-43180</wp:posOffset>
            </wp:positionV>
            <wp:extent cx="11430" cy="1143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-20320</wp:posOffset>
            </wp:positionV>
            <wp:extent cx="11430" cy="1143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1905</wp:posOffset>
            </wp:positionV>
            <wp:extent cx="11430" cy="1143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right="100"/>
        <w:spacing w:after="0"/>
        <w:rPr>
          <w:sz w:val="20"/>
          <w:szCs w:val="20"/>
          <w:color w:val="auto"/>
        </w:rPr>
      </w:pPr>
      <w:r>
        <w:rPr>
          <w:rFonts w:ascii="Arial" w:cs="Arial" w:eastAsia="Arial" w:hAnsi="Arial"/>
          <w:sz w:val="11"/>
          <w:szCs w:val="11"/>
          <w:color w:val="auto"/>
        </w:rPr>
        <w:t>Michael R. Burns is the Vice Chairman and a member of the board of directors of Lions Gate Entertainment Corp. (a global entertainment company with significant motion picture and television operations), serving in this role since 2000. Lions Gate acquired Starz in December 2016. From 1991 to 2000, Mr. Burns was the Managing Director and Head of the Los Angeles Investment Banking Office of Prudential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-545465</wp:posOffset>
            </wp:positionV>
            <wp:extent cx="11430" cy="1143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-522605</wp:posOffset>
            </wp:positionV>
            <wp:extent cx="11430" cy="1143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-499745</wp:posOffset>
            </wp:positionV>
            <wp:extent cx="11430" cy="1143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-476885</wp:posOffset>
            </wp:positionV>
            <wp:extent cx="11430" cy="1143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-454025</wp:posOffset>
            </wp:positionV>
            <wp:extent cx="11430" cy="1143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-431165</wp:posOffset>
            </wp:positionV>
            <wp:extent cx="11430" cy="1143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-408305</wp:posOffset>
            </wp:positionV>
            <wp:extent cx="11430" cy="1143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-385445</wp:posOffset>
            </wp:positionV>
            <wp:extent cx="11430" cy="1143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-362585</wp:posOffset>
            </wp:positionV>
            <wp:extent cx="11430" cy="1143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-339725</wp:posOffset>
            </wp:positionV>
            <wp:extent cx="11430" cy="1143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-316865</wp:posOffset>
            </wp:positionV>
            <wp:extent cx="11430" cy="1143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-294005</wp:posOffset>
            </wp:positionV>
            <wp:extent cx="11430" cy="1143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-271145</wp:posOffset>
            </wp:positionV>
            <wp:extent cx="11430" cy="1143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-248285</wp:posOffset>
            </wp:positionV>
            <wp:extent cx="11430" cy="1143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-225425</wp:posOffset>
            </wp:positionV>
            <wp:extent cx="11430" cy="1143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-202565</wp:posOffset>
            </wp:positionV>
            <wp:extent cx="11430" cy="1143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-179705</wp:posOffset>
            </wp:positionV>
            <wp:extent cx="11430" cy="1143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-156845</wp:posOffset>
            </wp:positionV>
            <wp:extent cx="11430" cy="1143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-133985</wp:posOffset>
            </wp:positionV>
            <wp:extent cx="11430" cy="1143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-111125</wp:posOffset>
            </wp:positionV>
            <wp:extent cx="11430" cy="1143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-88265</wp:posOffset>
            </wp:positionV>
            <wp:extent cx="11430" cy="1143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-65405</wp:posOffset>
            </wp:positionV>
            <wp:extent cx="11430" cy="1143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-42545</wp:posOffset>
            </wp:positionV>
            <wp:extent cx="11430" cy="1143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-19685</wp:posOffset>
            </wp:positionV>
            <wp:extent cx="11430" cy="1143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wp:posOffset>
            </wp:positionV>
            <wp:extent cx="11430" cy="1143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25400</wp:posOffset>
            </wp:positionV>
            <wp:extent cx="11430" cy="1143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48260</wp:posOffset>
            </wp:positionV>
            <wp:extent cx="11430" cy="1143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71120</wp:posOffset>
            </wp:positionV>
            <wp:extent cx="11430" cy="1143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93980</wp:posOffset>
            </wp:positionV>
            <wp:extent cx="11430" cy="2286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-54610</wp:posOffset>
            </wp:positionV>
            <wp:extent cx="11430" cy="1143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-31750</wp:posOffset>
            </wp:positionV>
            <wp:extent cx="11430" cy="1143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-8890</wp:posOffset>
            </wp:positionV>
            <wp:extent cx="11430" cy="1143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2080" w:right="60" w:hanging="95"/>
        <w:spacing w:after="0" w:line="239" w:lineRule="auto"/>
        <w:rPr>
          <w:sz w:val="20"/>
          <w:szCs w:val="20"/>
          <w:color w:val="auto"/>
        </w:rPr>
      </w:pPr>
      <w:r>
        <w:rPr>
          <w:rFonts w:ascii="Arial" w:cs="Arial" w:eastAsia="Arial" w:hAnsi="Arial"/>
          <w:sz w:val="11"/>
          <w:szCs w:val="11"/>
          <w:color w:val="auto"/>
        </w:rPr>
        <w:t>•  Extensive knowledge and experience in content development and brand building, including in the use of creative storytelling and immersive entertainment across platforms to build global entertainment franchises.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-314325</wp:posOffset>
            </wp:positionV>
            <wp:extent cx="11430" cy="1143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-291465</wp:posOffset>
            </wp:positionV>
            <wp:extent cx="11430" cy="1143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-268605</wp:posOffset>
            </wp:positionV>
            <wp:extent cx="11430" cy="1143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-245745</wp:posOffset>
            </wp:positionV>
            <wp:extent cx="11430" cy="1143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-222885</wp:posOffset>
            </wp:positionV>
            <wp:extent cx="11430" cy="1143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-200025</wp:posOffset>
            </wp:positionV>
            <wp:extent cx="11430" cy="1143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-177165</wp:posOffset>
            </wp:positionV>
            <wp:extent cx="11430" cy="1143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-154305</wp:posOffset>
            </wp:positionV>
            <wp:extent cx="11430" cy="1143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-131445</wp:posOffset>
            </wp:positionV>
            <wp:extent cx="11430" cy="1143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-108585</wp:posOffset>
            </wp:positionV>
            <wp:extent cx="11430" cy="1143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-85725</wp:posOffset>
            </wp:positionV>
            <wp:extent cx="11430" cy="1143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-62865</wp:posOffset>
            </wp:positionV>
            <wp:extent cx="11430" cy="1143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-40005</wp:posOffset>
            </wp:positionV>
            <wp:extent cx="11430" cy="1143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-17145</wp:posOffset>
            </wp:positionV>
            <wp:extent cx="11430" cy="1143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right="120" w:hanging="95"/>
        <w:spacing w:after="0" w:line="239" w:lineRule="auto"/>
        <w:rPr>
          <w:sz w:val="20"/>
          <w:szCs w:val="20"/>
          <w:color w:val="auto"/>
        </w:rPr>
      </w:pPr>
      <w:r>
        <w:rPr>
          <w:rFonts w:ascii="Arial" w:cs="Arial" w:eastAsia="Arial" w:hAnsi="Arial"/>
          <w:sz w:val="11"/>
          <w:szCs w:val="11"/>
          <w:color w:val="auto"/>
        </w:rPr>
        <w:t>•  Significant experience in the entertainment industry, including operating and financial expertise in motion picture and television development, production, financing, marketing, distribution and monetization.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-314325</wp:posOffset>
            </wp:positionV>
            <wp:extent cx="11430" cy="1143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-291465</wp:posOffset>
            </wp:positionV>
            <wp:extent cx="11430" cy="1143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-268605</wp:posOffset>
            </wp:positionV>
            <wp:extent cx="11430" cy="1143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-245745</wp:posOffset>
            </wp:positionV>
            <wp:extent cx="11430" cy="1143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-222885</wp:posOffset>
            </wp:positionV>
            <wp:extent cx="11430" cy="1143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-200025</wp:posOffset>
            </wp:positionV>
            <wp:extent cx="11430" cy="1143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-177165</wp:posOffset>
            </wp:positionV>
            <wp:extent cx="11430" cy="1143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-154305</wp:posOffset>
            </wp:positionV>
            <wp:extent cx="11430" cy="1143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-131445</wp:posOffset>
            </wp:positionV>
            <wp:extent cx="11430" cy="1143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-108585</wp:posOffset>
            </wp:positionV>
            <wp:extent cx="11430" cy="1143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-85725</wp:posOffset>
            </wp:positionV>
            <wp:extent cx="11430" cy="1143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-62865</wp:posOffset>
            </wp:positionV>
            <wp:extent cx="11430" cy="1143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-40005</wp:posOffset>
            </wp:positionV>
            <wp:extent cx="11430" cy="1143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-17145</wp:posOffset>
            </wp:positionV>
            <wp:extent cx="11430" cy="1143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right="160" w:hanging="95"/>
        <w:spacing w:after="0" w:line="239" w:lineRule="auto"/>
        <w:rPr>
          <w:sz w:val="20"/>
          <w:szCs w:val="20"/>
          <w:color w:val="auto"/>
        </w:rPr>
      </w:pPr>
      <w:r>
        <w:rPr>
          <w:rFonts w:ascii="Arial" w:cs="Arial" w:eastAsia="Arial" w:hAnsi="Arial"/>
          <w:sz w:val="11"/>
          <w:szCs w:val="11"/>
          <w:color w:val="auto"/>
        </w:rPr>
        <w:t>•  Expertise in strategic planning, investing and content building in media and entertainment-driven multi-platform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-154305</wp:posOffset>
            </wp:positionV>
            <wp:extent cx="11430" cy="1143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-131445</wp:posOffset>
            </wp:positionV>
            <wp:extent cx="11430" cy="1143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-108585</wp:posOffset>
            </wp:positionV>
            <wp:extent cx="11430" cy="1143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-85725</wp:posOffset>
            </wp:positionV>
            <wp:extent cx="11430" cy="1143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-62865</wp:posOffset>
            </wp:positionV>
            <wp:extent cx="11430" cy="1143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-40005</wp:posOffset>
            </wp:positionV>
            <wp:extent cx="11430" cy="1143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-17145</wp:posOffset>
            </wp:positionV>
            <wp:extent cx="11430" cy="1143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right="80" w:hanging="95"/>
        <w:spacing w:after="0" w:line="245" w:lineRule="auto"/>
        <w:rPr>
          <w:sz w:val="20"/>
          <w:szCs w:val="20"/>
          <w:color w:val="auto"/>
        </w:rPr>
      </w:pPr>
      <w:r>
        <w:rPr>
          <w:rFonts w:ascii="Arial" w:cs="Arial" w:eastAsia="Arial" w:hAnsi="Arial"/>
          <w:sz w:val="11"/>
          <w:szCs w:val="11"/>
          <w:color w:val="auto"/>
        </w:rPr>
        <w:t>•  Investment banking, corporate finance and international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-158115</wp:posOffset>
            </wp:positionV>
            <wp:extent cx="11430" cy="1143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-135255</wp:posOffset>
            </wp:positionV>
            <wp:extent cx="11430" cy="1143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-112395</wp:posOffset>
            </wp:positionV>
            <wp:extent cx="11430" cy="1143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-89535</wp:posOffset>
            </wp:positionV>
            <wp:extent cx="11430" cy="1143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-66675</wp:posOffset>
            </wp:positionV>
            <wp:extent cx="11430" cy="1143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-43815</wp:posOffset>
            </wp:positionV>
            <wp:extent cx="11430" cy="1143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-20955</wp:posOffset>
            </wp:positionV>
            <wp:extent cx="11430" cy="1143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1270</wp:posOffset>
            </wp:positionV>
            <wp:extent cx="11430" cy="1143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24130</wp:posOffset>
            </wp:positionV>
            <wp:extent cx="11430" cy="1143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46990</wp:posOffset>
            </wp:positionV>
            <wp:extent cx="11430" cy="1143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69850</wp:posOffset>
            </wp:positionV>
            <wp:extent cx="11430" cy="1143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92710</wp:posOffset>
            </wp:positionV>
            <wp:extent cx="11430" cy="2286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13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-60325</wp:posOffset>
            </wp:positionV>
            <wp:extent cx="11430" cy="1143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-37465</wp:posOffset>
            </wp:positionV>
            <wp:extent cx="11430" cy="1143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-14605</wp:posOffset>
            </wp:positionV>
            <wp:extent cx="11430" cy="1143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7620</wp:posOffset>
            </wp:positionV>
            <wp:extent cx="11430" cy="1143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  Lions Gate Entertainment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-57785</wp:posOffset>
            </wp:positionV>
            <wp:extent cx="11430" cy="1143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-34925</wp:posOffset>
            </wp:positionV>
            <wp:extent cx="11430" cy="1143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-12065</wp:posOffset>
            </wp:positionV>
            <wp:extent cx="11430" cy="1143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10160</wp:posOffset>
            </wp:positionV>
            <wp:extent cx="11430" cy="1143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33020</wp:posOffset>
            </wp:positionV>
            <wp:extent cx="11430" cy="1143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55880</wp:posOffset>
            </wp:positionV>
            <wp:extent cx="11430" cy="1143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78740</wp:posOffset>
            </wp:positionV>
            <wp:extent cx="11430" cy="2286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FORMER PUBLIC COMPANY BOARDS HELD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-60325</wp:posOffset>
            </wp:positionV>
            <wp:extent cx="11430" cy="1143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-37465</wp:posOffset>
            </wp:positionV>
            <wp:extent cx="11430" cy="1143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-14605</wp:posOffset>
            </wp:positionV>
            <wp:extent cx="11430" cy="1143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b w:val="1"/>
          <w:bCs w:val="1"/>
          <w:color w:val="009BDE"/>
        </w:rPr>
        <w:t>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-85725</wp:posOffset>
            </wp:positionV>
            <wp:extent cx="11430" cy="1143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-62865</wp:posOffset>
            </wp:positionV>
            <wp:extent cx="11430" cy="1143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-40005</wp:posOffset>
            </wp:positionV>
            <wp:extent cx="11430" cy="1143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-17145</wp:posOffset>
            </wp:positionV>
            <wp:extent cx="11430" cy="1143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541655</wp:posOffset>
            </wp:positionV>
            <wp:extent cx="3971925" cy="21717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971925" cy="21717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-74930</wp:posOffset>
            </wp:positionV>
            <wp:extent cx="11430" cy="1143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-52070</wp:posOffset>
            </wp:positionV>
            <wp:extent cx="11430" cy="1143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-29210</wp:posOffset>
            </wp:positionV>
            <wp:extent cx="11430" cy="1143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-6350</wp:posOffset>
            </wp:positionV>
            <wp:extent cx="11430" cy="1143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15875</wp:posOffset>
            </wp:positionV>
            <wp:extent cx="11430" cy="1143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38735</wp:posOffset>
            </wp:positionV>
            <wp:extent cx="11430" cy="1143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61595</wp:posOffset>
            </wp:positionV>
            <wp:extent cx="11430" cy="1143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84455</wp:posOffset>
            </wp:positionV>
            <wp:extent cx="11430" cy="1143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107315</wp:posOffset>
            </wp:positionV>
            <wp:extent cx="11430" cy="1143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130175</wp:posOffset>
            </wp:positionV>
            <wp:extent cx="11430" cy="1143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153035</wp:posOffset>
            </wp:positionV>
            <wp:extent cx="11430" cy="1143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175895</wp:posOffset>
            </wp:positionV>
            <wp:extent cx="11430" cy="1143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198755</wp:posOffset>
            </wp:positionV>
            <wp:extent cx="11430" cy="1143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221615</wp:posOffset>
            </wp:positionV>
            <wp:extent cx="11430" cy="1143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244475</wp:posOffset>
            </wp:positionV>
            <wp:extent cx="11430" cy="1143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267335</wp:posOffset>
            </wp:positionV>
            <wp:extent cx="11430" cy="1143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290195</wp:posOffset>
            </wp:positionV>
            <wp:extent cx="11430" cy="1143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313055</wp:posOffset>
            </wp:positionV>
            <wp:extent cx="11430" cy="1143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335915</wp:posOffset>
            </wp:positionV>
            <wp:extent cx="11430" cy="1143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358775</wp:posOffset>
            </wp:positionV>
            <wp:extent cx="11430" cy="1143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381635</wp:posOffset>
            </wp:positionV>
            <wp:extent cx="11430" cy="1143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404495</wp:posOffset>
            </wp:positionV>
            <wp:extent cx="11430" cy="1143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9BDE"/>
        </w:rPr>
        <w:t>Hope F.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622935" cy="62293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22935" cy="622935"/>
                    </a:xfrm>
                    <a:prstGeom prst="rect">
                      <a:avLst/>
                    </a:prstGeom>
                    <a:noFill/>
                  </pic:spPr>
                </pic:pic>
              </a:graphicData>
            </a:graphic>
          </wp:anchor>
        </w:drawing>
      </w:r>
    </w:p>
    <w:p>
      <w:pPr>
        <w:spacing w:after="0" w:line="28"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51</w:t>
      </w:r>
    </w:p>
    <w:p>
      <w:pPr>
        <w:spacing w:after="0" w:line="40"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2016</w:t>
      </w:r>
    </w:p>
    <w:p>
      <w:pPr>
        <w:spacing w:after="0" w:line="40"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Committees:</w:t>
      </w:r>
    </w:p>
    <w:p>
      <w:pPr>
        <w:spacing w:after="0" w:line="14" w:lineRule="exact"/>
        <w:rPr>
          <w:sz w:val="20"/>
          <w:szCs w:val="20"/>
          <w:color w:val="auto"/>
        </w:rPr>
      </w:pPr>
    </w:p>
    <w:p>
      <w:pPr>
        <w:ind w:left="1200"/>
        <w:spacing w:after="0"/>
        <w:rPr>
          <w:sz w:val="20"/>
          <w:szCs w:val="20"/>
          <w:color w:val="auto"/>
        </w:rPr>
      </w:pPr>
      <w:r>
        <w:rPr>
          <w:rFonts w:ascii="Arial" w:cs="Arial" w:eastAsia="Arial" w:hAnsi="Arial"/>
          <w:sz w:val="11"/>
          <w:szCs w:val="11"/>
          <w:color w:val="auto"/>
        </w:rPr>
        <w:t>•  Audit (Chair)</w:t>
      </w:r>
    </w:p>
    <w:p>
      <w:pPr>
        <w:ind w:left="1200"/>
        <w:spacing w:after="0"/>
        <w:rPr>
          <w:sz w:val="20"/>
          <w:szCs w:val="20"/>
          <w:color w:val="auto"/>
        </w:rPr>
      </w:pPr>
      <w:r>
        <w:rPr>
          <w:rFonts w:ascii="Arial" w:cs="Arial" w:eastAsia="Arial" w:hAnsi="Arial"/>
          <w:sz w:val="11"/>
          <w:szCs w:val="11"/>
          <w:color w:val="auto"/>
        </w:rPr>
        <w:t>•  Cybersecurity and Data Privacy</w:t>
      </w:r>
    </w:p>
    <w:p>
      <w:pPr>
        <w:ind w:left="1200"/>
        <w:spacing w:after="0"/>
        <w:rPr>
          <w:sz w:val="20"/>
          <w:szCs w:val="20"/>
          <w:color w:val="auto"/>
        </w:rPr>
      </w:pPr>
      <w:r>
        <w:rPr>
          <w:rFonts w:ascii="Arial" w:cs="Arial" w:eastAsia="Arial" w:hAnsi="Arial"/>
          <w:sz w:val="11"/>
          <w:szCs w:val="11"/>
          <w:color w:val="auto"/>
        </w:rPr>
        <w:t>•  Finance and Capital Allocation</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-83185</wp:posOffset>
            </wp:positionV>
            <wp:extent cx="2143125" cy="571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ind w:right="899"/>
        <w:spacing w:after="0" w:line="239" w:lineRule="auto"/>
        <w:rPr>
          <w:sz w:val="20"/>
          <w:szCs w:val="20"/>
          <w:color w:val="auto"/>
        </w:rPr>
      </w:pPr>
      <w:r>
        <w:rPr>
          <w:rFonts w:ascii="Arial" w:cs="Arial" w:eastAsia="Arial" w:hAnsi="Arial"/>
          <w:sz w:val="11"/>
          <w:szCs w:val="11"/>
          <w:color w:val="auto"/>
        </w:rPr>
        <w:t>Hope F. Cochran is a Managing Director at Madrona Venture Group (a technology-focused venture capital group). Prior to joining Madrona in January 2017, Ms. Cochran was the Chief Financial Officer of King Digital Entertainment, the creator of Candy Crush and other successful mobile games, from 2013 to 2016, where she helped drive the company’s employee and revenue growth, guided the Company’s IPO and successfully completed a $5.9 billion acquisition by Activision. From 2005 to 2013, Ms. Cochran was a financial executive at Clearwire, Inc., serving as Chief Financial Officer from 2011 to 2013.</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-83185</wp:posOffset>
            </wp:positionV>
            <wp:extent cx="2143125" cy="571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jc w:val="right"/>
        <w:ind w:right="1059"/>
        <w:spacing w:after="0" w:line="262" w:lineRule="auto"/>
        <w:rPr>
          <w:sz w:val="20"/>
          <w:szCs w:val="20"/>
          <w:color w:val="auto"/>
        </w:rPr>
      </w:pPr>
      <w:r>
        <w:rPr>
          <w:rFonts w:ascii="Arial" w:cs="Arial" w:eastAsia="Arial" w:hAnsi="Arial"/>
          <w:sz w:val="10"/>
          <w:szCs w:val="10"/>
          <w:color w:val="auto"/>
        </w:rPr>
        <w:t>•  Extensive experience spanning more than 20 years as a senior financial executive in the digital gaming and telecom industries.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  Significant knowledge of development of digital content businesses.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auto"/>
        </w:rPr>
        <w:t>•  International business expertise in managing global teams, and</w:t>
      </w:r>
    </w:p>
    <w:p>
      <w:pPr>
        <w:ind w:right="999" w:firstLine="96"/>
        <w:spacing w:after="0" w:line="262" w:lineRule="auto"/>
        <w:rPr>
          <w:sz w:val="20"/>
          <w:szCs w:val="20"/>
          <w:color w:val="auto"/>
        </w:rPr>
      </w:pPr>
      <w:r>
        <w:rPr>
          <w:rFonts w:ascii="Arial" w:cs="Arial" w:eastAsia="Arial" w:hAnsi="Arial"/>
          <w:sz w:val="10"/>
          <w:szCs w:val="10"/>
          <w:color w:val="auto"/>
        </w:rPr>
        <w:t>talent in managing, growing and overseeing global businesses. •  Substantial experience as a chief financial officer and overseeing</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1"/>
          <w:szCs w:val="11"/>
          <w:color w:val="auto"/>
        </w:rPr>
        <w:t>financial and accounting issues for public companies.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-83185</wp:posOffset>
            </wp:positionV>
            <wp:extent cx="2143125" cy="571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  MongoDB, Inc.</w:t>
      </w:r>
    </w:p>
    <w:p>
      <w:pPr>
        <w:ind w:left="100"/>
        <w:spacing w:after="0"/>
        <w:rPr>
          <w:sz w:val="20"/>
          <w:szCs w:val="20"/>
          <w:color w:val="auto"/>
        </w:rPr>
      </w:pPr>
      <w:r>
        <w:rPr>
          <w:rFonts w:ascii="Arial" w:cs="Arial" w:eastAsia="Arial" w:hAnsi="Arial"/>
          <w:sz w:val="11"/>
          <w:szCs w:val="11"/>
          <w:color w:val="auto"/>
        </w:rPr>
        <w:t>-  Audit Committee Chair</w:t>
      </w:r>
    </w:p>
    <w:p>
      <w:pPr>
        <w:spacing w:after="0"/>
        <w:rPr>
          <w:sz w:val="20"/>
          <w:szCs w:val="20"/>
          <w:color w:val="auto"/>
        </w:rPr>
      </w:pPr>
      <w:r>
        <w:rPr>
          <w:rFonts w:ascii="Arial" w:cs="Arial" w:eastAsia="Arial" w:hAnsi="Arial"/>
          <w:sz w:val="11"/>
          <w:szCs w:val="11"/>
          <w:color w:val="auto"/>
        </w:rPr>
        <w:t>•  New Relic, Inc.</w:t>
      </w:r>
    </w:p>
    <w:p>
      <w:pPr>
        <w:ind w:left="100"/>
        <w:spacing w:after="0"/>
        <w:rPr>
          <w:sz w:val="20"/>
          <w:szCs w:val="20"/>
          <w:color w:val="auto"/>
        </w:rPr>
      </w:pPr>
      <w:r>
        <w:rPr>
          <w:rFonts w:ascii="Arial" w:cs="Arial" w:eastAsia="Arial" w:hAnsi="Arial"/>
          <w:sz w:val="11"/>
          <w:szCs w:val="11"/>
          <w:color w:val="auto"/>
        </w:rPr>
        <w:t>-  Audit Committee</w:t>
      </w:r>
    </w:p>
    <w:p>
      <w:pPr>
        <w:spacing w:after="0" w:line="137" w:lineRule="exact"/>
        <w:rPr>
          <w:sz w:val="20"/>
          <w:szCs w:val="20"/>
          <w:color w:val="auto"/>
        </w:rPr>
      </w:pPr>
    </w:p>
    <w:p>
      <w:pPr>
        <w:ind w:right="859"/>
        <w:spacing w:after="0" w:line="248" w:lineRule="auto"/>
        <w:rPr>
          <w:sz w:val="20"/>
          <w:szCs w:val="20"/>
          <w:color w:val="auto"/>
        </w:rPr>
      </w:pPr>
      <w:r>
        <w:rPr>
          <w:rFonts w:ascii="Arial" w:cs="Arial" w:eastAsia="Arial" w:hAnsi="Arial"/>
          <w:sz w:val="12"/>
          <w:szCs w:val="12"/>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-177165</wp:posOffset>
            </wp:positionV>
            <wp:extent cx="2143125" cy="571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None</w:t>
      </w:r>
    </w:p>
    <w:p>
      <w:pPr>
        <w:spacing w:after="0" w:line="200" w:lineRule="exact"/>
        <w:rPr>
          <w:sz w:val="20"/>
          <w:szCs w:val="20"/>
          <w:color w:val="auto"/>
        </w:rPr>
      </w:pPr>
    </w:p>
    <w:p>
      <w:pPr>
        <w:sectPr>
          <w:pgSz w:w="11900" w:h="16838" w:orient="portrait"/>
          <w:cols w:equalWidth="0" w:num="2">
            <w:col w:w="5260" w:space="720"/>
            <w:col w:w="4179"/>
          </w:cols>
          <w:pgMar w:left="300" w:top="372" w:right="1440"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FCFCFC"/>
        </w:rPr>
        <w:t>4</w:t>
      </w:r>
    </w:p>
    <w:p>
      <w:pPr>
        <w:sectPr>
          <w:pgSz w:w="11900" w:h="16838" w:orient="portrait"/>
          <w:cols w:equalWidth="0" w:num="1">
            <w:col w:w="10159"/>
          </w:cols>
          <w:pgMar w:left="300" w:top="372"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232"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009BDE"/>
        </w:rPr>
        <w:t>Christian P. Cocks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-111125</wp:posOffset>
            </wp:positionV>
            <wp:extent cx="11430" cy="1143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-88265</wp:posOffset>
            </wp:positionV>
            <wp:extent cx="11430" cy="1143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-65405</wp:posOffset>
            </wp:positionV>
            <wp:extent cx="11430" cy="1143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-42545</wp:posOffset>
            </wp:positionV>
            <wp:extent cx="11430" cy="1143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-19685</wp:posOffset>
            </wp:positionV>
            <wp:extent cx="11430" cy="1143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wp:posOffset>
            </wp:positionV>
            <wp:extent cx="11430" cy="1143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25400</wp:posOffset>
            </wp:positionV>
            <wp:extent cx="11430" cy="1143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-111760</wp:posOffset>
            </wp:positionV>
            <wp:extent cx="622935" cy="6229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22935" cy="622935"/>
                    </a:xfrm>
                    <a:prstGeom prst="rect">
                      <a:avLst/>
                    </a:prstGeom>
                    <a:noFill/>
                  </pic:spPr>
                </pic:pic>
              </a:graphicData>
            </a:graphic>
          </wp:anchor>
        </w:drawing>
      </w:r>
    </w:p>
    <w:p>
      <w:pPr>
        <w:spacing w:after="0" w:line="28"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-76835</wp:posOffset>
            </wp:positionV>
            <wp:extent cx="11430" cy="1143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-53975</wp:posOffset>
            </wp:positionV>
            <wp:extent cx="11430" cy="1143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-31115</wp:posOffset>
            </wp:positionV>
            <wp:extent cx="11430" cy="1143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-8255</wp:posOffset>
            </wp:positionV>
            <wp:extent cx="11430" cy="1143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13970</wp:posOffset>
            </wp:positionV>
            <wp:extent cx="11430" cy="1143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20"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-82550</wp:posOffset>
            </wp:positionV>
            <wp:extent cx="11430" cy="1143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-59690</wp:posOffset>
            </wp:positionV>
            <wp:extent cx="11430" cy="1143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-36830</wp:posOffset>
            </wp:positionV>
            <wp:extent cx="11430" cy="1143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-13970</wp:posOffset>
            </wp:positionV>
            <wp:extent cx="11430" cy="1143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8255</wp:posOffset>
            </wp:positionV>
            <wp:extent cx="11430" cy="1143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20"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-88265</wp:posOffset>
            </wp:positionV>
            <wp:extent cx="11430" cy="1143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-65405</wp:posOffset>
            </wp:positionV>
            <wp:extent cx="11430" cy="1143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-42545</wp:posOffset>
            </wp:positionV>
            <wp:extent cx="11430" cy="1143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-19685</wp:posOffset>
            </wp:positionV>
            <wp:extent cx="11430" cy="1143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wp:posOffset>
            </wp:positionV>
            <wp:extent cx="11430" cy="1143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3140"/>
        <w:spacing w:after="0"/>
        <w:rPr>
          <w:sz w:val="20"/>
          <w:szCs w:val="20"/>
          <w:color w:val="auto"/>
        </w:rPr>
      </w:pPr>
      <w:r>
        <w:rPr>
          <w:rFonts w:ascii="Arial" w:cs="Arial" w:eastAsia="Arial" w:hAnsi="Arial"/>
          <w:sz w:val="11"/>
          <w:szCs w:val="11"/>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-63500</wp:posOffset>
            </wp:positionV>
            <wp:extent cx="11430" cy="1143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-40640</wp:posOffset>
            </wp:positionV>
            <wp:extent cx="11430" cy="1143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11430" cy="1143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4445</wp:posOffset>
            </wp:positionV>
            <wp:extent cx="11430" cy="1143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27305</wp:posOffset>
            </wp:positionV>
            <wp:extent cx="11430" cy="1143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50165</wp:posOffset>
            </wp:positionV>
            <wp:extent cx="11430" cy="1143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73025</wp:posOffset>
            </wp:positionV>
            <wp:extent cx="11430" cy="1143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95885</wp:posOffset>
            </wp:positionV>
            <wp:extent cx="11430" cy="1143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118745</wp:posOffset>
            </wp:positionV>
            <wp:extent cx="11430" cy="2286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18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-54610</wp:posOffset>
            </wp:positionV>
            <wp:extent cx="11430" cy="1143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-31750</wp:posOffset>
            </wp:positionV>
            <wp:extent cx="11430" cy="1143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-8890</wp:posOffset>
            </wp:positionV>
            <wp:extent cx="11430" cy="1143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right="80"/>
        <w:spacing w:after="0" w:line="239" w:lineRule="auto"/>
        <w:rPr>
          <w:sz w:val="20"/>
          <w:szCs w:val="20"/>
          <w:color w:val="auto"/>
        </w:rPr>
      </w:pPr>
      <w:r>
        <w:rPr>
          <w:rFonts w:ascii="Arial" w:cs="Arial" w:eastAsia="Arial" w:hAnsi="Arial"/>
          <w:sz w:val="11"/>
          <w:szCs w:val="11"/>
          <w:color w:val="auto"/>
        </w:rPr>
        <w:t>Mr. Cocks has served Chief Executive Officer of Hasbro since February 2022. Prior to that, he served as President and Chief Operating Officer of Wizards of the Coast and Digital Gaming since 2021 and prior to that served as President of Wizards of the Coast since 2016, when he joined Hasbro from Microsoft. During his 14 years at Microsoft, Mr. Cocks led a global sales and technical engagement team as Vice President, OEM Technical Sales and served in product management and marketing leadership positions at MSN and Xbox Games, where he worked on hit franchises like HALO and FABLE.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-794385</wp:posOffset>
            </wp:positionV>
            <wp:extent cx="11430" cy="1143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-771525</wp:posOffset>
            </wp:positionV>
            <wp:extent cx="11430" cy="1143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-748665</wp:posOffset>
            </wp:positionV>
            <wp:extent cx="11430" cy="1143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-725805</wp:posOffset>
            </wp:positionV>
            <wp:extent cx="11430" cy="1143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-702945</wp:posOffset>
            </wp:positionV>
            <wp:extent cx="11430" cy="1143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-680085</wp:posOffset>
            </wp:positionV>
            <wp:extent cx="11430" cy="1143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-657225</wp:posOffset>
            </wp:positionV>
            <wp:extent cx="11430" cy="1143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-634365</wp:posOffset>
            </wp:positionV>
            <wp:extent cx="11430" cy="1143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-611505</wp:posOffset>
            </wp:positionV>
            <wp:extent cx="11430" cy="1143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-588645</wp:posOffset>
            </wp:positionV>
            <wp:extent cx="11430" cy="1143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-565785</wp:posOffset>
            </wp:positionV>
            <wp:extent cx="11430" cy="1143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-542925</wp:posOffset>
            </wp:positionV>
            <wp:extent cx="11430" cy="1143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-520065</wp:posOffset>
            </wp:positionV>
            <wp:extent cx="11430" cy="1143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-497205</wp:posOffset>
            </wp:positionV>
            <wp:extent cx="11430" cy="1143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-474345</wp:posOffset>
            </wp:positionV>
            <wp:extent cx="11430" cy="1143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-451485</wp:posOffset>
            </wp:positionV>
            <wp:extent cx="11430" cy="1143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-428625</wp:posOffset>
            </wp:positionV>
            <wp:extent cx="11430" cy="1143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-405765</wp:posOffset>
            </wp:positionV>
            <wp:extent cx="11430" cy="1143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-382905</wp:posOffset>
            </wp:positionV>
            <wp:extent cx="11430" cy="1143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-360045</wp:posOffset>
            </wp:positionV>
            <wp:extent cx="11430" cy="1143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-337185</wp:posOffset>
            </wp:positionV>
            <wp:extent cx="11430" cy="1143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-314325</wp:posOffset>
            </wp:positionV>
            <wp:extent cx="11430" cy="1143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-291465</wp:posOffset>
            </wp:positionV>
            <wp:extent cx="11430" cy="1143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-268605</wp:posOffset>
            </wp:positionV>
            <wp:extent cx="11430" cy="1143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-245745</wp:posOffset>
            </wp:positionV>
            <wp:extent cx="11430" cy="1143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-222885</wp:posOffset>
            </wp:positionV>
            <wp:extent cx="11430" cy="1143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-200025</wp:posOffset>
            </wp:positionV>
            <wp:extent cx="11430" cy="1143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-177165</wp:posOffset>
            </wp:positionV>
            <wp:extent cx="11430" cy="1143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-154305</wp:posOffset>
            </wp:positionV>
            <wp:extent cx="11430" cy="1143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-131445</wp:posOffset>
            </wp:positionV>
            <wp:extent cx="11430" cy="1143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-108585</wp:posOffset>
            </wp:positionV>
            <wp:extent cx="11430" cy="1143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-85725</wp:posOffset>
            </wp:positionV>
            <wp:extent cx="11430" cy="1143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-62865</wp:posOffset>
            </wp:positionV>
            <wp:extent cx="11430" cy="1143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-40005</wp:posOffset>
            </wp:positionV>
            <wp:extent cx="11430" cy="1143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-17145</wp:posOffset>
            </wp:positionV>
            <wp:extent cx="11430" cy="1143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5080</wp:posOffset>
            </wp:positionV>
            <wp:extent cx="11430" cy="1143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27940</wp:posOffset>
            </wp:positionV>
            <wp:extent cx="11430" cy="1143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50800</wp:posOffset>
            </wp:positionV>
            <wp:extent cx="11430" cy="1143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73660</wp:posOffset>
            </wp:positionV>
            <wp:extent cx="11430" cy="1143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96520</wp:posOffset>
            </wp:positionV>
            <wp:extent cx="11430" cy="2286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14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-54610</wp:posOffset>
            </wp:positionV>
            <wp:extent cx="11430" cy="1143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-31750</wp:posOffset>
            </wp:positionV>
            <wp:extent cx="11430" cy="1143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-8890</wp:posOffset>
            </wp:positionV>
            <wp:extent cx="11430" cy="1143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  Highly strategic leader, who understands how to create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-74295</wp:posOffset>
            </wp:positionV>
            <wp:extent cx="11430" cy="1143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-51435</wp:posOffset>
            </wp:positionV>
            <wp:extent cx="11430" cy="1143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-28575</wp:posOffset>
            </wp:positionV>
            <wp:extent cx="11430" cy="1143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-5715</wp:posOffset>
            </wp:positionV>
            <wp:extent cx="11430" cy="1143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nurture brands to drive fan and consumer connection across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-63500</wp:posOffset>
            </wp:positionV>
            <wp:extent cx="11430" cy="1143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-40640</wp:posOffset>
            </wp:positionV>
            <wp:extent cx="11430" cy="1143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11430" cy="1143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-74930</wp:posOffset>
            </wp:positionV>
            <wp:extent cx="11430" cy="1143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-52070</wp:posOffset>
            </wp:positionV>
            <wp:extent cx="11430" cy="1143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-29210</wp:posOffset>
            </wp:positionV>
            <wp:extent cx="11430" cy="1143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-6350</wp:posOffset>
            </wp:positionV>
            <wp:extent cx="11430" cy="1143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jc w:val="both"/>
        <w:ind w:left="2080" w:right="220" w:hanging="95"/>
        <w:spacing w:after="0" w:line="239" w:lineRule="auto"/>
        <w:rPr>
          <w:sz w:val="20"/>
          <w:szCs w:val="20"/>
          <w:color w:val="auto"/>
        </w:rPr>
      </w:pPr>
      <w:r>
        <w:rPr>
          <w:rFonts w:ascii="Arial" w:cs="Arial" w:eastAsia="Arial" w:hAnsi="Arial"/>
          <w:sz w:val="11"/>
          <w:szCs w:val="11"/>
          <w:color w:val="auto"/>
        </w:rPr>
        <w:t>•  Ability to channel gaming, product and storytelling passion into consumer experiences — across gaming, consumer products and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-222885</wp:posOffset>
            </wp:positionV>
            <wp:extent cx="11430" cy="1143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-200025</wp:posOffset>
            </wp:positionV>
            <wp:extent cx="11430" cy="1143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-177165</wp:posOffset>
            </wp:positionV>
            <wp:extent cx="11430" cy="1143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-154305</wp:posOffset>
            </wp:positionV>
            <wp:extent cx="11430" cy="1143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-131445</wp:posOffset>
            </wp:positionV>
            <wp:extent cx="11430" cy="1143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-108585</wp:posOffset>
            </wp:positionV>
            <wp:extent cx="11430" cy="1143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-85725</wp:posOffset>
            </wp:positionV>
            <wp:extent cx="11430" cy="1143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-62865</wp:posOffset>
            </wp:positionV>
            <wp:extent cx="11430" cy="1143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-40005</wp:posOffset>
            </wp:positionV>
            <wp:extent cx="11430" cy="1143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-17145</wp:posOffset>
            </wp:positionV>
            <wp:extent cx="11430" cy="1143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right="80" w:hanging="95"/>
        <w:spacing w:after="0" w:line="239" w:lineRule="auto"/>
        <w:rPr>
          <w:sz w:val="20"/>
          <w:szCs w:val="20"/>
          <w:color w:val="auto"/>
        </w:rPr>
      </w:pPr>
      <w:r>
        <w:rPr>
          <w:rFonts w:ascii="Arial" w:cs="Arial" w:eastAsia="Arial" w:hAnsi="Arial"/>
          <w:sz w:val="11"/>
          <w:szCs w:val="11"/>
          <w:color w:val="auto"/>
        </w:rPr>
        <w:t>•  Under his executive leadership as President and CEO of Wizards of the Coast, doubled global revenue in under five years, surpassing $1 billion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-234315</wp:posOffset>
            </wp:positionV>
            <wp:extent cx="11430" cy="1143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-211455</wp:posOffset>
            </wp:positionV>
            <wp:extent cx="11430" cy="1143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-188595</wp:posOffset>
            </wp:positionV>
            <wp:extent cx="11430" cy="1143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-165735</wp:posOffset>
            </wp:positionV>
            <wp:extent cx="11430" cy="1143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-142875</wp:posOffset>
            </wp:positionV>
            <wp:extent cx="11430" cy="1143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-120015</wp:posOffset>
            </wp:positionV>
            <wp:extent cx="11430" cy="1143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-97155</wp:posOffset>
            </wp:positionV>
            <wp:extent cx="11430" cy="1143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-74295</wp:posOffset>
            </wp:positionV>
            <wp:extent cx="11430" cy="1143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-51435</wp:posOffset>
            </wp:positionV>
            <wp:extent cx="11430" cy="1143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-28575</wp:posOffset>
            </wp:positionV>
            <wp:extent cx="11430" cy="1143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-5715</wp:posOffset>
            </wp:positionV>
            <wp:extent cx="11430" cy="1143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right="80" w:hanging="95"/>
        <w:spacing w:after="0" w:line="242" w:lineRule="auto"/>
        <w:rPr>
          <w:sz w:val="20"/>
          <w:szCs w:val="20"/>
          <w:color w:val="auto"/>
        </w:rPr>
      </w:pPr>
      <w:r>
        <w:rPr>
          <w:rFonts w:ascii="Arial" w:cs="Arial" w:eastAsia="Arial" w:hAnsi="Arial"/>
          <w:sz w:val="11"/>
          <w:szCs w:val="11"/>
          <w:color w:val="auto"/>
        </w:rPr>
        <w:t>•  Unique vision, skill and experience in tabletop and digital gaming, combined with extensive omni-channel experience and proven track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-226060</wp:posOffset>
            </wp:positionV>
            <wp:extent cx="11430" cy="1143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-203200</wp:posOffset>
            </wp:positionV>
            <wp:extent cx="11430" cy="1143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-180340</wp:posOffset>
            </wp:positionV>
            <wp:extent cx="11430" cy="1143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-157480</wp:posOffset>
            </wp:positionV>
            <wp:extent cx="11430" cy="1143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-134620</wp:posOffset>
            </wp:positionV>
            <wp:extent cx="11430" cy="1143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-111760</wp:posOffset>
            </wp:positionV>
            <wp:extent cx="11430" cy="1143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-88900</wp:posOffset>
            </wp:positionV>
            <wp:extent cx="11430" cy="1143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-66040</wp:posOffset>
            </wp:positionV>
            <wp:extent cx="11430" cy="1143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-43180</wp:posOffset>
            </wp:positionV>
            <wp:extent cx="11430" cy="1143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-20320</wp:posOffset>
            </wp:positionV>
            <wp:extent cx="11430" cy="1143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1905</wp:posOffset>
            </wp:positionV>
            <wp:extent cx="11430" cy="1143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24765</wp:posOffset>
            </wp:positionV>
            <wp:extent cx="11430" cy="1143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47625</wp:posOffset>
            </wp:positionV>
            <wp:extent cx="11430" cy="1143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70485</wp:posOffset>
            </wp:positionV>
            <wp:extent cx="11430" cy="1143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93345</wp:posOffset>
            </wp:positionV>
            <wp:extent cx="11430" cy="2286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14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-66040</wp:posOffset>
            </wp:positionV>
            <wp:extent cx="11430" cy="1143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-43180</wp:posOffset>
            </wp:positionV>
            <wp:extent cx="11430" cy="1143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-20320</wp:posOffset>
            </wp:positionV>
            <wp:extent cx="11430" cy="1143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1905</wp:posOffset>
            </wp:positionV>
            <wp:extent cx="11430" cy="1143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-63500</wp:posOffset>
            </wp:positionV>
            <wp:extent cx="11430" cy="1143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-40640</wp:posOffset>
            </wp:positionV>
            <wp:extent cx="11430" cy="1143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11430" cy="1143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4445</wp:posOffset>
            </wp:positionV>
            <wp:extent cx="11430" cy="1143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27305</wp:posOffset>
            </wp:positionV>
            <wp:extent cx="11430" cy="1143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50165</wp:posOffset>
            </wp:positionV>
            <wp:extent cx="11430" cy="1143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73025</wp:posOffset>
            </wp:positionV>
            <wp:extent cx="11430" cy="1143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95885</wp:posOffset>
            </wp:positionV>
            <wp:extent cx="11430" cy="2286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14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FORMER PUBLIC COMPANY BOARDS HELD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-60325</wp:posOffset>
            </wp:positionV>
            <wp:extent cx="11430" cy="1143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-37465</wp:posOffset>
            </wp:positionV>
            <wp:extent cx="11430" cy="1143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-14605</wp:posOffset>
            </wp:positionV>
            <wp:extent cx="11430" cy="1143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b w:val="1"/>
          <w:bCs w:val="1"/>
          <w:color w:val="009BDE"/>
        </w:rPr>
        <w:t>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-85725</wp:posOffset>
            </wp:positionV>
            <wp:extent cx="11430" cy="1143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-62865</wp:posOffset>
            </wp:positionV>
            <wp:extent cx="11430" cy="1143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-40005</wp:posOffset>
            </wp:positionV>
            <wp:extent cx="11430" cy="1143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-17145</wp:posOffset>
            </wp:positionV>
            <wp:extent cx="11430" cy="1143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1273175</wp:posOffset>
            </wp:positionV>
            <wp:extent cx="3971925" cy="21717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3971925" cy="21717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-74930</wp:posOffset>
            </wp:positionV>
            <wp:extent cx="11430" cy="1143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-52070</wp:posOffset>
            </wp:positionV>
            <wp:extent cx="11430" cy="1143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-29210</wp:posOffset>
            </wp:positionV>
            <wp:extent cx="11430" cy="1143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-6350</wp:posOffset>
            </wp:positionV>
            <wp:extent cx="11430" cy="1143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15875</wp:posOffset>
            </wp:positionV>
            <wp:extent cx="11430" cy="1143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38735</wp:posOffset>
            </wp:positionV>
            <wp:extent cx="11430" cy="1143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61595</wp:posOffset>
            </wp:positionV>
            <wp:extent cx="11430" cy="1143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84455</wp:posOffset>
            </wp:positionV>
            <wp:extent cx="11430" cy="1143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107315</wp:posOffset>
            </wp:positionV>
            <wp:extent cx="11430" cy="1143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130175</wp:posOffset>
            </wp:positionV>
            <wp:extent cx="11430" cy="1143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153035</wp:posOffset>
            </wp:positionV>
            <wp:extent cx="11430" cy="1143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175895</wp:posOffset>
            </wp:positionV>
            <wp:extent cx="11430" cy="1143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198755</wp:posOffset>
            </wp:positionV>
            <wp:extent cx="11430" cy="1143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221615</wp:posOffset>
            </wp:positionV>
            <wp:extent cx="11430" cy="1143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244475</wp:posOffset>
            </wp:positionV>
            <wp:extent cx="11430" cy="1143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267335</wp:posOffset>
            </wp:positionV>
            <wp:extent cx="11430" cy="1143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290195</wp:posOffset>
            </wp:positionV>
            <wp:extent cx="11430" cy="1143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313055</wp:posOffset>
            </wp:positionV>
            <wp:extent cx="11430" cy="1143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335915</wp:posOffset>
            </wp:positionV>
            <wp:extent cx="11430" cy="1143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358775</wp:posOffset>
            </wp:positionV>
            <wp:extent cx="11430" cy="1143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381635</wp:posOffset>
            </wp:positionV>
            <wp:extent cx="11430" cy="1143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404495</wp:posOffset>
            </wp:positionV>
            <wp:extent cx="11430" cy="1143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427355</wp:posOffset>
            </wp:positionV>
            <wp:extent cx="11430" cy="1143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450215</wp:posOffset>
            </wp:positionV>
            <wp:extent cx="11430" cy="1143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473075</wp:posOffset>
            </wp:positionV>
            <wp:extent cx="11430" cy="1143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495935</wp:posOffset>
            </wp:positionV>
            <wp:extent cx="11430" cy="1143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518795</wp:posOffset>
            </wp:positionV>
            <wp:extent cx="11430" cy="1143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541655</wp:posOffset>
            </wp:positionV>
            <wp:extent cx="11430" cy="1143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564515</wp:posOffset>
            </wp:positionV>
            <wp:extent cx="11430" cy="1143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587375</wp:posOffset>
            </wp:positionV>
            <wp:extent cx="11430" cy="1143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610235</wp:posOffset>
            </wp:positionV>
            <wp:extent cx="11430" cy="1143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633095</wp:posOffset>
            </wp:positionV>
            <wp:extent cx="11430" cy="1143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655955</wp:posOffset>
            </wp:positionV>
            <wp:extent cx="11430" cy="1143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678815</wp:posOffset>
            </wp:positionV>
            <wp:extent cx="11430" cy="1143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701675</wp:posOffset>
            </wp:positionV>
            <wp:extent cx="11430" cy="1143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724535</wp:posOffset>
            </wp:positionV>
            <wp:extent cx="11430" cy="1143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747395</wp:posOffset>
            </wp:positionV>
            <wp:extent cx="11430" cy="1143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770255</wp:posOffset>
            </wp:positionV>
            <wp:extent cx="11430" cy="1143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793115</wp:posOffset>
            </wp:positionV>
            <wp:extent cx="11430" cy="1143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815975</wp:posOffset>
            </wp:positionV>
            <wp:extent cx="11430" cy="1143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838835</wp:posOffset>
            </wp:positionV>
            <wp:extent cx="11430" cy="1143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861695</wp:posOffset>
            </wp:positionV>
            <wp:extent cx="11430" cy="1143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884555</wp:posOffset>
            </wp:positionV>
            <wp:extent cx="11430" cy="1143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907415</wp:posOffset>
            </wp:positionV>
            <wp:extent cx="11430" cy="1143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930275</wp:posOffset>
            </wp:positionV>
            <wp:extent cx="11430" cy="1143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953135</wp:posOffset>
            </wp:positionV>
            <wp:extent cx="11430" cy="1143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975995</wp:posOffset>
            </wp:positionV>
            <wp:extent cx="11430" cy="1143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998855</wp:posOffset>
            </wp:positionV>
            <wp:extent cx="11430" cy="1143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1021715</wp:posOffset>
            </wp:positionV>
            <wp:extent cx="11430" cy="1143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1044575</wp:posOffset>
            </wp:positionV>
            <wp:extent cx="11430" cy="1143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1067435</wp:posOffset>
            </wp:positionV>
            <wp:extent cx="11430" cy="1143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1090295</wp:posOffset>
            </wp:positionV>
            <wp:extent cx="11430" cy="1143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1113155</wp:posOffset>
            </wp:positionV>
            <wp:extent cx="11430" cy="1143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1136015</wp:posOffset>
            </wp:positionV>
            <wp:extent cx="11430" cy="1143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FCFCFC"/>
        </w:rPr>
        <w:t>5</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9BDE"/>
        </w:rPr>
        <w:t>Lisa Gersh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-505460</wp:posOffset>
            </wp:positionV>
            <wp:extent cx="7214870" cy="4127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14870" cy="41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-111760</wp:posOffset>
            </wp:positionV>
            <wp:extent cx="622935" cy="62293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622935" cy="622935"/>
                    </a:xfrm>
                    <a:prstGeom prst="rect">
                      <a:avLst/>
                    </a:prstGeom>
                    <a:noFill/>
                  </pic:spPr>
                </pic:pic>
              </a:graphicData>
            </a:graphic>
          </wp:anchor>
        </w:drawing>
      </w:r>
    </w:p>
    <w:p>
      <w:pPr>
        <w:spacing w:after="0" w:line="28"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64</w:t>
      </w:r>
    </w:p>
    <w:p>
      <w:pPr>
        <w:spacing w:after="0" w:line="40"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2010</w:t>
      </w:r>
    </w:p>
    <w:p>
      <w:pPr>
        <w:spacing w:after="0" w:line="40"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Committees:</w:t>
      </w:r>
    </w:p>
    <w:p>
      <w:pPr>
        <w:spacing w:after="0" w:line="14" w:lineRule="exact"/>
        <w:rPr>
          <w:sz w:val="20"/>
          <w:szCs w:val="20"/>
          <w:color w:val="auto"/>
        </w:rPr>
      </w:pPr>
    </w:p>
    <w:p>
      <w:pPr>
        <w:ind w:left="1200"/>
        <w:spacing w:after="0"/>
        <w:rPr>
          <w:sz w:val="20"/>
          <w:szCs w:val="20"/>
          <w:color w:val="auto"/>
        </w:rPr>
      </w:pPr>
      <w:r>
        <w:rPr>
          <w:rFonts w:ascii="Arial" w:cs="Arial" w:eastAsia="Arial" w:hAnsi="Arial"/>
          <w:sz w:val="11"/>
          <w:szCs w:val="11"/>
          <w:color w:val="auto"/>
        </w:rPr>
        <w:t>•  Audit</w:t>
      </w:r>
    </w:p>
    <w:p>
      <w:pPr>
        <w:ind w:left="1200"/>
        <w:spacing w:after="0"/>
        <w:rPr>
          <w:sz w:val="20"/>
          <w:szCs w:val="20"/>
          <w:color w:val="auto"/>
        </w:rPr>
      </w:pPr>
      <w:r>
        <w:rPr>
          <w:rFonts w:ascii="Arial" w:cs="Arial" w:eastAsia="Arial" w:hAnsi="Arial"/>
          <w:sz w:val="11"/>
          <w:szCs w:val="11"/>
          <w:color w:val="auto"/>
        </w:rPr>
        <w:t>•  Compensation (Chair)</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-83185</wp:posOffset>
            </wp:positionV>
            <wp:extent cx="2143125" cy="571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ind w:right="859"/>
        <w:spacing w:after="0" w:line="239" w:lineRule="auto"/>
        <w:rPr>
          <w:sz w:val="20"/>
          <w:szCs w:val="20"/>
          <w:color w:val="auto"/>
        </w:rPr>
      </w:pPr>
      <w:r>
        <w:rPr>
          <w:rFonts w:ascii="Arial" w:cs="Arial" w:eastAsia="Arial" w:hAnsi="Arial"/>
          <w:sz w:val="11"/>
          <w:szCs w:val="11"/>
          <w:color w:val="auto"/>
        </w:rPr>
        <w:t>Lisa Gersh is an outside advisor to companies investing in the media space. She previously served as the Chief Executive Officer of Alexander Wang (a global fashion brand) from October 2017 to October 2018. Ms. Gersh served as the Chief Executive Officer of Goop, Inc. (a lifestyle publication curated by Gwyneth Paltrow) from 2014 to 2016, and President and Chief Executive Officer of Martha Stewart Living Omnimedia, Inc. (an integrated media and merchandising company) from 2012 to 2013. Prior to that, she served as President and Chief Operating Officer of Martha Stewart Living Omnimedia, Inc. from 2011 to 2012, and a director of Martha Stewart Living Omnimedia, Inc. from 2011 to 2013.</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-83185</wp:posOffset>
            </wp:positionV>
            <wp:extent cx="2143125" cy="571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ind w:left="100" w:right="939" w:hanging="95"/>
        <w:spacing w:after="0" w:line="239" w:lineRule="auto"/>
        <w:rPr>
          <w:sz w:val="20"/>
          <w:szCs w:val="20"/>
          <w:color w:val="auto"/>
        </w:rPr>
      </w:pPr>
      <w:r>
        <w:rPr>
          <w:rFonts w:ascii="Arial" w:cs="Arial" w:eastAsia="Arial" w:hAnsi="Arial"/>
          <w:sz w:val="11"/>
          <w:szCs w:val="11"/>
          <w:color w:val="auto"/>
        </w:rPr>
        <w:t>•  Extensive experience in the media, branded products and entertainment industries, including television, digital entertainment and publishing.</w:t>
      </w:r>
    </w:p>
    <w:p>
      <w:pPr>
        <w:ind w:left="100" w:right="939" w:hanging="95"/>
        <w:spacing w:after="0" w:line="262" w:lineRule="auto"/>
        <w:rPr>
          <w:sz w:val="20"/>
          <w:szCs w:val="20"/>
          <w:color w:val="auto"/>
        </w:rPr>
      </w:pPr>
      <w:r>
        <w:rPr>
          <w:rFonts w:ascii="Arial" w:cs="Arial" w:eastAsia="Arial" w:hAnsi="Arial"/>
          <w:sz w:val="10"/>
          <w:szCs w:val="10"/>
          <w:color w:val="auto"/>
        </w:rPr>
        <w:t>•  Operating and executive positions with multiple leading media and brand-driven companies, including as Chief Executive Officer of Alexander Wang, Chief Executive Officer of Goop, Inc., President and Chief Executive Officer of Martha Stewart Living Omnimedia and President and co-founder of Oxygen Media.</w:t>
      </w:r>
    </w:p>
    <w:p>
      <w:pPr>
        <w:spacing w:after="0" w:line="2" w:lineRule="exact"/>
        <w:rPr>
          <w:sz w:val="20"/>
          <w:szCs w:val="20"/>
          <w:color w:val="auto"/>
        </w:rPr>
      </w:pPr>
    </w:p>
    <w:p>
      <w:pPr>
        <w:ind w:left="100" w:right="859" w:hanging="95"/>
        <w:spacing w:after="0" w:line="239" w:lineRule="auto"/>
        <w:rPr>
          <w:sz w:val="20"/>
          <w:szCs w:val="20"/>
          <w:color w:val="auto"/>
        </w:rPr>
      </w:pPr>
      <w:r>
        <w:rPr>
          <w:rFonts w:ascii="Arial" w:cs="Arial" w:eastAsia="Arial" w:hAnsi="Arial"/>
          <w:sz w:val="11"/>
          <w:szCs w:val="11"/>
          <w:color w:val="auto"/>
        </w:rPr>
        <w:t>•  Expertise in business and strategic planning, in media, retail, brand-driven and entertainment industries, including the cable television and digital industries.</w:t>
      </w:r>
    </w:p>
    <w:p>
      <w:pPr>
        <w:ind w:left="100" w:right="879" w:hanging="95"/>
        <w:spacing w:after="0" w:line="245" w:lineRule="auto"/>
        <w:rPr>
          <w:sz w:val="20"/>
          <w:szCs w:val="20"/>
          <w:color w:val="auto"/>
        </w:rPr>
      </w:pPr>
      <w:r>
        <w:rPr>
          <w:rFonts w:ascii="Arial" w:cs="Arial" w:eastAsia="Arial" w:hAnsi="Arial"/>
          <w:sz w:val="11"/>
          <w:szCs w:val="11"/>
          <w:color w:val="auto"/>
        </w:rPr>
        <w:t>•  Skilled and highly knowledgeable in marketing and branding, media trends and in building global brand-driven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-83185</wp:posOffset>
            </wp:positionV>
            <wp:extent cx="2143125" cy="571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  MoneyLion Inc.</w:t>
      </w:r>
    </w:p>
    <w:p>
      <w:pPr>
        <w:ind w:left="100"/>
        <w:spacing w:after="0"/>
        <w:rPr>
          <w:sz w:val="20"/>
          <w:szCs w:val="20"/>
          <w:color w:val="auto"/>
        </w:rPr>
      </w:pPr>
      <w:r>
        <w:rPr>
          <w:rFonts w:ascii="Arial" w:cs="Arial" w:eastAsia="Arial" w:hAnsi="Arial"/>
          <w:sz w:val="11"/>
          <w:szCs w:val="11"/>
          <w:color w:val="auto"/>
        </w:rPr>
        <w:t>-  Nominating and Governance Committee Chair</w:t>
      </w:r>
    </w:p>
    <w:p>
      <w:pPr>
        <w:ind w:left="100"/>
        <w:spacing w:after="0"/>
        <w:rPr>
          <w:sz w:val="20"/>
          <w:szCs w:val="20"/>
          <w:color w:val="auto"/>
        </w:rPr>
      </w:pPr>
      <w:r>
        <w:rPr>
          <w:rFonts w:ascii="Arial" w:cs="Arial" w:eastAsia="Arial" w:hAnsi="Arial"/>
          <w:sz w:val="11"/>
          <w:szCs w:val="11"/>
          <w:color w:val="auto"/>
        </w:rPr>
        <w:t>-  Compensation Committee</w:t>
      </w:r>
    </w:p>
    <w:p>
      <w:pPr>
        <w:spacing w:after="0" w:line="164" w:lineRule="exact"/>
        <w:rPr>
          <w:sz w:val="20"/>
          <w:szCs w:val="20"/>
          <w:color w:val="auto"/>
        </w:rPr>
      </w:pPr>
    </w:p>
    <w:p>
      <w:pPr>
        <w:ind w:right="859"/>
        <w:spacing w:after="0" w:line="248" w:lineRule="auto"/>
        <w:rPr>
          <w:sz w:val="20"/>
          <w:szCs w:val="20"/>
          <w:color w:val="auto"/>
        </w:rPr>
      </w:pPr>
      <w:r>
        <w:rPr>
          <w:rFonts w:ascii="Arial" w:cs="Arial" w:eastAsia="Arial" w:hAnsi="Arial"/>
          <w:sz w:val="12"/>
          <w:szCs w:val="12"/>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-177165</wp:posOffset>
            </wp:positionV>
            <wp:extent cx="2143125" cy="571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  Establishment Labs Holdings Inc.</w:t>
      </w:r>
    </w:p>
    <w:p>
      <w:pPr>
        <w:sectPr>
          <w:pgSz w:w="11900" w:h="16838" w:orient="portrait"/>
          <w:cols w:equalWidth="0" w:num="2">
            <w:col w:w="5260" w:space="720"/>
            <w:col w:w="4179"/>
          </w:cols>
          <w:pgMar w:left="300" w:top="372" w:right="1440"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232"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009BDE"/>
        </w:rPr>
        <w:t>Elizabeth Hamren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-111125</wp:posOffset>
            </wp:positionV>
            <wp:extent cx="11430" cy="1143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-82550</wp:posOffset>
            </wp:positionV>
            <wp:extent cx="11430" cy="1143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-59690</wp:posOffset>
            </wp:positionV>
            <wp:extent cx="11430" cy="1143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-36830</wp:posOffset>
            </wp:positionV>
            <wp:extent cx="11430" cy="1143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-13970</wp:posOffset>
            </wp:positionV>
            <wp:extent cx="11430" cy="1143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8255</wp:posOffset>
            </wp:positionV>
            <wp:extent cx="11430" cy="1143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-111760</wp:posOffset>
            </wp:positionV>
            <wp:extent cx="622935" cy="6229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22935" cy="622935"/>
                    </a:xfrm>
                    <a:prstGeom prst="rect">
                      <a:avLst/>
                    </a:prstGeom>
                    <a:noFill/>
                  </pic:spPr>
                </pic:pic>
              </a:graphicData>
            </a:graphic>
          </wp:anchor>
        </w:drawing>
      </w:r>
    </w:p>
    <w:p>
      <w:pPr>
        <w:spacing w:after="0" w:line="28"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-93980</wp:posOffset>
            </wp:positionV>
            <wp:extent cx="11430" cy="1143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-71120</wp:posOffset>
            </wp:positionV>
            <wp:extent cx="11430" cy="1143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-48260</wp:posOffset>
            </wp:positionV>
            <wp:extent cx="11430" cy="1143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-25400</wp:posOffset>
            </wp:positionV>
            <wp:extent cx="11430" cy="1143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wp:posOffset>
            </wp:positionV>
            <wp:extent cx="11430" cy="1143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19685</wp:posOffset>
            </wp:positionV>
            <wp:extent cx="11430" cy="1143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20"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-76835</wp:posOffset>
            </wp:positionV>
            <wp:extent cx="11430" cy="1143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-53975</wp:posOffset>
            </wp:positionV>
            <wp:extent cx="11430" cy="1143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-31115</wp:posOffset>
            </wp:positionV>
            <wp:extent cx="11430" cy="1143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-8255</wp:posOffset>
            </wp:positionV>
            <wp:extent cx="11430" cy="1143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13970</wp:posOffset>
            </wp:positionV>
            <wp:extent cx="11430" cy="1143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20"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-82550</wp:posOffset>
            </wp:positionV>
            <wp:extent cx="11430" cy="1143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-59690</wp:posOffset>
            </wp:positionV>
            <wp:extent cx="11430" cy="1143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-36830</wp:posOffset>
            </wp:positionV>
            <wp:extent cx="11430" cy="1143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-13970</wp:posOffset>
            </wp:positionV>
            <wp:extent cx="11430" cy="1143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8255</wp:posOffset>
            </wp:positionV>
            <wp:extent cx="11430" cy="1143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3140"/>
        <w:spacing w:after="0"/>
        <w:rPr>
          <w:sz w:val="20"/>
          <w:szCs w:val="20"/>
          <w:color w:val="auto"/>
        </w:rPr>
      </w:pPr>
      <w:r>
        <w:rPr>
          <w:rFonts w:ascii="Arial" w:cs="Arial" w:eastAsia="Arial" w:hAnsi="Arial"/>
          <w:sz w:val="11"/>
          <w:szCs w:val="11"/>
          <w:color w:val="auto"/>
        </w:rPr>
        <w: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-57150</wp:posOffset>
            </wp:positionV>
            <wp:extent cx="11430" cy="1143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-34290</wp:posOffset>
            </wp:positionV>
            <wp:extent cx="11430" cy="1143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-11430</wp:posOffset>
            </wp:positionV>
            <wp:extent cx="11430" cy="1143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3140"/>
        <w:spacing w:after="0"/>
        <w:rPr>
          <w:sz w:val="20"/>
          <w:szCs w:val="20"/>
          <w:color w:val="auto"/>
        </w:rPr>
      </w:pPr>
      <w:r>
        <w:rPr>
          <w:rFonts w:ascii="Arial" w:cs="Arial" w:eastAsia="Arial" w:hAnsi="Arial"/>
          <w:sz w:val="11"/>
          <w:szCs w:val="11"/>
          <w:color w:val="auto"/>
        </w:rPr>
        <w:t>•  Cybersecurity and Data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-69215</wp:posOffset>
            </wp:positionV>
            <wp:extent cx="11430" cy="1143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-46355</wp:posOffset>
            </wp:positionV>
            <wp:extent cx="11430" cy="1143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-23495</wp:posOffset>
            </wp:positionV>
            <wp:extent cx="11430" cy="1143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wp:posOffset>
            </wp:positionV>
            <wp:extent cx="11430" cy="1143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21590</wp:posOffset>
            </wp:positionV>
            <wp:extent cx="11430" cy="1143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44450</wp:posOffset>
            </wp:positionV>
            <wp:extent cx="11430" cy="2286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6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-60325</wp:posOffset>
            </wp:positionV>
            <wp:extent cx="11430" cy="1143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-37465</wp:posOffset>
            </wp:positionV>
            <wp:extent cx="11430" cy="1143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-14605</wp:posOffset>
            </wp:positionV>
            <wp:extent cx="11430" cy="1143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7620</wp:posOffset>
            </wp:positionV>
            <wp:extent cx="11430" cy="1143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right="60"/>
        <w:spacing w:after="0" w:line="265" w:lineRule="auto"/>
        <w:rPr>
          <w:sz w:val="20"/>
          <w:szCs w:val="20"/>
          <w:color w:val="auto"/>
        </w:rPr>
      </w:pPr>
      <w:r>
        <w:rPr>
          <w:rFonts w:ascii="Arial" w:cs="Arial" w:eastAsia="Arial" w:hAnsi="Arial"/>
          <w:sz w:val="10"/>
          <w:szCs w:val="10"/>
          <w:color w:val="auto"/>
        </w:rPr>
        <w:t>Elizabeth Hamren has served as Chief Executive Officer of Ring, Inc., an Amazon smart doorbell and home security company, since March 2023. Prior to that she served as Chief Operating Officer at Discord Inc., a voice, video and text communication service that enables people to gather virtually, including while gaming, since from 2021 to March 2023. Prior to joining Discord, Ms. Hamren served as a Corporate Vice President at Microsoft Corporation from March 2017 to December 2021 running product and engineering for Xbox consumer products, including developing and launching the Xbox Series X|S and leading Xbox Game Pass. Prior to that, from August 2015 to March 2017, she led Global Marketing and Sales for Oculus at Meta Platforms, Inc. (formerly Facebook, Inc.), where she launched the industry-defining Oculus Rift virtual reality headset. Ms. Hamren holds a BSE in Civil Engineering and Operations Research from Princeton University, and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-1186815</wp:posOffset>
            </wp:positionV>
            <wp:extent cx="11430" cy="1143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-1163955</wp:posOffset>
            </wp:positionV>
            <wp:extent cx="11430" cy="1143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-1141095</wp:posOffset>
            </wp:positionV>
            <wp:extent cx="11430" cy="1143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-1118235</wp:posOffset>
            </wp:positionV>
            <wp:extent cx="11430" cy="1143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-1095375</wp:posOffset>
            </wp:positionV>
            <wp:extent cx="11430" cy="1143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-1072515</wp:posOffset>
            </wp:positionV>
            <wp:extent cx="11430" cy="1143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-1049655</wp:posOffset>
            </wp:positionV>
            <wp:extent cx="11430" cy="1143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-1026795</wp:posOffset>
            </wp:positionV>
            <wp:extent cx="11430" cy="1143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-1003935</wp:posOffset>
            </wp:positionV>
            <wp:extent cx="11430" cy="1143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-981075</wp:posOffset>
            </wp:positionV>
            <wp:extent cx="11430" cy="1143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-958215</wp:posOffset>
            </wp:positionV>
            <wp:extent cx="11430" cy="1143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-935355</wp:posOffset>
            </wp:positionV>
            <wp:extent cx="11430" cy="1143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-912495</wp:posOffset>
            </wp:positionV>
            <wp:extent cx="11430" cy="1143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-889635</wp:posOffset>
            </wp:positionV>
            <wp:extent cx="11430" cy="1143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-866775</wp:posOffset>
            </wp:positionV>
            <wp:extent cx="11430" cy="1143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-843915</wp:posOffset>
            </wp:positionV>
            <wp:extent cx="11430" cy="1143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-821055</wp:posOffset>
            </wp:positionV>
            <wp:extent cx="11430" cy="1143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-798195</wp:posOffset>
            </wp:positionV>
            <wp:extent cx="11430" cy="1143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-775335</wp:posOffset>
            </wp:positionV>
            <wp:extent cx="11430" cy="1143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-752475</wp:posOffset>
            </wp:positionV>
            <wp:extent cx="11430" cy="1143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-729615</wp:posOffset>
            </wp:positionV>
            <wp:extent cx="11430" cy="1143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-706755</wp:posOffset>
            </wp:positionV>
            <wp:extent cx="11430" cy="1143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-683895</wp:posOffset>
            </wp:positionV>
            <wp:extent cx="11430" cy="1143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-661035</wp:posOffset>
            </wp:positionV>
            <wp:extent cx="11430" cy="1143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-638175</wp:posOffset>
            </wp:positionV>
            <wp:extent cx="11430" cy="1143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-615315</wp:posOffset>
            </wp:positionV>
            <wp:extent cx="11430" cy="1143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-592455</wp:posOffset>
            </wp:positionV>
            <wp:extent cx="11430" cy="1143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-569595</wp:posOffset>
            </wp:positionV>
            <wp:extent cx="11430" cy="1143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-546735</wp:posOffset>
            </wp:positionV>
            <wp:extent cx="11430" cy="1143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-523875</wp:posOffset>
            </wp:positionV>
            <wp:extent cx="11430" cy="1143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-501015</wp:posOffset>
            </wp:positionV>
            <wp:extent cx="11430" cy="1143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-478155</wp:posOffset>
            </wp:positionV>
            <wp:extent cx="11430" cy="1143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-455295</wp:posOffset>
            </wp:positionV>
            <wp:extent cx="11430" cy="1143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-432435</wp:posOffset>
            </wp:positionV>
            <wp:extent cx="11430" cy="1143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-409575</wp:posOffset>
            </wp:positionV>
            <wp:extent cx="11430" cy="1143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-386715</wp:posOffset>
            </wp:positionV>
            <wp:extent cx="11430" cy="1143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-363855</wp:posOffset>
            </wp:positionV>
            <wp:extent cx="11430" cy="1143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-340995</wp:posOffset>
            </wp:positionV>
            <wp:extent cx="11430" cy="1143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-318135</wp:posOffset>
            </wp:positionV>
            <wp:extent cx="11430" cy="1143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-295275</wp:posOffset>
            </wp:positionV>
            <wp:extent cx="11430" cy="1143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-272415</wp:posOffset>
            </wp:positionV>
            <wp:extent cx="11430" cy="1143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-249555</wp:posOffset>
            </wp:positionV>
            <wp:extent cx="11430" cy="1143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-226695</wp:posOffset>
            </wp:positionV>
            <wp:extent cx="11430" cy="1143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-203835</wp:posOffset>
            </wp:positionV>
            <wp:extent cx="11430" cy="1143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-180975</wp:posOffset>
            </wp:positionV>
            <wp:extent cx="11430" cy="1143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-158115</wp:posOffset>
            </wp:positionV>
            <wp:extent cx="11430" cy="1143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-135255</wp:posOffset>
            </wp:positionV>
            <wp:extent cx="11430" cy="1143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-112395</wp:posOffset>
            </wp:positionV>
            <wp:extent cx="11430" cy="1143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-89535</wp:posOffset>
            </wp:positionV>
            <wp:extent cx="11430" cy="1143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-66675</wp:posOffset>
            </wp:positionV>
            <wp:extent cx="11430" cy="1143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-43815</wp:posOffset>
            </wp:positionV>
            <wp:extent cx="11430" cy="1143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-20955</wp:posOffset>
            </wp:positionV>
            <wp:extent cx="11430" cy="1143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1270</wp:posOffset>
            </wp:positionV>
            <wp:extent cx="11430" cy="1143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24130</wp:posOffset>
            </wp:positionV>
            <wp:extent cx="11430" cy="1143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46990</wp:posOffset>
            </wp:positionV>
            <wp:extent cx="11430" cy="1143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69850</wp:posOffset>
            </wp:positionV>
            <wp:extent cx="11430" cy="1143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92710</wp:posOffset>
            </wp:positionV>
            <wp:extent cx="11430" cy="1143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115570</wp:posOffset>
            </wp:positionV>
            <wp:extent cx="11430" cy="2286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17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-66040</wp:posOffset>
            </wp:positionV>
            <wp:extent cx="11430" cy="1143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-43180</wp:posOffset>
            </wp:positionV>
            <wp:extent cx="11430" cy="1143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-20320</wp:posOffset>
            </wp:positionV>
            <wp:extent cx="11430" cy="1143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1905</wp:posOffset>
            </wp:positionV>
            <wp:extent cx="11430" cy="1143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2080" w:right="240" w:hanging="95"/>
        <w:spacing w:after="0" w:line="239" w:lineRule="auto"/>
        <w:rPr>
          <w:sz w:val="20"/>
          <w:szCs w:val="20"/>
          <w:color w:val="auto"/>
        </w:rPr>
      </w:pPr>
      <w:r>
        <w:rPr>
          <w:rFonts w:ascii="Arial" w:cs="Arial" w:eastAsia="Arial" w:hAnsi="Arial"/>
          <w:sz w:val="11"/>
          <w:szCs w:val="11"/>
          <w:color w:val="auto"/>
        </w:rPr>
        <w:t>•  Extensive management experience at world-class companies, including leading digital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-142875</wp:posOffset>
            </wp:positionV>
            <wp:extent cx="11430" cy="1143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-120015</wp:posOffset>
            </wp:positionV>
            <wp:extent cx="11430" cy="1143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-97155</wp:posOffset>
            </wp:positionV>
            <wp:extent cx="11430" cy="1143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-74295</wp:posOffset>
            </wp:positionV>
            <wp:extent cx="11430" cy="1143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-51435</wp:posOffset>
            </wp:positionV>
            <wp:extent cx="11430" cy="1143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-28575</wp:posOffset>
            </wp:positionV>
            <wp:extent cx="11430" cy="1143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-5715</wp:posOffset>
            </wp:positionV>
            <wp:extent cx="11430" cy="1143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  Extensive background in engineering, product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-63500</wp:posOffset>
            </wp:positionV>
            <wp:extent cx="11430" cy="1143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-40640</wp:posOffset>
            </wp:positionV>
            <wp:extent cx="11430" cy="1143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11430" cy="1143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marketing and operations for subscription-based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-74930</wp:posOffset>
            </wp:positionV>
            <wp:extent cx="11430" cy="1143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-52070</wp:posOffset>
            </wp:positionV>
            <wp:extent cx="11430" cy="1143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-29210</wp:posOffset>
            </wp:positionV>
            <wp:extent cx="11430" cy="1143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-6350</wp:posOffset>
            </wp:positionV>
            <wp:extent cx="11430" cy="1143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products and gaming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-63500</wp:posOffset>
            </wp:positionV>
            <wp:extent cx="11430" cy="1143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-40640</wp:posOffset>
            </wp:positionV>
            <wp:extent cx="11430" cy="1143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11430" cy="1143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right="120" w:hanging="95"/>
        <w:spacing w:after="0" w:line="239" w:lineRule="auto"/>
        <w:rPr>
          <w:sz w:val="20"/>
          <w:szCs w:val="20"/>
          <w:color w:val="auto"/>
        </w:rPr>
      </w:pPr>
      <w:r>
        <w:rPr>
          <w:rFonts w:ascii="Arial" w:cs="Arial" w:eastAsia="Arial" w:hAnsi="Arial"/>
          <w:sz w:val="11"/>
          <w:szCs w:val="11"/>
          <w:color w:val="auto"/>
        </w:rPr>
        <w:t>•  Expert in consumer tech products, including leading product and engineering for Xbox consumer products and services, including the flagship Xbox Game Pass subscription service, Xbox hardware and platform software, and PC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-314325</wp:posOffset>
            </wp:positionV>
            <wp:extent cx="11430" cy="1143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-291465</wp:posOffset>
            </wp:positionV>
            <wp:extent cx="11430" cy="1143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-268605</wp:posOffset>
            </wp:positionV>
            <wp:extent cx="11430" cy="1143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-245745</wp:posOffset>
            </wp:positionV>
            <wp:extent cx="11430" cy="1143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-222885</wp:posOffset>
            </wp:positionV>
            <wp:extent cx="11430" cy="1143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-200025</wp:posOffset>
            </wp:positionV>
            <wp:extent cx="11430" cy="1143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-177165</wp:posOffset>
            </wp:positionV>
            <wp:extent cx="11430" cy="1143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-154305</wp:posOffset>
            </wp:positionV>
            <wp:extent cx="11430" cy="1143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-131445</wp:posOffset>
            </wp:positionV>
            <wp:extent cx="11430" cy="1143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-108585</wp:posOffset>
            </wp:positionV>
            <wp:extent cx="11430" cy="1143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-85725</wp:posOffset>
            </wp:positionV>
            <wp:extent cx="11430" cy="1143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-62865</wp:posOffset>
            </wp:positionV>
            <wp:extent cx="11430" cy="1143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-40005</wp:posOffset>
            </wp:positionV>
            <wp:extent cx="11430" cy="1143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-17145</wp:posOffset>
            </wp:positionV>
            <wp:extent cx="11430" cy="1143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right="100" w:hanging="95"/>
        <w:spacing w:after="0" w:line="241" w:lineRule="auto"/>
        <w:rPr>
          <w:sz w:val="20"/>
          <w:szCs w:val="20"/>
          <w:color w:val="auto"/>
        </w:rPr>
      </w:pPr>
      <w:r>
        <w:rPr>
          <w:rFonts w:ascii="Arial" w:cs="Arial" w:eastAsia="Arial" w:hAnsi="Arial"/>
          <w:sz w:val="11"/>
          <w:szCs w:val="11"/>
          <w:color w:val="auto"/>
        </w:rPr>
        <w:t>•  Proven track record in leading companies to growth in user base, including direct experience launching and scaling some of the most popular consumer technology and subscription-based services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42545</wp:posOffset>
            </wp:positionV>
            <wp:extent cx="11430" cy="2286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1430" cy="2286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-316865</wp:posOffset>
            </wp:positionV>
            <wp:extent cx="11430" cy="1143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-294005</wp:posOffset>
            </wp:positionV>
            <wp:extent cx="11430" cy="1143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-271145</wp:posOffset>
            </wp:positionV>
            <wp:extent cx="11430" cy="1143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-248285</wp:posOffset>
            </wp:positionV>
            <wp:extent cx="11430" cy="1143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-225425</wp:posOffset>
            </wp:positionV>
            <wp:extent cx="11430" cy="1143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-202565</wp:posOffset>
            </wp:positionV>
            <wp:extent cx="11430" cy="1143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-179705</wp:posOffset>
            </wp:positionV>
            <wp:extent cx="11430" cy="1143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-156845</wp:posOffset>
            </wp:positionV>
            <wp:extent cx="11430" cy="1143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-133985</wp:posOffset>
            </wp:positionV>
            <wp:extent cx="11430" cy="1143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-111125</wp:posOffset>
            </wp:positionV>
            <wp:extent cx="11430" cy="1143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-88265</wp:posOffset>
            </wp:positionV>
            <wp:extent cx="11430" cy="1143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-65405</wp:posOffset>
            </wp:positionV>
            <wp:extent cx="11430" cy="1143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-42545</wp:posOffset>
            </wp:positionV>
            <wp:extent cx="11430" cy="1143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-19685</wp:posOffset>
            </wp:positionV>
            <wp:extent cx="11430" cy="1143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wp:posOffset>
            </wp:positionV>
            <wp:extent cx="11430" cy="1143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25400</wp:posOffset>
            </wp:positionV>
            <wp:extent cx="11430" cy="1143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5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-54610</wp:posOffset>
            </wp:positionV>
            <wp:extent cx="11430" cy="1143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-31750</wp:posOffset>
            </wp:positionV>
            <wp:extent cx="11430" cy="1143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-8890</wp:posOffset>
            </wp:positionV>
            <wp:extent cx="11430" cy="1143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  LegalZoom.com,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-74930</wp:posOffset>
            </wp:positionV>
            <wp:extent cx="11430" cy="1143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-52070</wp:posOffset>
            </wp:positionV>
            <wp:extent cx="11430" cy="1143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-29210</wp:posOffset>
            </wp:positionV>
            <wp:extent cx="11430" cy="1143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-6350</wp:posOffset>
            </wp:positionV>
            <wp:extent cx="11430" cy="1143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15875</wp:posOffset>
            </wp:positionV>
            <wp:extent cx="11430" cy="1143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38735</wp:posOffset>
            </wp:positionV>
            <wp:extent cx="11430" cy="1143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61595</wp:posOffset>
            </wp:positionV>
            <wp:extent cx="11430" cy="2286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FORMER PUBLIC COMPANY BOARDS HELD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-60325</wp:posOffset>
            </wp:positionV>
            <wp:extent cx="11430" cy="1143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-37465</wp:posOffset>
            </wp:positionV>
            <wp:extent cx="11430" cy="1143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-14605</wp:posOffset>
            </wp:positionV>
            <wp:extent cx="11430" cy="1143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b w:val="1"/>
          <w:bCs w:val="1"/>
          <w:color w:val="009BDE"/>
        </w:rPr>
        <w:t>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-85725</wp:posOffset>
            </wp:positionV>
            <wp:extent cx="11430" cy="1143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-62865</wp:posOffset>
            </wp:positionV>
            <wp:extent cx="11430" cy="1143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-40005</wp:posOffset>
            </wp:positionV>
            <wp:extent cx="11430" cy="1143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-17145</wp:posOffset>
            </wp:positionV>
            <wp:extent cx="11430" cy="1143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655955</wp:posOffset>
            </wp:positionV>
            <wp:extent cx="3971925" cy="21717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3971925" cy="21717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-74930</wp:posOffset>
            </wp:positionV>
            <wp:extent cx="11430" cy="1143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-52070</wp:posOffset>
            </wp:positionV>
            <wp:extent cx="11430" cy="1143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-29210</wp:posOffset>
            </wp:positionV>
            <wp:extent cx="11430" cy="1143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-6350</wp:posOffset>
            </wp:positionV>
            <wp:extent cx="11430" cy="1143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15875</wp:posOffset>
            </wp:positionV>
            <wp:extent cx="11430" cy="1143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38735</wp:posOffset>
            </wp:positionV>
            <wp:extent cx="11430" cy="1143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61595</wp:posOffset>
            </wp:positionV>
            <wp:extent cx="11430" cy="1143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84455</wp:posOffset>
            </wp:positionV>
            <wp:extent cx="11430" cy="1143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107315</wp:posOffset>
            </wp:positionV>
            <wp:extent cx="11430" cy="1143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130175</wp:posOffset>
            </wp:positionV>
            <wp:extent cx="11430" cy="1143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153035</wp:posOffset>
            </wp:positionV>
            <wp:extent cx="11430" cy="1143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175895</wp:posOffset>
            </wp:positionV>
            <wp:extent cx="11430" cy="1143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198755</wp:posOffset>
            </wp:positionV>
            <wp:extent cx="11430" cy="1143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221615</wp:posOffset>
            </wp:positionV>
            <wp:extent cx="11430" cy="1143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244475</wp:posOffset>
            </wp:positionV>
            <wp:extent cx="11430" cy="1143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267335</wp:posOffset>
            </wp:positionV>
            <wp:extent cx="11430" cy="1143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290195</wp:posOffset>
            </wp:positionV>
            <wp:extent cx="11430" cy="1143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313055</wp:posOffset>
            </wp:positionV>
            <wp:extent cx="11430" cy="1143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335915</wp:posOffset>
            </wp:positionV>
            <wp:extent cx="11430" cy="1143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358775</wp:posOffset>
            </wp:positionV>
            <wp:extent cx="11430" cy="1143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381635</wp:posOffset>
            </wp:positionV>
            <wp:extent cx="11430" cy="1143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404495</wp:posOffset>
            </wp:positionV>
            <wp:extent cx="11430" cy="1143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427355</wp:posOffset>
            </wp:positionV>
            <wp:extent cx="11430" cy="1143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450215</wp:posOffset>
            </wp:positionV>
            <wp:extent cx="11430" cy="1143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473075</wp:posOffset>
            </wp:positionV>
            <wp:extent cx="11430" cy="1143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495935</wp:posOffset>
            </wp:positionV>
            <wp:extent cx="11430" cy="1143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518795</wp:posOffset>
            </wp:positionV>
            <wp:extent cx="11430" cy="1143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FCFCFC"/>
        </w:rPr>
        <w:t>6</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9BDE"/>
        </w:rPr>
        <w:t>Blake Jorgensen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-505460</wp:posOffset>
            </wp:positionV>
            <wp:extent cx="7214870" cy="4127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14870" cy="41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-111760</wp:posOffset>
            </wp:positionV>
            <wp:extent cx="622935" cy="62293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622935" cy="622935"/>
                    </a:xfrm>
                    <a:prstGeom prst="rect">
                      <a:avLst/>
                    </a:prstGeom>
                    <a:noFill/>
                  </pic:spPr>
                </pic:pic>
              </a:graphicData>
            </a:graphic>
          </wp:anchor>
        </w:drawing>
      </w:r>
    </w:p>
    <w:p>
      <w:pPr>
        <w:spacing w:after="0" w:line="28"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63</w:t>
      </w:r>
    </w:p>
    <w:p>
      <w:pPr>
        <w:spacing w:after="0" w:line="40"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2022</w:t>
      </w:r>
    </w:p>
    <w:p>
      <w:pPr>
        <w:spacing w:after="0" w:line="40"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Committees:</w:t>
      </w:r>
    </w:p>
    <w:p>
      <w:pPr>
        <w:spacing w:after="0" w:line="14" w:lineRule="exact"/>
        <w:rPr>
          <w:sz w:val="20"/>
          <w:szCs w:val="20"/>
          <w:color w:val="auto"/>
        </w:rPr>
      </w:pPr>
    </w:p>
    <w:p>
      <w:pPr>
        <w:ind w:left="1200"/>
        <w:spacing w:after="0"/>
        <w:rPr>
          <w:sz w:val="20"/>
          <w:szCs w:val="20"/>
          <w:color w:val="auto"/>
        </w:rPr>
      </w:pPr>
      <w:r>
        <w:rPr>
          <w:rFonts w:ascii="Arial" w:cs="Arial" w:eastAsia="Arial" w:hAnsi="Arial"/>
          <w:sz w:val="11"/>
          <w:szCs w:val="11"/>
          <w:color w:val="auto"/>
        </w:rPr>
        <w:t>•  Audit</w:t>
      </w:r>
    </w:p>
    <w:p>
      <w:pPr>
        <w:ind w:left="1200"/>
        <w:spacing w:after="0"/>
        <w:rPr>
          <w:sz w:val="20"/>
          <w:szCs w:val="20"/>
          <w:color w:val="auto"/>
        </w:rPr>
      </w:pPr>
      <w:r>
        <w:rPr>
          <w:rFonts w:ascii="Arial" w:cs="Arial" w:eastAsia="Arial" w:hAnsi="Arial"/>
          <w:sz w:val="11"/>
          <w:szCs w:val="11"/>
          <w:color w:val="auto"/>
        </w:rPr>
        <w:t>•  Finance and Capital Allocation</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-83185</wp:posOffset>
            </wp:positionV>
            <wp:extent cx="2143125" cy="571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ind w:right="899"/>
        <w:spacing w:after="0" w:line="239" w:lineRule="auto"/>
        <w:rPr>
          <w:sz w:val="20"/>
          <w:szCs w:val="20"/>
          <w:color w:val="auto"/>
        </w:rPr>
      </w:pPr>
      <w:r>
        <w:rPr>
          <w:rFonts w:ascii="Arial" w:cs="Arial" w:eastAsia="Arial" w:hAnsi="Arial"/>
          <w:sz w:val="11"/>
          <w:szCs w:val="11"/>
          <w:color w:val="auto"/>
        </w:rPr>
        <w:t>Blake Jorgensen is a Special Advisor to, and former Executive Vice President and Chief Financial Officer of, PayPal Holdings Inc., which he joined in 2022. Prior to that, he spent a decade as Chief Financial Officer and Chief Operating Officer of Electronic Arts Inc. (“EA”), where helped to drive the transformation of the company.</w:t>
      </w:r>
    </w:p>
    <w:p>
      <w:pPr>
        <w:ind w:right="859"/>
        <w:spacing w:after="0" w:line="265" w:lineRule="auto"/>
        <w:rPr>
          <w:sz w:val="20"/>
          <w:szCs w:val="20"/>
          <w:color w:val="auto"/>
        </w:rPr>
      </w:pPr>
      <w:r>
        <w:rPr>
          <w:rFonts w:ascii="Arial" w:cs="Arial" w:eastAsia="Arial" w:hAnsi="Arial"/>
          <w:sz w:val="10"/>
          <w:szCs w:val="10"/>
          <w:color w:val="auto"/>
        </w:rPr>
        <w:t>Mr. Jorgensen has over 20 years of experience in finance across various industries with a deep understanding of finance, consumer products, technology and gaming. Prior to joining EA, Mr. Jorgensen served as Executive Vice President and Chief Financial Officer of Levi Strauss &amp; Co. from July 2009 to August 2012 and was Executive Vice President and Chief Financial Officer of Yahoo! Inc. from June 2007 to June 2009. Before joining Yahoo! Inc., Mr. Jorgensen also served as the Chief Operating Officer and Co-Director of Investment Banking at Thomas Weisel Partners, which he co-founded in 1998. He has also held financial and operational positions at Montgomery Securities, MAC Group/Gemini Consulting and Marakon Associates. Mr. Jorgensen earned his M.B.A. from Harvard Business School and his undergraduate degree from Stanford University.</w:t>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-83185</wp:posOffset>
            </wp:positionV>
            <wp:extent cx="2143125" cy="571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ind w:left="100" w:right="1199" w:hanging="95"/>
        <w:spacing w:after="0" w:line="239" w:lineRule="auto"/>
        <w:rPr>
          <w:sz w:val="20"/>
          <w:szCs w:val="20"/>
          <w:color w:val="auto"/>
        </w:rPr>
      </w:pPr>
      <w:r>
        <w:rPr>
          <w:rFonts w:ascii="Arial" w:cs="Arial" w:eastAsia="Arial" w:hAnsi="Arial"/>
          <w:sz w:val="11"/>
          <w:szCs w:val="11"/>
          <w:color w:val="auto"/>
        </w:rPr>
        <w:t>•  More than a decade as a senior executive at a leading digital gaming company.</w:t>
      </w:r>
    </w:p>
    <w:p>
      <w:pPr>
        <w:ind w:left="100" w:right="979" w:hanging="95"/>
        <w:spacing w:after="0" w:line="239" w:lineRule="auto"/>
        <w:rPr>
          <w:sz w:val="20"/>
          <w:szCs w:val="20"/>
          <w:color w:val="auto"/>
        </w:rPr>
      </w:pPr>
      <w:r>
        <w:rPr>
          <w:rFonts w:ascii="Arial" w:cs="Arial" w:eastAsia="Arial" w:hAnsi="Arial"/>
          <w:sz w:val="11"/>
          <w:szCs w:val="11"/>
          <w:color w:val="auto"/>
        </w:rPr>
        <w:t>•  Deep experience across finance, operations, consumer products, technology and gaming.</w:t>
      </w:r>
    </w:p>
    <w:p>
      <w:pPr>
        <w:ind w:left="100" w:right="879" w:hanging="95"/>
        <w:spacing w:after="0" w:line="239" w:lineRule="auto"/>
        <w:rPr>
          <w:sz w:val="20"/>
          <w:szCs w:val="20"/>
          <w:color w:val="auto"/>
        </w:rPr>
      </w:pPr>
      <w:r>
        <w:rPr>
          <w:rFonts w:ascii="Arial" w:cs="Arial" w:eastAsia="Arial" w:hAnsi="Arial"/>
          <w:sz w:val="11"/>
          <w:szCs w:val="11"/>
          <w:color w:val="auto"/>
        </w:rPr>
        <w:t>•  Expertise in capital allocation as a C-suite executive at multiple public companies, completing multiple significant M&amp;A transactions throughout his career.</w:t>
      </w:r>
    </w:p>
    <w:p>
      <w:pPr>
        <w:jc w:val="center"/>
        <w:ind w:right="959"/>
        <w:spacing w:after="0" w:line="262" w:lineRule="auto"/>
        <w:rPr>
          <w:sz w:val="20"/>
          <w:szCs w:val="20"/>
          <w:color w:val="auto"/>
        </w:rPr>
      </w:pPr>
      <w:r>
        <w:rPr>
          <w:rFonts w:ascii="Arial" w:cs="Arial" w:eastAsia="Arial" w:hAnsi="Arial"/>
          <w:sz w:val="10"/>
          <w:szCs w:val="10"/>
          <w:color w:val="auto"/>
        </w:rPr>
        <w:t>•  Consistent track record of driving growth and shareholder returns. •  Demonstrated change agent leading a shift in revenue mix from legacy format to next generation interactivity in a leading digital</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1"/>
          <w:szCs w:val="11"/>
          <w:color w:val="auto"/>
        </w:rPr>
        <w:t>gaming company.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-83185</wp:posOffset>
            </wp:positionV>
            <wp:extent cx="2143125" cy="571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None</w:t>
      </w:r>
    </w:p>
    <w:p>
      <w:pPr>
        <w:spacing w:after="0" w:line="110" w:lineRule="exact"/>
        <w:rPr>
          <w:sz w:val="20"/>
          <w:szCs w:val="20"/>
          <w:color w:val="auto"/>
        </w:rPr>
      </w:pPr>
    </w:p>
    <w:p>
      <w:pPr>
        <w:ind w:right="859"/>
        <w:spacing w:after="0" w:line="248" w:lineRule="auto"/>
        <w:rPr>
          <w:sz w:val="20"/>
          <w:szCs w:val="20"/>
          <w:color w:val="auto"/>
        </w:rPr>
      </w:pPr>
      <w:r>
        <w:rPr>
          <w:rFonts w:ascii="Arial" w:cs="Arial" w:eastAsia="Arial" w:hAnsi="Arial"/>
          <w:sz w:val="12"/>
          <w:szCs w:val="12"/>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-177165</wp:posOffset>
            </wp:positionV>
            <wp:extent cx="2143125" cy="571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None</w:t>
      </w:r>
    </w:p>
    <w:p>
      <w:pPr>
        <w:sectPr>
          <w:pgSz w:w="11900" w:h="16838" w:orient="portrait"/>
          <w:cols w:equalWidth="0" w:num="2">
            <w:col w:w="5260" w:space="720"/>
            <w:col w:w="4179"/>
          </w:cols>
          <w:pgMar w:left="300" w:top="372" w:right="1440"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232"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009BDE"/>
        </w:rPr>
        <w:t>Tracy A. Leinbach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-111125</wp:posOffset>
            </wp:positionV>
            <wp:extent cx="11430" cy="1143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-82550</wp:posOffset>
            </wp:positionV>
            <wp:extent cx="11430" cy="1143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-59690</wp:posOffset>
            </wp:positionV>
            <wp:extent cx="11430" cy="1143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-36830</wp:posOffset>
            </wp:positionV>
            <wp:extent cx="11430" cy="1143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-13970</wp:posOffset>
            </wp:positionV>
            <wp:extent cx="11430" cy="1143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8255</wp:posOffset>
            </wp:positionV>
            <wp:extent cx="11430" cy="1143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-111760</wp:posOffset>
            </wp:positionV>
            <wp:extent cx="622935" cy="62293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622935" cy="622935"/>
                    </a:xfrm>
                    <a:prstGeom prst="rect">
                      <a:avLst/>
                    </a:prstGeom>
                    <a:noFill/>
                  </pic:spPr>
                </pic:pic>
              </a:graphicData>
            </a:graphic>
          </wp:anchor>
        </w:drawing>
      </w:r>
    </w:p>
    <w:p>
      <w:pPr>
        <w:spacing w:after="0" w:line="28"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-93980</wp:posOffset>
            </wp:positionV>
            <wp:extent cx="11430" cy="1143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-71120</wp:posOffset>
            </wp:positionV>
            <wp:extent cx="11430" cy="1143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-48260</wp:posOffset>
            </wp:positionV>
            <wp:extent cx="11430" cy="1143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-25400</wp:posOffset>
            </wp:positionV>
            <wp:extent cx="11430" cy="1143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wp:posOffset>
            </wp:positionV>
            <wp:extent cx="11430" cy="1143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19685</wp:posOffset>
            </wp:positionV>
            <wp:extent cx="11430" cy="1143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20"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-76835</wp:posOffset>
            </wp:positionV>
            <wp:extent cx="11430" cy="1143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-53975</wp:posOffset>
            </wp:positionV>
            <wp:extent cx="11430" cy="1143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-31115</wp:posOffset>
            </wp:positionV>
            <wp:extent cx="11430" cy="1143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-8255</wp:posOffset>
            </wp:positionV>
            <wp:extent cx="11430" cy="1143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13970</wp:posOffset>
            </wp:positionV>
            <wp:extent cx="11430" cy="1143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20"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-82550</wp:posOffset>
            </wp:positionV>
            <wp:extent cx="11430" cy="1143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-59690</wp:posOffset>
            </wp:positionV>
            <wp:extent cx="11430" cy="1143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-36830</wp:posOffset>
            </wp:positionV>
            <wp:extent cx="11430" cy="1143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-13970</wp:posOffset>
            </wp:positionV>
            <wp:extent cx="11430" cy="1143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8255</wp:posOffset>
            </wp:positionV>
            <wp:extent cx="11430" cy="1143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3140"/>
        <w:spacing w:after="0"/>
        <w:rPr>
          <w:sz w:val="20"/>
          <w:szCs w:val="20"/>
          <w:color w:val="auto"/>
        </w:rPr>
      </w:pPr>
      <w:r>
        <w:rPr>
          <w:rFonts w:ascii="Arial" w:cs="Arial" w:eastAsia="Arial" w:hAnsi="Arial"/>
          <w:sz w:val="11"/>
          <w:szCs w:val="11"/>
          <w:color w:val="auto"/>
        </w:rPr>
        <w:t>•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-57150</wp:posOffset>
            </wp:positionV>
            <wp:extent cx="11430" cy="1143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-34290</wp:posOffset>
            </wp:positionV>
            <wp:extent cx="11430" cy="1143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-11430</wp:posOffset>
            </wp:positionV>
            <wp:extent cx="11430" cy="1143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3140" w:right="300"/>
        <w:spacing w:after="0" w:line="262" w:lineRule="auto"/>
        <w:rPr>
          <w:sz w:val="20"/>
          <w:szCs w:val="20"/>
          <w:color w:val="auto"/>
        </w:rPr>
      </w:pPr>
      <w:r>
        <w:rPr>
          <w:rFonts w:ascii="Arial" w:cs="Arial" w:eastAsia="Arial" w:hAnsi="Arial"/>
          <w:sz w:val="10"/>
          <w:szCs w:val="10"/>
          <w:color w:val="auto"/>
        </w:rPr>
        <w:t>•  Finance and Capital Allocation •  Nominating, Governance and Social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-147955</wp:posOffset>
            </wp:positionV>
            <wp:extent cx="11430" cy="1143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-125095</wp:posOffset>
            </wp:positionV>
            <wp:extent cx="11430" cy="1143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-102235</wp:posOffset>
            </wp:positionV>
            <wp:extent cx="11430" cy="1143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-79375</wp:posOffset>
            </wp:positionV>
            <wp:extent cx="11430" cy="1143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-56515</wp:posOffset>
            </wp:positionV>
            <wp:extent cx="11430" cy="1143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-33655</wp:posOffset>
            </wp:positionV>
            <wp:extent cx="11430" cy="1143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-10795</wp:posOffset>
            </wp:positionV>
            <wp:extent cx="11430" cy="1143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11"/>
          <w:szCs w:val="11"/>
          <w:color w:val="auto"/>
        </w:rPr>
        <w:t>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-69215</wp:posOffset>
            </wp:positionV>
            <wp:extent cx="11430" cy="1143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-46355</wp:posOffset>
            </wp:positionV>
            <wp:extent cx="11430" cy="1143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-23495</wp:posOffset>
            </wp:positionV>
            <wp:extent cx="11430" cy="1143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wp:posOffset>
            </wp:positionV>
            <wp:extent cx="11430" cy="1143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21590</wp:posOffset>
            </wp:positionV>
            <wp:extent cx="11430" cy="1143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44450</wp:posOffset>
            </wp:positionV>
            <wp:extent cx="11430" cy="2286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6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-66040</wp:posOffset>
            </wp:positionV>
            <wp:extent cx="11430" cy="1143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-43180</wp:posOffset>
            </wp:positionV>
            <wp:extent cx="11430" cy="1143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-20320</wp:posOffset>
            </wp:positionV>
            <wp:extent cx="11430" cy="1143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1905</wp:posOffset>
            </wp:positionV>
            <wp:extent cx="11430" cy="1143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right="60"/>
        <w:spacing w:after="0" w:line="266" w:lineRule="auto"/>
        <w:rPr>
          <w:sz w:val="20"/>
          <w:szCs w:val="20"/>
          <w:color w:val="auto"/>
        </w:rPr>
      </w:pPr>
      <w:r>
        <w:rPr>
          <w:rFonts w:ascii="Arial" w:cs="Arial" w:eastAsia="Arial" w:hAnsi="Arial"/>
          <w:sz w:val="10"/>
          <w:szCs w:val="10"/>
          <w:color w:val="auto"/>
        </w:rPr>
        <w:t>Tracy A. Leinbach served as interim Chair of the Board from October 2021 to February 2022, following the passing of the Company’s long-time Chairman and CEO, Brian Goldner. She previously served as Executive Vice President and Chief Financial Officer for Ryder System, Inc. (a global logistics and transportation and supply chain solutions provider) from 2003 until 2006. Prior thereto, Ms. Leinbach served as Executive Vice President, Fleet Management Solutions for Ryder since 2001, where she had increasing responsibilities for finance and operational matters. Prior to her career with Ryder, Ms. Leinbach worked for PricewaterhouseCoopers in public accounting and was a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115570</wp:posOffset>
            </wp:positionV>
            <wp:extent cx="11430" cy="2286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1430" cy="2286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-792480</wp:posOffset>
            </wp:positionV>
            <wp:extent cx="11430" cy="1143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-769620</wp:posOffset>
            </wp:positionV>
            <wp:extent cx="11430" cy="1143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-746760</wp:posOffset>
            </wp:positionV>
            <wp:extent cx="11430" cy="1143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-723900</wp:posOffset>
            </wp:positionV>
            <wp:extent cx="11430" cy="1143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-701040</wp:posOffset>
            </wp:positionV>
            <wp:extent cx="11430" cy="1143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-678180</wp:posOffset>
            </wp:positionV>
            <wp:extent cx="11430" cy="1143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-655320</wp:posOffset>
            </wp:positionV>
            <wp:extent cx="11430" cy="1143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-632460</wp:posOffset>
            </wp:positionV>
            <wp:extent cx="11430" cy="1143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-609600</wp:posOffset>
            </wp:positionV>
            <wp:extent cx="11430" cy="1143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-586740</wp:posOffset>
            </wp:positionV>
            <wp:extent cx="11430" cy="1143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-563880</wp:posOffset>
            </wp:positionV>
            <wp:extent cx="11430" cy="1143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-541020</wp:posOffset>
            </wp:positionV>
            <wp:extent cx="11430" cy="1143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-518160</wp:posOffset>
            </wp:positionV>
            <wp:extent cx="11430" cy="1143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-495300</wp:posOffset>
            </wp:positionV>
            <wp:extent cx="11430" cy="1143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-472440</wp:posOffset>
            </wp:positionV>
            <wp:extent cx="11430" cy="1143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-449580</wp:posOffset>
            </wp:positionV>
            <wp:extent cx="11430" cy="1143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-426720</wp:posOffset>
            </wp:positionV>
            <wp:extent cx="11430" cy="1143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-403860</wp:posOffset>
            </wp:positionV>
            <wp:extent cx="11430" cy="1143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-381000</wp:posOffset>
            </wp:positionV>
            <wp:extent cx="11430" cy="1143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-358140</wp:posOffset>
            </wp:positionV>
            <wp:extent cx="11430" cy="1143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-335280</wp:posOffset>
            </wp:positionV>
            <wp:extent cx="11430" cy="1143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-312420</wp:posOffset>
            </wp:positionV>
            <wp:extent cx="11430" cy="1143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-289560</wp:posOffset>
            </wp:positionV>
            <wp:extent cx="11430" cy="1143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-266700</wp:posOffset>
            </wp:positionV>
            <wp:extent cx="11430" cy="1143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-243840</wp:posOffset>
            </wp:positionV>
            <wp:extent cx="11430" cy="1143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-220980</wp:posOffset>
            </wp:positionV>
            <wp:extent cx="11430" cy="1143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-198120</wp:posOffset>
            </wp:positionV>
            <wp:extent cx="11430" cy="1143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-175260</wp:posOffset>
            </wp:positionV>
            <wp:extent cx="11430" cy="1143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-152400</wp:posOffset>
            </wp:positionV>
            <wp:extent cx="11430" cy="1143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-129540</wp:posOffset>
            </wp:positionV>
            <wp:extent cx="11430" cy="1143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-106680</wp:posOffset>
            </wp:positionV>
            <wp:extent cx="11430" cy="1143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-83820</wp:posOffset>
            </wp:positionV>
            <wp:extent cx="11430" cy="1143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-60960</wp:posOffset>
            </wp:positionV>
            <wp:extent cx="11430" cy="1143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-38100</wp:posOffset>
            </wp:positionV>
            <wp:extent cx="11430" cy="1143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-15240</wp:posOffset>
            </wp:positionV>
            <wp:extent cx="11430" cy="1143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6985</wp:posOffset>
            </wp:positionV>
            <wp:extent cx="11430" cy="1143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29845</wp:posOffset>
            </wp:positionV>
            <wp:extent cx="11430" cy="1143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52705</wp:posOffset>
            </wp:positionV>
            <wp:extent cx="11430" cy="1143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75565</wp:posOffset>
            </wp:positionV>
            <wp:extent cx="11430" cy="1143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98425</wp:posOffset>
            </wp:positionV>
            <wp:extent cx="11430" cy="1143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17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-54610</wp:posOffset>
            </wp:positionV>
            <wp:extent cx="11430" cy="1143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-31750</wp:posOffset>
            </wp:positionV>
            <wp:extent cx="11430" cy="1143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-8890</wp:posOffset>
            </wp:positionV>
            <wp:extent cx="11430" cy="1143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2080" w:right="80" w:hanging="95"/>
        <w:spacing w:after="0" w:line="239" w:lineRule="auto"/>
        <w:rPr>
          <w:sz w:val="20"/>
          <w:szCs w:val="20"/>
          <w:color w:val="auto"/>
        </w:rPr>
      </w:pPr>
      <w:r>
        <w:rPr>
          <w:rFonts w:ascii="Arial" w:cs="Arial" w:eastAsia="Arial" w:hAnsi="Arial"/>
          <w:sz w:val="11"/>
          <w:szCs w:val="11"/>
          <w:color w:val="auto"/>
        </w:rPr>
        <w:t>•  Extensive business experience in global operations, strategic and financial planning, auditing and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-154305</wp:posOffset>
            </wp:positionV>
            <wp:extent cx="11430" cy="1143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-131445</wp:posOffset>
            </wp:positionV>
            <wp:extent cx="11430" cy="1143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-108585</wp:posOffset>
            </wp:positionV>
            <wp:extent cx="11430" cy="1143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-85725</wp:posOffset>
            </wp:positionV>
            <wp:extent cx="11430" cy="1143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-62865</wp:posOffset>
            </wp:positionV>
            <wp:extent cx="11430" cy="1143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-40005</wp:posOffset>
            </wp:positionV>
            <wp:extent cx="11430" cy="1143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-17145</wp:posOffset>
            </wp:positionV>
            <wp:extent cx="11430" cy="1143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right="120" w:hanging="95"/>
        <w:spacing w:after="0" w:line="239" w:lineRule="auto"/>
        <w:rPr>
          <w:sz w:val="20"/>
          <w:szCs w:val="20"/>
          <w:color w:val="auto"/>
        </w:rPr>
      </w:pPr>
      <w:r>
        <w:rPr>
          <w:rFonts w:ascii="Arial" w:cs="Arial" w:eastAsia="Arial" w:hAnsi="Arial"/>
          <w:sz w:val="11"/>
          <w:szCs w:val="11"/>
          <w:color w:val="auto"/>
        </w:rPr>
        <w:t>•  Significant oversight and management experience in global operations and financial management, as well as global supply chain management, with Ryder, spanning a career with Ryder of over 21 years. During her career she led the company’s largest business unit in the U.S., as well as units in Europe, Mexico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-474345</wp:posOffset>
            </wp:positionV>
            <wp:extent cx="11430" cy="1143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-451485</wp:posOffset>
            </wp:positionV>
            <wp:extent cx="11430" cy="1143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-428625</wp:posOffset>
            </wp:positionV>
            <wp:extent cx="11430" cy="1143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-405765</wp:posOffset>
            </wp:positionV>
            <wp:extent cx="11430" cy="1143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-382905</wp:posOffset>
            </wp:positionV>
            <wp:extent cx="11430" cy="1143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-360045</wp:posOffset>
            </wp:positionV>
            <wp:extent cx="11430" cy="1143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-337185</wp:posOffset>
            </wp:positionV>
            <wp:extent cx="11430" cy="1143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-314325</wp:posOffset>
            </wp:positionV>
            <wp:extent cx="11430" cy="1143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-291465</wp:posOffset>
            </wp:positionV>
            <wp:extent cx="11430" cy="1143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-268605</wp:posOffset>
            </wp:positionV>
            <wp:extent cx="11430" cy="1143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-245745</wp:posOffset>
            </wp:positionV>
            <wp:extent cx="11430" cy="1143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-222885</wp:posOffset>
            </wp:positionV>
            <wp:extent cx="11430" cy="1143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-200025</wp:posOffset>
            </wp:positionV>
            <wp:extent cx="11430" cy="1143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-177165</wp:posOffset>
            </wp:positionV>
            <wp:extent cx="11430" cy="1143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-154305</wp:posOffset>
            </wp:positionV>
            <wp:extent cx="11430" cy="1143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-131445</wp:posOffset>
            </wp:positionV>
            <wp:extent cx="11430" cy="1143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-108585</wp:posOffset>
            </wp:positionV>
            <wp:extent cx="11430" cy="1143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-85725</wp:posOffset>
            </wp:positionV>
            <wp:extent cx="11430" cy="1143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-62865</wp:posOffset>
            </wp:positionV>
            <wp:extent cx="11430" cy="1143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-40005</wp:posOffset>
            </wp:positionV>
            <wp:extent cx="11430" cy="1143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-17145</wp:posOffset>
            </wp:positionV>
            <wp:extent cx="11430" cy="1143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right="200" w:hanging="95"/>
        <w:spacing w:after="0" w:line="239" w:lineRule="auto"/>
        <w:rPr>
          <w:sz w:val="20"/>
          <w:szCs w:val="20"/>
          <w:color w:val="auto"/>
        </w:rPr>
      </w:pPr>
      <w:r>
        <w:rPr>
          <w:rFonts w:ascii="Arial" w:cs="Arial" w:eastAsia="Arial" w:hAnsi="Arial"/>
          <w:sz w:val="11"/>
          <w:szCs w:val="11"/>
          <w:color w:val="auto"/>
        </w:rPr>
        <w:t>•  Experience as a controller and chief financial officer at many of Ryder’s subsidiaries and divisions.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-154305</wp:posOffset>
            </wp:positionV>
            <wp:extent cx="11430" cy="1143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-131445</wp:posOffset>
            </wp:positionV>
            <wp:extent cx="11430" cy="1143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-108585</wp:posOffset>
            </wp:positionV>
            <wp:extent cx="11430" cy="1143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-85725</wp:posOffset>
            </wp:positionV>
            <wp:extent cx="11430" cy="1143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-62865</wp:posOffset>
            </wp:positionV>
            <wp:extent cx="11430" cy="1143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-40005</wp:posOffset>
            </wp:positionV>
            <wp:extent cx="11430" cy="1143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-17145</wp:posOffset>
            </wp:positionV>
            <wp:extent cx="11430" cy="1143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  Possesses knowledge, expertise and experience in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-74930</wp:posOffset>
            </wp:positionV>
            <wp:extent cx="11430" cy="1143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-52070</wp:posOffset>
            </wp:positionV>
            <wp:extent cx="11430" cy="1143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-29210</wp:posOffset>
            </wp:positionV>
            <wp:extent cx="11430" cy="1143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-6350</wp:posOffset>
            </wp:positionV>
            <wp:extent cx="11430" cy="1143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planning, management, operations, logistics and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-63500</wp:posOffset>
            </wp:positionV>
            <wp:extent cx="11430" cy="1143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-40640</wp:posOffset>
            </wp:positionV>
            <wp:extent cx="11430" cy="1143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11430" cy="1143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management for a large multinational company,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-74930</wp:posOffset>
            </wp:positionV>
            <wp:extent cx="11430" cy="1143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-52070</wp:posOffset>
            </wp:positionV>
            <wp:extent cx="11430" cy="1143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-29210</wp:posOffset>
            </wp:positionV>
            <wp:extent cx="11430" cy="1143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-6350</wp:posOffset>
            </wp:positionV>
            <wp:extent cx="11430" cy="1143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finance, sales, and expertise in issues regarding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-63500</wp:posOffset>
            </wp:positionV>
            <wp:extent cx="11430" cy="1143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-40640</wp:posOffset>
            </wp:positionV>
            <wp:extent cx="11430" cy="1143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11430" cy="1143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reporting and accounting issues for large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-74930</wp:posOffset>
            </wp:positionV>
            <wp:extent cx="11430" cy="1143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-52070</wp:posOffset>
            </wp:positionV>
            <wp:extent cx="11430" cy="1143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-29210</wp:posOffset>
            </wp:positionV>
            <wp:extent cx="11430" cy="1143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-6350</wp:posOffset>
            </wp:positionV>
            <wp:extent cx="11430" cy="1143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15875</wp:posOffset>
            </wp:positionV>
            <wp:extent cx="11430" cy="1143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38735</wp:posOffset>
            </wp:positionV>
            <wp:extent cx="11430" cy="1143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61595</wp:posOffset>
            </wp:positionV>
            <wp:extent cx="11430" cy="2286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-54610</wp:posOffset>
            </wp:positionV>
            <wp:extent cx="11430" cy="1143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-31750</wp:posOffset>
            </wp:positionV>
            <wp:extent cx="11430" cy="1143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-8890</wp:posOffset>
            </wp:positionV>
            <wp:extent cx="11430" cy="1143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  Veritiv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-74295</wp:posOffset>
            </wp:positionV>
            <wp:extent cx="11430" cy="1143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-51435</wp:posOffset>
            </wp:positionV>
            <wp:extent cx="11430" cy="1143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-28575</wp:posOffset>
            </wp:positionV>
            <wp:extent cx="11430" cy="1143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-5715</wp:posOffset>
            </wp:positionV>
            <wp:extent cx="11430" cy="1143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  Compensation and Leadership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-63500</wp:posOffset>
            </wp:positionV>
            <wp:extent cx="11430" cy="1143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-40640</wp:posOffset>
            </wp:positionV>
            <wp:extent cx="11430" cy="1143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11430" cy="1143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  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-74930</wp:posOffset>
            </wp:positionV>
            <wp:extent cx="11430" cy="1143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-52070</wp:posOffset>
            </wp:positionV>
            <wp:extent cx="11430" cy="1143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-29210</wp:posOffset>
            </wp:positionV>
            <wp:extent cx="11430" cy="1143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-6350</wp:posOffset>
            </wp:positionV>
            <wp:extent cx="11430" cy="1143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15875</wp:posOffset>
            </wp:positionV>
            <wp:extent cx="11430" cy="1143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38735</wp:posOffset>
            </wp:positionV>
            <wp:extent cx="11430" cy="1143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61595</wp:posOffset>
            </wp:positionV>
            <wp:extent cx="11430" cy="2286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FORMER PUBLIC COMPANY BOARDS HELD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-54610</wp:posOffset>
            </wp:positionV>
            <wp:extent cx="11430" cy="1143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-31750</wp:posOffset>
            </wp:positionV>
            <wp:extent cx="11430" cy="1143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-8890</wp:posOffset>
            </wp:positionV>
            <wp:extent cx="11430" cy="1143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b w:val="1"/>
          <w:bCs w:val="1"/>
          <w:color w:val="009BDE"/>
        </w:rPr>
        <w:t>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-80010</wp:posOffset>
            </wp:positionV>
            <wp:extent cx="11430" cy="1143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-57150</wp:posOffset>
            </wp:positionV>
            <wp:extent cx="11430" cy="1143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-34290</wp:posOffset>
            </wp:positionV>
            <wp:extent cx="11430" cy="1143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-11430</wp:posOffset>
            </wp:positionV>
            <wp:extent cx="11430" cy="1143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  Forward Air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478790</wp:posOffset>
            </wp:positionV>
            <wp:extent cx="3971925" cy="21717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3971925" cy="21717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-69215</wp:posOffset>
            </wp:positionV>
            <wp:extent cx="11430" cy="1143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-46355</wp:posOffset>
            </wp:positionV>
            <wp:extent cx="11430" cy="1143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-23495</wp:posOffset>
            </wp:positionV>
            <wp:extent cx="11430" cy="1143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wp:posOffset>
            </wp:positionV>
            <wp:extent cx="11430" cy="1143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21590</wp:posOffset>
            </wp:positionV>
            <wp:extent cx="11430" cy="1143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44450</wp:posOffset>
            </wp:positionV>
            <wp:extent cx="11430" cy="1143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67310</wp:posOffset>
            </wp:positionV>
            <wp:extent cx="11430" cy="1143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90170</wp:posOffset>
            </wp:positionV>
            <wp:extent cx="11430" cy="1143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113030</wp:posOffset>
            </wp:positionV>
            <wp:extent cx="11430" cy="1143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135890</wp:posOffset>
            </wp:positionV>
            <wp:extent cx="11430" cy="1143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158750</wp:posOffset>
            </wp:positionV>
            <wp:extent cx="11430" cy="1143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181610</wp:posOffset>
            </wp:positionV>
            <wp:extent cx="11430" cy="1143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204470</wp:posOffset>
            </wp:positionV>
            <wp:extent cx="11430" cy="1143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227330</wp:posOffset>
            </wp:positionV>
            <wp:extent cx="11430" cy="1143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250190</wp:posOffset>
            </wp:positionV>
            <wp:extent cx="11430" cy="1143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273050</wp:posOffset>
            </wp:positionV>
            <wp:extent cx="11430" cy="1143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295910</wp:posOffset>
            </wp:positionV>
            <wp:extent cx="11430" cy="1143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318770</wp:posOffset>
            </wp:positionV>
            <wp:extent cx="11430" cy="1143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341630</wp:posOffset>
            </wp:positionV>
            <wp:extent cx="11430" cy="1143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FCFCFC"/>
        </w:rPr>
        <w:t>7</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009BDE"/>
        </w:rPr>
        <w:t>Laurel J. Richie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-505460</wp:posOffset>
            </wp:positionV>
            <wp:extent cx="7214870" cy="4127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7214870" cy="41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-111760</wp:posOffset>
            </wp:positionV>
            <wp:extent cx="622935" cy="62293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622935" cy="622935"/>
                    </a:xfrm>
                    <a:prstGeom prst="rect">
                      <a:avLst/>
                    </a:prstGeom>
                    <a:noFill/>
                  </pic:spPr>
                </pic:pic>
              </a:graphicData>
            </a:graphic>
          </wp:anchor>
        </w:drawing>
      </w:r>
    </w:p>
    <w:p>
      <w:pPr>
        <w:spacing w:after="0" w:line="28" w:lineRule="exact"/>
        <w:rPr>
          <w:sz w:val="20"/>
          <w:szCs w:val="20"/>
          <w:color w:val="auto"/>
        </w:rPr>
      </w:pPr>
    </w:p>
    <w:p>
      <w:pPr>
        <w:ind w:left="124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64</w:t>
      </w:r>
    </w:p>
    <w:p>
      <w:pPr>
        <w:spacing w:after="0" w:line="40" w:lineRule="exact"/>
        <w:rPr>
          <w:sz w:val="20"/>
          <w:szCs w:val="20"/>
          <w:color w:val="auto"/>
        </w:rPr>
      </w:pPr>
    </w:p>
    <w:p>
      <w:pPr>
        <w:ind w:left="124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2020</w:t>
      </w:r>
    </w:p>
    <w:p>
      <w:pPr>
        <w:spacing w:after="0" w:line="40" w:lineRule="exact"/>
        <w:rPr>
          <w:sz w:val="20"/>
          <w:szCs w:val="20"/>
          <w:color w:val="auto"/>
        </w:rPr>
      </w:pPr>
    </w:p>
    <w:p>
      <w:pPr>
        <w:ind w:left="1240"/>
        <w:spacing w:after="0"/>
        <w:rPr>
          <w:sz w:val="20"/>
          <w:szCs w:val="20"/>
          <w:color w:val="auto"/>
        </w:rPr>
      </w:pPr>
      <w:r>
        <w:rPr>
          <w:rFonts w:ascii="Arial" w:cs="Arial" w:eastAsia="Arial" w:hAnsi="Arial"/>
          <w:sz w:val="13"/>
          <w:szCs w:val="13"/>
          <w:b w:val="1"/>
          <w:bCs w:val="1"/>
          <w:color w:val="auto"/>
        </w:rPr>
        <w:t>Committees:</w:t>
      </w:r>
    </w:p>
    <w:p>
      <w:pPr>
        <w:spacing w:after="0" w:line="14" w:lineRule="exact"/>
        <w:rPr>
          <w:sz w:val="20"/>
          <w:szCs w:val="20"/>
          <w:color w:val="auto"/>
        </w:rPr>
      </w:pPr>
    </w:p>
    <w:p>
      <w:pPr>
        <w:ind w:left="1240"/>
        <w:spacing w:after="0"/>
        <w:rPr>
          <w:sz w:val="20"/>
          <w:szCs w:val="20"/>
          <w:color w:val="auto"/>
        </w:rPr>
      </w:pPr>
      <w:r>
        <w:rPr>
          <w:rFonts w:ascii="Arial" w:cs="Arial" w:eastAsia="Arial" w:hAnsi="Arial"/>
          <w:sz w:val="11"/>
          <w:szCs w:val="11"/>
          <w:color w:val="auto"/>
        </w:rPr>
        <w:t>•  Compensation</w:t>
      </w:r>
    </w:p>
    <w:p>
      <w:pPr>
        <w:ind w:left="1340" w:right="1139" w:hanging="95"/>
        <w:spacing w:after="0" w:line="245" w:lineRule="auto"/>
        <w:rPr>
          <w:sz w:val="20"/>
          <w:szCs w:val="20"/>
          <w:color w:val="auto"/>
        </w:rPr>
      </w:pPr>
      <w:r>
        <w:rPr>
          <w:rFonts w:ascii="Arial" w:cs="Arial" w:eastAsia="Arial" w:hAnsi="Arial"/>
          <w:sz w:val="11"/>
          <w:szCs w:val="11"/>
          <w:color w:val="auto"/>
        </w:rPr>
        <w:t>•  Nominating, Governance and Social Responsibility</w:t>
      </w:r>
    </w:p>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-83185</wp:posOffset>
            </wp:positionV>
            <wp:extent cx="2143125" cy="571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ind w:right="899"/>
        <w:spacing w:after="0" w:line="239" w:lineRule="auto"/>
        <w:rPr>
          <w:sz w:val="20"/>
          <w:szCs w:val="20"/>
          <w:color w:val="auto"/>
        </w:rPr>
      </w:pPr>
      <w:r>
        <w:rPr>
          <w:rFonts w:ascii="Arial" w:cs="Arial" w:eastAsia="Arial" w:hAnsi="Arial"/>
          <w:sz w:val="11"/>
          <w:szCs w:val="11"/>
          <w:color w:val="auto"/>
        </w:rPr>
        <w:t>Laurel J. Richie has been an independent leadership and branding consultant since 2015. Prior to her current role, Ms. Richie served as President of the Women’s National Basketball Association LLC (“WNBA”) from May 2011 to November 2015. Prior to her appointment as President of the WBNA in 2011, she served as Chief Marketing Officer of Girl Scouts of the United States of America from 2008 to 2011. From 1984 to 2008, she held various positions at Ogilvy &amp; Mather, including Senior Partner and Executive Group Director and founding member of the agency’s Diversity Advisory Board. Ms. Richie is a former Trustee of the Naismith Basketball Hall of Fame and and the Dartmouth College Board of Trustees where she served as chair from 2017-2021. She currently serves as a consultant to Fortune 100 c-suite executives on matters of personal leadership and corporate culture.</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-83185</wp:posOffset>
            </wp:positionV>
            <wp:extent cx="2143125" cy="571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ind w:left="100" w:right="1119" w:hanging="95"/>
        <w:spacing w:after="0" w:line="262" w:lineRule="auto"/>
        <w:rPr>
          <w:sz w:val="20"/>
          <w:szCs w:val="20"/>
          <w:color w:val="auto"/>
        </w:rPr>
      </w:pPr>
      <w:r>
        <w:rPr>
          <w:rFonts w:ascii="Arial" w:cs="Arial" w:eastAsia="Arial" w:hAnsi="Arial"/>
          <w:sz w:val="10"/>
          <w:szCs w:val="10"/>
          <w:color w:val="auto"/>
        </w:rPr>
        <w:t>•  Significant executive management and leadership experience, together with strategic and operational expertise.</w:t>
      </w:r>
    </w:p>
    <w:p>
      <w:pPr>
        <w:spacing w:after="0" w:line="1" w:lineRule="exact"/>
        <w:rPr>
          <w:sz w:val="20"/>
          <w:szCs w:val="20"/>
          <w:color w:val="auto"/>
        </w:rPr>
      </w:pPr>
    </w:p>
    <w:p>
      <w:pPr>
        <w:ind w:left="100" w:right="1099" w:hanging="95"/>
        <w:spacing w:after="0" w:line="239" w:lineRule="auto"/>
        <w:rPr>
          <w:sz w:val="20"/>
          <w:szCs w:val="20"/>
          <w:color w:val="auto"/>
        </w:rPr>
      </w:pPr>
      <w:r>
        <w:rPr>
          <w:rFonts w:ascii="Arial" w:cs="Arial" w:eastAsia="Arial" w:hAnsi="Arial"/>
          <w:sz w:val="11"/>
          <w:szCs w:val="11"/>
          <w:color w:val="auto"/>
        </w:rPr>
        <w:t>•  Extensive experience and skills in global marketing and brand-management skills.</w:t>
      </w:r>
    </w:p>
    <w:p>
      <w:pPr>
        <w:spacing w:after="0"/>
        <w:rPr>
          <w:sz w:val="20"/>
          <w:szCs w:val="20"/>
          <w:color w:val="auto"/>
        </w:rPr>
      </w:pPr>
      <w:r>
        <w:rPr>
          <w:rFonts w:ascii="Arial" w:cs="Arial" w:eastAsia="Arial" w:hAnsi="Arial"/>
          <w:sz w:val="11"/>
          <w:szCs w:val="11"/>
          <w:color w:val="auto"/>
        </w:rPr>
        <w:t>•  Deep experience in developing corporate culture.</w:t>
      </w:r>
    </w:p>
    <w:p>
      <w:pPr>
        <w:spacing w:after="0"/>
        <w:rPr>
          <w:sz w:val="20"/>
          <w:szCs w:val="20"/>
          <w:color w:val="auto"/>
        </w:rPr>
      </w:pPr>
      <w:r>
        <w:rPr>
          <w:rFonts w:ascii="Arial" w:cs="Arial" w:eastAsia="Arial" w:hAnsi="Arial"/>
          <w:sz w:val="11"/>
          <w:szCs w:val="11"/>
          <w:color w:val="auto"/>
        </w:rPr>
        <w:t>•  Leader in creating and supporting diverse and inclusive teams.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-83185</wp:posOffset>
            </wp:positionV>
            <wp:extent cx="2143125" cy="571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  Bright Horizons Family Solutions Inc.</w:t>
      </w:r>
    </w:p>
    <w:p>
      <w:pPr>
        <w:ind w:left="100"/>
        <w:spacing w:after="0"/>
        <w:rPr>
          <w:sz w:val="20"/>
          <w:szCs w:val="20"/>
          <w:color w:val="auto"/>
        </w:rPr>
      </w:pPr>
      <w:r>
        <w:rPr>
          <w:rFonts w:ascii="Arial" w:cs="Arial" w:eastAsia="Arial" w:hAnsi="Arial"/>
          <w:sz w:val="11"/>
          <w:szCs w:val="11"/>
          <w:color w:val="auto"/>
        </w:rPr>
        <w:t>-  Audit Committee</w:t>
      </w:r>
    </w:p>
    <w:p>
      <w:pPr>
        <w:ind w:right="1279" w:firstLine="96"/>
        <w:spacing w:after="0" w:line="239" w:lineRule="auto"/>
        <w:rPr>
          <w:sz w:val="20"/>
          <w:szCs w:val="20"/>
          <w:color w:val="auto"/>
        </w:rPr>
      </w:pPr>
      <w:r>
        <w:rPr>
          <w:rFonts w:ascii="Arial" w:cs="Arial" w:eastAsia="Arial" w:hAnsi="Arial"/>
          <w:sz w:val="11"/>
          <w:szCs w:val="11"/>
          <w:color w:val="auto"/>
        </w:rPr>
        <w:t>-  Nominating and Corporate Governance Committee Chair •  Synchrony Financial</w:t>
      </w:r>
    </w:p>
    <w:p>
      <w:pPr>
        <w:ind w:left="100"/>
        <w:spacing w:after="0"/>
        <w:rPr>
          <w:sz w:val="20"/>
          <w:szCs w:val="20"/>
          <w:color w:val="auto"/>
        </w:rPr>
      </w:pPr>
      <w:r>
        <w:rPr>
          <w:rFonts w:ascii="Arial" w:cs="Arial" w:eastAsia="Arial" w:hAnsi="Arial"/>
          <w:sz w:val="11"/>
          <w:szCs w:val="11"/>
          <w:color w:val="auto"/>
        </w:rPr>
        <w:t>-  Nominating and Corporate Governance Committee</w:t>
      </w:r>
    </w:p>
    <w:p>
      <w:pPr>
        <w:ind w:left="100"/>
        <w:spacing w:after="0"/>
        <w:rPr>
          <w:sz w:val="20"/>
          <w:szCs w:val="20"/>
          <w:color w:val="auto"/>
        </w:rPr>
      </w:pPr>
      <w:r>
        <w:rPr>
          <w:rFonts w:ascii="Arial" w:cs="Arial" w:eastAsia="Arial" w:hAnsi="Arial"/>
          <w:sz w:val="11"/>
          <w:szCs w:val="11"/>
          <w:color w:val="auto"/>
        </w:rPr>
        <w:t>-  Management Development and Compensation Committee Chair</w:t>
      </w:r>
    </w:p>
    <w:p>
      <w:pPr>
        <w:spacing w:after="0" w:line="164" w:lineRule="exact"/>
        <w:rPr>
          <w:sz w:val="20"/>
          <w:szCs w:val="20"/>
          <w:color w:val="auto"/>
        </w:rPr>
      </w:pPr>
    </w:p>
    <w:p>
      <w:pPr>
        <w:ind w:right="859"/>
        <w:spacing w:after="0" w:line="248" w:lineRule="auto"/>
        <w:rPr>
          <w:sz w:val="20"/>
          <w:szCs w:val="20"/>
          <w:color w:val="auto"/>
        </w:rPr>
      </w:pPr>
      <w:r>
        <w:rPr>
          <w:rFonts w:ascii="Arial" w:cs="Arial" w:eastAsia="Arial" w:hAnsi="Arial"/>
          <w:sz w:val="12"/>
          <w:szCs w:val="12"/>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-177165</wp:posOffset>
            </wp:positionV>
            <wp:extent cx="2143125" cy="571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None</w:t>
      </w:r>
    </w:p>
    <w:p>
      <w:pPr>
        <w:sectPr>
          <w:pgSz w:w="11900" w:h="16838" w:orient="portrait"/>
          <w:cols w:equalWidth="0" w:num="2">
            <w:col w:w="5260" w:space="720"/>
            <w:col w:w="4179"/>
          </w:cols>
          <w:pgMar w:left="300" w:top="372" w:right="1440"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232"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009BDE"/>
        </w:rPr>
        <w:t>Richard S. Stoddart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-111125</wp:posOffset>
            </wp:positionV>
            <wp:extent cx="11430" cy="1143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-88265</wp:posOffset>
            </wp:positionV>
            <wp:extent cx="11430" cy="1143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-65405</wp:posOffset>
            </wp:positionV>
            <wp:extent cx="11430" cy="1143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-42545</wp:posOffset>
            </wp:positionV>
            <wp:extent cx="11430" cy="1143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-19685</wp:posOffset>
            </wp:positionV>
            <wp:extent cx="11430" cy="1143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wp:posOffset>
            </wp:positionV>
            <wp:extent cx="11430" cy="1143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25400</wp:posOffset>
            </wp:positionV>
            <wp:extent cx="11430" cy="1143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-111760</wp:posOffset>
            </wp:positionV>
            <wp:extent cx="622935" cy="62293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622935" cy="622935"/>
                    </a:xfrm>
                    <a:prstGeom prst="rect">
                      <a:avLst/>
                    </a:prstGeom>
                    <a:noFill/>
                  </pic:spPr>
                </pic:pic>
              </a:graphicData>
            </a:graphic>
          </wp:anchor>
        </w:drawing>
      </w:r>
    </w:p>
    <w:p>
      <w:pPr>
        <w:spacing w:after="0" w:line="28"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-76835</wp:posOffset>
            </wp:positionV>
            <wp:extent cx="11430" cy="1143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-53975</wp:posOffset>
            </wp:positionV>
            <wp:extent cx="11430" cy="1143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-31115</wp:posOffset>
            </wp:positionV>
            <wp:extent cx="11430" cy="1143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-8255</wp:posOffset>
            </wp:positionV>
            <wp:extent cx="11430" cy="1143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13970</wp:posOffset>
            </wp:positionV>
            <wp:extent cx="11430" cy="1143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20"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-82550</wp:posOffset>
            </wp:positionV>
            <wp:extent cx="11430" cy="1143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-59690</wp:posOffset>
            </wp:positionV>
            <wp:extent cx="11430" cy="1143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-36830</wp:posOffset>
            </wp:positionV>
            <wp:extent cx="11430" cy="1143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-13970</wp:posOffset>
            </wp:positionV>
            <wp:extent cx="11430" cy="1143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8255</wp:posOffset>
            </wp:positionV>
            <wp:extent cx="11430" cy="1143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20"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 xml:space="preserve">Chair Since: </w:t>
      </w:r>
      <w:r>
        <w:rPr>
          <w:rFonts w:ascii="Arial" w:cs="Arial" w:eastAsia="Arial" w:hAnsi="Arial"/>
          <w:sz w:val="13"/>
          <w:szCs w:val="13"/>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-88265</wp:posOffset>
            </wp:positionV>
            <wp:extent cx="11430" cy="1143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-65405</wp:posOffset>
            </wp:positionV>
            <wp:extent cx="11430" cy="1143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-42545</wp:posOffset>
            </wp:positionV>
            <wp:extent cx="11430" cy="1143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-19685</wp:posOffset>
            </wp:positionV>
            <wp:extent cx="11430" cy="1143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wp:posOffset>
            </wp:positionV>
            <wp:extent cx="11430" cy="1143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20"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-93980</wp:posOffset>
            </wp:positionV>
            <wp:extent cx="11430" cy="1143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-71120</wp:posOffset>
            </wp:positionV>
            <wp:extent cx="11430" cy="1143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-48260</wp:posOffset>
            </wp:positionV>
            <wp:extent cx="11430" cy="1143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-25400</wp:posOffset>
            </wp:positionV>
            <wp:extent cx="11430" cy="1143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wp:posOffset>
            </wp:positionV>
            <wp:extent cx="11430" cy="1143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3140"/>
        <w:spacing w:after="0"/>
        <w:rPr>
          <w:sz w:val="20"/>
          <w:szCs w:val="20"/>
          <w:color w:val="auto"/>
        </w:rPr>
      </w:pPr>
      <w:r>
        <w:rPr>
          <w:rFonts w:ascii="Arial" w:cs="Arial" w:eastAsia="Arial" w:hAnsi="Arial"/>
          <w:sz w:val="11"/>
          <w:szCs w:val="1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-69215</wp:posOffset>
            </wp:positionV>
            <wp:extent cx="11430" cy="1143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-46355</wp:posOffset>
            </wp:positionV>
            <wp:extent cx="11430" cy="1143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-23495</wp:posOffset>
            </wp:positionV>
            <wp:extent cx="11430" cy="1143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wp:posOffset>
            </wp:positionV>
            <wp:extent cx="11430" cy="1143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21590</wp:posOffset>
            </wp:positionV>
            <wp:extent cx="11430" cy="1143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44450</wp:posOffset>
            </wp:positionV>
            <wp:extent cx="11430" cy="1143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67310</wp:posOffset>
            </wp:positionV>
            <wp:extent cx="11430" cy="1143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90170</wp:posOffset>
            </wp:positionV>
            <wp:extent cx="11430" cy="1143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113030</wp:posOffset>
            </wp:positionV>
            <wp:extent cx="11430" cy="1143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135890</wp:posOffset>
            </wp:positionV>
            <wp:extent cx="11430" cy="1143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158750</wp:posOffset>
            </wp:positionV>
            <wp:extent cx="11430" cy="1143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181610</wp:posOffset>
            </wp:positionV>
            <wp:extent cx="11430" cy="1143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204470</wp:posOffset>
            </wp:positionV>
            <wp:extent cx="11430" cy="1143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227330</wp:posOffset>
            </wp:positionV>
            <wp:extent cx="11430" cy="1143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250190</wp:posOffset>
            </wp:positionV>
            <wp:extent cx="11430" cy="2286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3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-66040</wp:posOffset>
            </wp:positionV>
            <wp:extent cx="11430" cy="1143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-43180</wp:posOffset>
            </wp:positionV>
            <wp:extent cx="11430" cy="1143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-20320</wp:posOffset>
            </wp:positionV>
            <wp:extent cx="11430" cy="1143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1905</wp:posOffset>
            </wp:positionV>
            <wp:extent cx="11430" cy="1143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right="80"/>
        <w:spacing w:after="0" w:line="266" w:lineRule="auto"/>
        <w:rPr>
          <w:sz w:val="20"/>
          <w:szCs w:val="20"/>
          <w:color w:val="auto"/>
        </w:rPr>
      </w:pPr>
      <w:r>
        <w:rPr>
          <w:rFonts w:ascii="Arial" w:cs="Arial" w:eastAsia="Arial" w:hAnsi="Arial"/>
          <w:sz w:val="10"/>
          <w:szCs w:val="10"/>
          <w:color w:val="auto"/>
        </w:rPr>
        <w:t>Richard S. Stoddart served as Hasbro’s interim Chief Executive Officer from October 2021 to February 2022, following the passing of the Company’s former Chairman and CEO, Brian Goldner. He was appointed Chair of the Board of Hasbro in February 2022. Mr. Stoddart is the former President and Chief Executive Officer of InnerWorkings, Inc. (a global marketing execution firm), serving in that role from 2018 until 2020 when Innerworkings, Inc. was acquired. Mr. Stoddart was the Chief Executive Officer of Leo Burnett Worldwide from February 2017 to 2018, the Chief Executive Officer of Leo Burnett North America from 2013 to 2016 and the President of Leo Burnett North America from 2005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-873125</wp:posOffset>
            </wp:positionV>
            <wp:extent cx="11430" cy="1143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-850265</wp:posOffset>
            </wp:positionV>
            <wp:extent cx="11430" cy="1143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-827405</wp:posOffset>
            </wp:positionV>
            <wp:extent cx="11430" cy="1143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-804545</wp:posOffset>
            </wp:positionV>
            <wp:extent cx="11430" cy="1143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-781685</wp:posOffset>
            </wp:positionV>
            <wp:extent cx="11430" cy="1143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-758825</wp:posOffset>
            </wp:positionV>
            <wp:extent cx="11430" cy="1143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-735965</wp:posOffset>
            </wp:positionV>
            <wp:extent cx="11430" cy="1143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-713105</wp:posOffset>
            </wp:positionV>
            <wp:extent cx="11430" cy="1143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-690245</wp:posOffset>
            </wp:positionV>
            <wp:extent cx="11430" cy="1143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-667385</wp:posOffset>
            </wp:positionV>
            <wp:extent cx="11430" cy="1143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-644525</wp:posOffset>
            </wp:positionV>
            <wp:extent cx="11430" cy="1143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-621665</wp:posOffset>
            </wp:positionV>
            <wp:extent cx="11430" cy="1143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-598805</wp:posOffset>
            </wp:positionV>
            <wp:extent cx="11430" cy="1143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-575945</wp:posOffset>
            </wp:positionV>
            <wp:extent cx="11430" cy="1143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-553085</wp:posOffset>
            </wp:positionV>
            <wp:extent cx="11430" cy="1143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-530225</wp:posOffset>
            </wp:positionV>
            <wp:extent cx="11430" cy="1143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-507365</wp:posOffset>
            </wp:positionV>
            <wp:extent cx="11430" cy="1143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-484505</wp:posOffset>
            </wp:positionV>
            <wp:extent cx="11430" cy="1143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-461645</wp:posOffset>
            </wp:positionV>
            <wp:extent cx="11430" cy="1143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-438785</wp:posOffset>
            </wp:positionV>
            <wp:extent cx="11430" cy="1143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-415925</wp:posOffset>
            </wp:positionV>
            <wp:extent cx="11430" cy="1143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-393065</wp:posOffset>
            </wp:positionV>
            <wp:extent cx="11430" cy="1143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-370205</wp:posOffset>
            </wp:positionV>
            <wp:extent cx="11430" cy="1143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-347345</wp:posOffset>
            </wp:positionV>
            <wp:extent cx="11430" cy="1143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-324485</wp:posOffset>
            </wp:positionV>
            <wp:extent cx="11430" cy="1143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-301625</wp:posOffset>
            </wp:positionV>
            <wp:extent cx="11430" cy="1143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-278765</wp:posOffset>
            </wp:positionV>
            <wp:extent cx="11430" cy="1143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-255905</wp:posOffset>
            </wp:positionV>
            <wp:extent cx="11430" cy="1143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-233045</wp:posOffset>
            </wp:positionV>
            <wp:extent cx="11430" cy="1143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-210185</wp:posOffset>
            </wp:positionV>
            <wp:extent cx="11430" cy="1143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-187325</wp:posOffset>
            </wp:positionV>
            <wp:extent cx="11430" cy="1143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-164465</wp:posOffset>
            </wp:positionV>
            <wp:extent cx="11430" cy="1143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-141605</wp:posOffset>
            </wp:positionV>
            <wp:extent cx="11430" cy="1143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-118745</wp:posOffset>
            </wp:positionV>
            <wp:extent cx="11430" cy="1143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-95885</wp:posOffset>
            </wp:positionV>
            <wp:extent cx="11430" cy="1143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-73025</wp:posOffset>
            </wp:positionV>
            <wp:extent cx="11430" cy="1143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-50165</wp:posOffset>
            </wp:positionV>
            <wp:extent cx="11430" cy="1143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-27305</wp:posOffset>
            </wp:positionV>
            <wp:extent cx="11430" cy="1143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-4445</wp:posOffset>
            </wp:positionV>
            <wp:extent cx="11430" cy="1143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11430" cy="1143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40640</wp:posOffset>
            </wp:positionV>
            <wp:extent cx="11430" cy="1143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63500</wp:posOffset>
            </wp:positionV>
            <wp:extent cx="11430" cy="1143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86360</wp:posOffset>
            </wp:positionV>
            <wp:extent cx="11430" cy="2286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-66040</wp:posOffset>
            </wp:positionV>
            <wp:extent cx="11430" cy="1143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-43180</wp:posOffset>
            </wp:positionV>
            <wp:extent cx="11430" cy="1143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-20320</wp:posOffset>
            </wp:positionV>
            <wp:extent cx="11430" cy="1143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1905</wp:posOffset>
            </wp:positionV>
            <wp:extent cx="11430" cy="1143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2080" w:right="160" w:hanging="95"/>
        <w:spacing w:after="0" w:line="239" w:lineRule="auto"/>
        <w:rPr>
          <w:sz w:val="20"/>
          <w:szCs w:val="20"/>
          <w:color w:val="auto"/>
        </w:rPr>
      </w:pPr>
      <w:r>
        <w:rPr>
          <w:rFonts w:ascii="Arial" w:cs="Arial" w:eastAsia="Arial" w:hAnsi="Arial"/>
          <w:sz w:val="11"/>
          <w:szCs w:val="11"/>
          <w:color w:val="auto"/>
        </w:rPr>
        <w:t>•  Extensive experience in the advertising, marketing and communications industries, including in television, digital, social media, point-of-sale, packaging and print, and in building global brands and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-302895</wp:posOffset>
            </wp:positionV>
            <wp:extent cx="11430" cy="1143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-280035</wp:posOffset>
            </wp:positionV>
            <wp:extent cx="11430" cy="1143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-257175</wp:posOffset>
            </wp:positionV>
            <wp:extent cx="11430" cy="1143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-234315</wp:posOffset>
            </wp:positionV>
            <wp:extent cx="11430" cy="1143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-211455</wp:posOffset>
            </wp:positionV>
            <wp:extent cx="11430" cy="1143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-188595</wp:posOffset>
            </wp:positionV>
            <wp:extent cx="11430" cy="1143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-165735</wp:posOffset>
            </wp:positionV>
            <wp:extent cx="11430" cy="1143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-142875</wp:posOffset>
            </wp:positionV>
            <wp:extent cx="11430" cy="1143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-120015</wp:posOffset>
            </wp:positionV>
            <wp:extent cx="11430" cy="1143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-97155</wp:posOffset>
            </wp:positionV>
            <wp:extent cx="11430" cy="1143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-74295</wp:posOffset>
            </wp:positionV>
            <wp:extent cx="11430" cy="1143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-51435</wp:posOffset>
            </wp:positionV>
            <wp:extent cx="11430" cy="1143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-28575</wp:posOffset>
            </wp:positionV>
            <wp:extent cx="11430" cy="1143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-5715</wp:posOffset>
            </wp:positionV>
            <wp:extent cx="11430" cy="1143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right="160" w:hanging="95"/>
        <w:spacing w:after="0" w:line="262" w:lineRule="auto"/>
        <w:rPr>
          <w:sz w:val="20"/>
          <w:szCs w:val="20"/>
          <w:color w:val="auto"/>
        </w:rPr>
      </w:pPr>
      <w:r>
        <w:rPr>
          <w:rFonts w:ascii="Arial" w:cs="Arial" w:eastAsia="Arial" w:hAnsi="Arial"/>
          <w:sz w:val="10"/>
          <w:szCs w:val="10"/>
          <w:color w:val="auto"/>
        </w:rPr>
        <w:t>•  As the former Chief Executive Officer of InnerWorkings, the largest global marketing execution company, Mr. Stoddart became recognized for his strategic and commercial leadership of the company, investor and analyst communications, and financial stewardship as well as his expertise in all facets of marketing execution and marketing supply chain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-461010</wp:posOffset>
            </wp:positionV>
            <wp:extent cx="11430" cy="1143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-438150</wp:posOffset>
            </wp:positionV>
            <wp:extent cx="11430" cy="1143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-415290</wp:posOffset>
            </wp:positionV>
            <wp:extent cx="11430" cy="1143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-392430</wp:posOffset>
            </wp:positionV>
            <wp:extent cx="11430" cy="1143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-369570</wp:posOffset>
            </wp:positionV>
            <wp:extent cx="11430" cy="1143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-346710</wp:posOffset>
            </wp:positionV>
            <wp:extent cx="11430" cy="1143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-323850</wp:posOffset>
            </wp:positionV>
            <wp:extent cx="11430" cy="1143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-300990</wp:posOffset>
            </wp:positionV>
            <wp:extent cx="11430" cy="1143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-278130</wp:posOffset>
            </wp:positionV>
            <wp:extent cx="11430" cy="1143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-255270</wp:posOffset>
            </wp:positionV>
            <wp:extent cx="11430" cy="1143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-232410</wp:posOffset>
            </wp:positionV>
            <wp:extent cx="11430" cy="1143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-209550</wp:posOffset>
            </wp:positionV>
            <wp:extent cx="11430" cy="1143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-186690</wp:posOffset>
            </wp:positionV>
            <wp:extent cx="11430" cy="1143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-163830</wp:posOffset>
            </wp:positionV>
            <wp:extent cx="11430" cy="1143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-140970</wp:posOffset>
            </wp:positionV>
            <wp:extent cx="11430" cy="1143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-118110</wp:posOffset>
            </wp:positionV>
            <wp:extent cx="11430" cy="1143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-95250</wp:posOffset>
            </wp:positionV>
            <wp:extent cx="11430" cy="1143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-72390</wp:posOffset>
            </wp:positionV>
            <wp:extent cx="11430" cy="1143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-49530</wp:posOffset>
            </wp:positionV>
            <wp:extent cx="11430" cy="1143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-26670</wp:posOffset>
            </wp:positionV>
            <wp:extent cx="11430" cy="1143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-3810</wp:posOffset>
            </wp:positionV>
            <wp:extent cx="11430" cy="1143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right="100" w:hanging="95"/>
        <w:spacing w:after="0" w:line="239" w:lineRule="auto"/>
        <w:rPr>
          <w:sz w:val="20"/>
          <w:szCs w:val="20"/>
          <w:color w:val="auto"/>
        </w:rPr>
      </w:pPr>
      <w:r>
        <w:rPr>
          <w:rFonts w:ascii="Arial" w:cs="Arial" w:eastAsia="Arial" w:hAnsi="Arial"/>
          <w:sz w:val="11"/>
          <w:szCs w:val="11"/>
          <w:color w:val="auto"/>
        </w:rPr>
        <w:t>•  In his prior role as Chief Executive Officer of one of the world’s largest advertising agencies, Mr. Stoddart was recognized for his leadership in the development and integration of shopper, digital, social and mobile capabilities as part of a company’s overall marketing and brand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-382905</wp:posOffset>
            </wp:positionV>
            <wp:extent cx="11430" cy="1143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-360045</wp:posOffset>
            </wp:positionV>
            <wp:extent cx="11430" cy="1143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-337185</wp:posOffset>
            </wp:positionV>
            <wp:extent cx="11430" cy="1143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-314325</wp:posOffset>
            </wp:positionV>
            <wp:extent cx="11430" cy="1143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-291465</wp:posOffset>
            </wp:positionV>
            <wp:extent cx="11430" cy="1143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-268605</wp:posOffset>
            </wp:positionV>
            <wp:extent cx="11430" cy="1143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-245745</wp:posOffset>
            </wp:positionV>
            <wp:extent cx="11430" cy="1143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-222885</wp:posOffset>
            </wp:positionV>
            <wp:extent cx="11430" cy="1143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-200025</wp:posOffset>
            </wp:positionV>
            <wp:extent cx="11430" cy="1143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-177165</wp:posOffset>
            </wp:positionV>
            <wp:extent cx="11430" cy="1143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-154305</wp:posOffset>
            </wp:positionV>
            <wp:extent cx="11430" cy="1143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-131445</wp:posOffset>
            </wp:positionV>
            <wp:extent cx="11430" cy="1143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-108585</wp:posOffset>
            </wp:positionV>
            <wp:extent cx="11430" cy="1143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-85725</wp:posOffset>
            </wp:positionV>
            <wp:extent cx="11430" cy="1143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-62865</wp:posOffset>
            </wp:positionV>
            <wp:extent cx="11430" cy="1143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-40005</wp:posOffset>
            </wp:positionV>
            <wp:extent cx="11430" cy="1143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-17145</wp:posOffset>
            </wp:positionV>
            <wp:extent cx="11430" cy="1143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right="60" w:hanging="95"/>
        <w:spacing w:after="0" w:line="239" w:lineRule="auto"/>
        <w:rPr>
          <w:sz w:val="20"/>
          <w:szCs w:val="20"/>
          <w:color w:val="auto"/>
        </w:rPr>
      </w:pPr>
      <w:r>
        <w:rPr>
          <w:rFonts w:ascii="Arial" w:cs="Arial" w:eastAsia="Arial" w:hAnsi="Arial"/>
          <w:sz w:val="11"/>
          <w:szCs w:val="11"/>
          <w:color w:val="auto"/>
        </w:rPr>
        <w:t>•  Possesses knowledge, expertise and experience regarding branding and brand building, marketing and marketing strategy across media platforms, including in traditional advertising, digital advertising and social media; expertise in media planning, launching branded content and products; expertise in marketing production, logistics and execution; and expertise in media trends and strategic planning for businesses building content-driven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-634365</wp:posOffset>
            </wp:positionV>
            <wp:extent cx="11430" cy="1143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-611505</wp:posOffset>
            </wp:positionV>
            <wp:extent cx="11430" cy="1143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-588645</wp:posOffset>
            </wp:positionV>
            <wp:extent cx="11430" cy="1143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-565785</wp:posOffset>
            </wp:positionV>
            <wp:extent cx="11430" cy="1143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-542925</wp:posOffset>
            </wp:positionV>
            <wp:extent cx="11430" cy="1143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-520065</wp:posOffset>
            </wp:positionV>
            <wp:extent cx="11430" cy="1143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-497205</wp:posOffset>
            </wp:positionV>
            <wp:extent cx="11430" cy="1143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-474345</wp:posOffset>
            </wp:positionV>
            <wp:extent cx="11430" cy="1143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-451485</wp:posOffset>
            </wp:positionV>
            <wp:extent cx="11430" cy="1143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-428625</wp:posOffset>
            </wp:positionV>
            <wp:extent cx="11430" cy="1143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-405765</wp:posOffset>
            </wp:positionV>
            <wp:extent cx="11430" cy="1143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-382905</wp:posOffset>
            </wp:positionV>
            <wp:extent cx="11430" cy="1143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-360045</wp:posOffset>
            </wp:positionV>
            <wp:extent cx="11430" cy="1143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-337185</wp:posOffset>
            </wp:positionV>
            <wp:extent cx="11430" cy="1143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-314325</wp:posOffset>
            </wp:positionV>
            <wp:extent cx="11430" cy="1143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-291465</wp:posOffset>
            </wp:positionV>
            <wp:extent cx="11430" cy="1143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-268605</wp:posOffset>
            </wp:positionV>
            <wp:extent cx="11430" cy="1143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-245745</wp:posOffset>
            </wp:positionV>
            <wp:extent cx="11430" cy="1143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-222885</wp:posOffset>
            </wp:positionV>
            <wp:extent cx="11430" cy="1143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-200025</wp:posOffset>
            </wp:positionV>
            <wp:extent cx="11430" cy="1143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-177165</wp:posOffset>
            </wp:positionV>
            <wp:extent cx="11430" cy="1143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-154305</wp:posOffset>
            </wp:positionV>
            <wp:extent cx="11430" cy="1143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-131445</wp:posOffset>
            </wp:positionV>
            <wp:extent cx="11430" cy="1143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-108585</wp:posOffset>
            </wp:positionV>
            <wp:extent cx="11430" cy="1143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-85725</wp:posOffset>
            </wp:positionV>
            <wp:extent cx="11430" cy="1143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-62865</wp:posOffset>
            </wp:positionV>
            <wp:extent cx="11430" cy="1143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-40005</wp:posOffset>
            </wp:positionV>
            <wp:extent cx="11430" cy="1143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-17145</wp:posOffset>
            </wp:positionV>
            <wp:extent cx="11430" cy="1143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5080</wp:posOffset>
            </wp:positionV>
            <wp:extent cx="11430" cy="1143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27940</wp:posOffset>
            </wp:positionV>
            <wp:extent cx="11430" cy="1143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50800</wp:posOffset>
            </wp:positionV>
            <wp:extent cx="11430" cy="1143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73660</wp:posOffset>
            </wp:positionV>
            <wp:extent cx="11430" cy="1143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96520</wp:posOffset>
            </wp:positionV>
            <wp:extent cx="11430" cy="2286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14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-54610</wp:posOffset>
            </wp:positionV>
            <wp:extent cx="11430" cy="1143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-31750</wp:posOffset>
            </wp:positionV>
            <wp:extent cx="11430" cy="1143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-8890</wp:posOffset>
            </wp:positionV>
            <wp:extent cx="11430" cy="1143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  Selina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-74295</wp:posOffset>
            </wp:positionV>
            <wp:extent cx="11430" cy="1143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-51435</wp:posOffset>
            </wp:positionV>
            <wp:extent cx="11430" cy="1143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-28575</wp:posOffset>
            </wp:positionV>
            <wp:extent cx="11430" cy="1143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-5715</wp:posOffset>
            </wp:positionV>
            <wp:extent cx="11430" cy="1143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-63500</wp:posOffset>
            </wp:positionV>
            <wp:extent cx="11430" cy="1143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-40640</wp:posOffset>
            </wp:positionV>
            <wp:extent cx="11430" cy="1143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11430" cy="1143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  Human Capital Management &amp;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-74930</wp:posOffset>
            </wp:positionV>
            <wp:extent cx="11430" cy="1143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-52070</wp:posOffset>
            </wp:positionV>
            <wp:extent cx="11430" cy="1143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-29210</wp:posOffset>
            </wp:positionV>
            <wp:extent cx="11430" cy="1143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-6350</wp:posOffset>
            </wp:positionV>
            <wp:extent cx="11430" cy="1143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  Nominating &amp;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-63500</wp:posOffset>
            </wp:positionV>
            <wp:extent cx="11430" cy="1143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-40640</wp:posOffset>
            </wp:positionV>
            <wp:extent cx="11430" cy="1143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11430" cy="1143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4445</wp:posOffset>
            </wp:positionV>
            <wp:extent cx="11430" cy="1143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27305</wp:posOffset>
            </wp:positionV>
            <wp:extent cx="11430" cy="1143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50165</wp:posOffset>
            </wp:positionV>
            <wp:extent cx="11430" cy="1143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73025</wp:posOffset>
            </wp:positionV>
            <wp:extent cx="11430" cy="1143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95885</wp:posOffset>
            </wp:positionV>
            <wp:extent cx="11430" cy="2286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14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FORMER PUBLIC COMPANY BOARDS HELD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-60325</wp:posOffset>
            </wp:positionV>
            <wp:extent cx="11430" cy="1143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-37465</wp:posOffset>
            </wp:positionV>
            <wp:extent cx="11430" cy="1143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-14605</wp:posOffset>
            </wp:positionV>
            <wp:extent cx="11430" cy="1143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b w:val="1"/>
          <w:bCs w:val="1"/>
          <w:color w:val="009BDE"/>
        </w:rPr>
        <w:t>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-85725</wp:posOffset>
            </wp:positionV>
            <wp:extent cx="11430" cy="1143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-62865</wp:posOffset>
            </wp:positionV>
            <wp:extent cx="11430" cy="1143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-40005</wp:posOffset>
            </wp:positionV>
            <wp:extent cx="11430" cy="1143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-17145</wp:posOffset>
            </wp:positionV>
            <wp:extent cx="11430" cy="1143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  Innerworkings,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130175</wp:posOffset>
            </wp:positionV>
            <wp:extent cx="3971925" cy="21717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3971925" cy="21717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-74930</wp:posOffset>
            </wp:positionV>
            <wp:extent cx="11430" cy="1143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-52070</wp:posOffset>
            </wp:positionV>
            <wp:extent cx="11430" cy="1143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-29210</wp:posOffset>
            </wp:positionV>
            <wp:extent cx="11430" cy="1143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-6350</wp:posOffset>
            </wp:positionV>
            <wp:extent cx="11430" cy="1143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243"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FCFCFC"/>
        </w:rPr>
        <w:t>8</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9BDE"/>
        </w:rPr>
        <w:t>Mary Beth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-505460</wp:posOffset>
            </wp:positionV>
            <wp:extent cx="7214870" cy="4127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7214870" cy="41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-111760</wp:posOffset>
            </wp:positionV>
            <wp:extent cx="622935" cy="62293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622935" cy="622935"/>
                    </a:xfrm>
                    <a:prstGeom prst="rect">
                      <a:avLst/>
                    </a:prstGeom>
                    <a:noFill/>
                  </pic:spPr>
                </pic:pic>
              </a:graphicData>
            </a:graphic>
          </wp:anchor>
        </w:drawing>
      </w:r>
    </w:p>
    <w:p>
      <w:pPr>
        <w:spacing w:after="0" w:line="28"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60</w:t>
      </w:r>
    </w:p>
    <w:p>
      <w:pPr>
        <w:spacing w:after="0" w:line="40"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2016</w:t>
      </w:r>
    </w:p>
    <w:p>
      <w:pPr>
        <w:spacing w:after="0" w:line="40"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Committees:</w:t>
      </w:r>
    </w:p>
    <w:p>
      <w:pPr>
        <w:spacing w:after="0" w:line="14" w:lineRule="exact"/>
        <w:rPr>
          <w:sz w:val="20"/>
          <w:szCs w:val="20"/>
          <w:color w:val="auto"/>
        </w:rPr>
      </w:pPr>
    </w:p>
    <w:p>
      <w:pPr>
        <w:ind w:left="1200"/>
        <w:spacing w:after="0"/>
        <w:rPr>
          <w:sz w:val="20"/>
          <w:szCs w:val="20"/>
          <w:color w:val="auto"/>
        </w:rPr>
      </w:pPr>
      <w:r>
        <w:rPr>
          <w:rFonts w:ascii="Arial" w:cs="Arial" w:eastAsia="Arial" w:hAnsi="Arial"/>
          <w:sz w:val="11"/>
          <w:szCs w:val="11"/>
          <w:color w:val="auto"/>
        </w:rPr>
        <w:t>•  Finance and Capital Allocation (Chair)</w:t>
      </w:r>
    </w:p>
    <w:p>
      <w:pPr>
        <w:ind w:left="1200"/>
        <w:spacing w:after="0"/>
        <w:rPr>
          <w:sz w:val="20"/>
          <w:szCs w:val="20"/>
          <w:color w:val="auto"/>
        </w:rPr>
      </w:pPr>
      <w:r>
        <w:rPr>
          <w:rFonts w:ascii="Arial" w:cs="Arial" w:eastAsia="Arial" w:hAnsi="Arial"/>
          <w:sz w:val="11"/>
          <w:szCs w:val="11"/>
          <w:color w:val="auto"/>
        </w:rPr>
        <w:t>•  Nominating, Governance and Social</w:t>
      </w:r>
    </w:p>
    <w:p>
      <w:pPr>
        <w:jc w:val="center"/>
        <w:ind w:right="919"/>
        <w:spacing w:after="0"/>
        <w:rPr>
          <w:sz w:val="20"/>
          <w:szCs w:val="20"/>
          <w:color w:val="auto"/>
        </w:rPr>
      </w:pPr>
      <w:r>
        <w:rPr>
          <w:rFonts w:ascii="Arial" w:cs="Arial" w:eastAsia="Arial" w:hAnsi="Arial"/>
          <w:sz w:val="11"/>
          <w:szCs w:val="11"/>
          <w:color w:val="auto"/>
        </w:rPr>
        <w:t>Responsibility</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-83185</wp:posOffset>
            </wp:positionV>
            <wp:extent cx="2143125" cy="571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ind w:right="879"/>
        <w:spacing w:after="0" w:line="239" w:lineRule="auto"/>
        <w:rPr>
          <w:sz w:val="20"/>
          <w:szCs w:val="20"/>
          <w:color w:val="auto"/>
        </w:rPr>
      </w:pPr>
      <w:r>
        <w:rPr>
          <w:rFonts w:ascii="Arial" w:cs="Arial" w:eastAsia="Arial" w:hAnsi="Arial"/>
          <w:sz w:val="11"/>
          <w:szCs w:val="11"/>
          <w:color w:val="auto"/>
        </w:rPr>
        <w:t>Mary Beth West served as Senior Vice President, Chief Growth Officer of The Hershey Company from May 2017 until January 2020. Ms. West served as Executive Vice President, Chief Customer &amp; Marketing Officer of J.C. Penney Company from 2015 through March 2017. From 2012 to 2014 she was the Executive Vice President, Chief Category &amp; Marketing Officer for Mondelez International, Inc. Prior thereto, from 1986 to 2012, she served in various financial roles of increasing responsibility and culminating in her role as the Chief Marketing Officer for Kraft Foods, Inc.</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-83185</wp:posOffset>
            </wp:positionV>
            <wp:extent cx="2143125" cy="571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ind w:left="100" w:right="879" w:hanging="95"/>
        <w:spacing w:after="0" w:line="262" w:lineRule="auto"/>
        <w:rPr>
          <w:sz w:val="20"/>
          <w:szCs w:val="20"/>
          <w:color w:val="auto"/>
        </w:rPr>
      </w:pPr>
      <w:r>
        <w:rPr>
          <w:rFonts w:ascii="Arial" w:cs="Arial" w:eastAsia="Arial" w:hAnsi="Arial"/>
          <w:sz w:val="10"/>
          <w:szCs w:val="10"/>
          <w:color w:val="auto"/>
        </w:rPr>
        <w:t>•  Extensive experience and expertise in marketing, brand building, managing global franchises, understanding and applying consumer insights, and developing compelling retail and sales experiences.</w:t>
      </w:r>
    </w:p>
    <w:p>
      <w:pPr>
        <w:spacing w:after="0" w:line="1" w:lineRule="exact"/>
        <w:rPr>
          <w:sz w:val="20"/>
          <w:szCs w:val="20"/>
          <w:color w:val="auto"/>
        </w:rPr>
      </w:pPr>
    </w:p>
    <w:p>
      <w:pPr>
        <w:ind w:left="100" w:right="859" w:hanging="95"/>
        <w:spacing w:after="0" w:line="239" w:lineRule="auto"/>
        <w:rPr>
          <w:sz w:val="20"/>
          <w:szCs w:val="20"/>
          <w:color w:val="auto"/>
        </w:rPr>
      </w:pPr>
      <w:r>
        <w:rPr>
          <w:rFonts w:ascii="Arial" w:cs="Arial" w:eastAsia="Arial" w:hAnsi="Arial"/>
          <w:sz w:val="11"/>
          <w:szCs w:val="11"/>
          <w:color w:val="auto"/>
        </w:rPr>
        <w:t>•  Possesses expertise in strategic and operational planning and execution, skill in managing global teams and a proven track record in delivering top tier consumer experiences and in building global brands.</w:t>
      </w:r>
    </w:p>
    <w:p>
      <w:pPr>
        <w:jc w:val="both"/>
        <w:ind w:left="100" w:right="939" w:hanging="95"/>
        <w:spacing w:after="0" w:line="262" w:lineRule="auto"/>
        <w:rPr>
          <w:sz w:val="20"/>
          <w:szCs w:val="20"/>
          <w:color w:val="auto"/>
        </w:rPr>
      </w:pPr>
      <w:r>
        <w:rPr>
          <w:rFonts w:ascii="Arial" w:cs="Arial" w:eastAsia="Arial" w:hAnsi="Arial"/>
          <w:sz w:val="10"/>
          <w:szCs w:val="10"/>
          <w:color w:val="auto"/>
        </w:rPr>
        <w:t>•  Significant experience in developing growth strategies for complex consumer brand organizations, through use of insights, analytics, marketing, innovation, and research and development.</w:t>
      </w:r>
    </w:p>
    <w:p>
      <w:pPr>
        <w:spacing w:after="0" w:line="1" w:lineRule="exact"/>
        <w:rPr>
          <w:sz w:val="20"/>
          <w:szCs w:val="20"/>
          <w:color w:val="auto"/>
        </w:rPr>
      </w:pPr>
    </w:p>
    <w:p>
      <w:pPr>
        <w:ind w:left="100" w:right="1219" w:hanging="95"/>
        <w:spacing w:after="0" w:line="262" w:lineRule="auto"/>
        <w:rPr>
          <w:sz w:val="20"/>
          <w:szCs w:val="20"/>
          <w:color w:val="auto"/>
        </w:rPr>
      </w:pPr>
      <w:r>
        <w:rPr>
          <w:rFonts w:ascii="Arial" w:cs="Arial" w:eastAsia="Arial" w:hAnsi="Arial"/>
          <w:sz w:val="10"/>
          <w:szCs w:val="10"/>
          <w:color w:val="auto"/>
        </w:rPr>
        <w:t>•  Deep experience in growing some of the world’s best known consumer brands through creative consumer engagement.</w:t>
      </w:r>
    </w:p>
    <w:p>
      <w:pPr>
        <w:spacing w:after="0" w:line="1" w:lineRule="exact"/>
        <w:rPr>
          <w:sz w:val="20"/>
          <w:szCs w:val="20"/>
          <w:color w:val="auto"/>
        </w:rPr>
      </w:pPr>
    </w:p>
    <w:p>
      <w:pPr>
        <w:ind w:left="100" w:right="919" w:hanging="95"/>
        <w:spacing w:after="0" w:line="245" w:lineRule="auto"/>
        <w:rPr>
          <w:sz w:val="20"/>
          <w:szCs w:val="20"/>
          <w:color w:val="auto"/>
        </w:rPr>
      </w:pPr>
      <w:r>
        <w:rPr>
          <w:rFonts w:ascii="Arial" w:cs="Arial" w:eastAsia="Arial" w:hAnsi="Arial"/>
          <w:sz w:val="11"/>
          <w:szCs w:val="11"/>
          <w:color w:val="auto"/>
        </w:rPr>
        <w:t>•  Extensive P&amp;L management experience leading business up to $3 billion in revenue.</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-83185</wp:posOffset>
            </wp:positionV>
            <wp:extent cx="2143125" cy="571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  Albertsons Companies</w:t>
      </w:r>
    </w:p>
    <w:p>
      <w:pPr>
        <w:ind w:left="100"/>
        <w:spacing w:after="0"/>
        <w:rPr>
          <w:sz w:val="20"/>
          <w:szCs w:val="20"/>
          <w:color w:val="auto"/>
        </w:rPr>
      </w:pPr>
      <w:r>
        <w:rPr>
          <w:rFonts w:ascii="Arial" w:cs="Arial" w:eastAsia="Arial" w:hAnsi="Arial"/>
          <w:sz w:val="11"/>
          <w:szCs w:val="11"/>
          <w:color w:val="auto"/>
        </w:rPr>
        <w:t>-  Compensation Committee</w:t>
      </w:r>
    </w:p>
    <w:p>
      <w:pPr>
        <w:ind w:left="100"/>
        <w:spacing w:after="0"/>
        <w:rPr>
          <w:sz w:val="20"/>
          <w:szCs w:val="20"/>
          <w:color w:val="auto"/>
        </w:rPr>
      </w:pPr>
      <w:r>
        <w:rPr>
          <w:rFonts w:ascii="Arial" w:cs="Arial" w:eastAsia="Arial" w:hAnsi="Arial"/>
          <w:sz w:val="11"/>
          <w:szCs w:val="11"/>
          <w:color w:val="auto"/>
        </w:rPr>
        <w:t>-  Nominating, Governance and ESG Committee</w:t>
      </w:r>
    </w:p>
    <w:p>
      <w:pPr>
        <w:spacing w:after="0"/>
        <w:rPr>
          <w:sz w:val="20"/>
          <w:szCs w:val="20"/>
          <w:color w:val="auto"/>
        </w:rPr>
      </w:pPr>
      <w:r>
        <w:rPr>
          <w:rFonts w:ascii="Arial" w:cs="Arial" w:eastAsia="Arial" w:hAnsi="Arial"/>
          <w:sz w:val="11"/>
          <w:szCs w:val="11"/>
          <w:color w:val="auto"/>
        </w:rPr>
        <w:t>•  Lowes Companies Inc.</w:t>
      </w:r>
    </w:p>
    <w:p>
      <w:pPr>
        <w:ind w:left="100"/>
        <w:spacing w:after="0"/>
        <w:rPr>
          <w:sz w:val="20"/>
          <w:szCs w:val="20"/>
          <w:color w:val="auto"/>
        </w:rPr>
      </w:pPr>
      <w:r>
        <w:rPr>
          <w:rFonts w:ascii="Arial" w:cs="Arial" w:eastAsia="Arial" w:hAnsi="Arial"/>
          <w:sz w:val="11"/>
          <w:szCs w:val="11"/>
          <w:color w:val="auto"/>
        </w:rPr>
        <w:t>-  Audit Committee</w:t>
      </w:r>
    </w:p>
    <w:p>
      <w:pPr>
        <w:ind w:left="100"/>
        <w:spacing w:after="0"/>
        <w:rPr>
          <w:sz w:val="20"/>
          <w:szCs w:val="20"/>
          <w:color w:val="auto"/>
        </w:rPr>
      </w:pPr>
      <w:r>
        <w:rPr>
          <w:rFonts w:ascii="Arial" w:cs="Arial" w:eastAsia="Arial" w:hAnsi="Arial"/>
          <w:sz w:val="11"/>
          <w:szCs w:val="11"/>
          <w:color w:val="auto"/>
        </w:rPr>
        <w:t>-  Sustainability Committee</w:t>
      </w:r>
    </w:p>
    <w:p>
      <w:pPr>
        <w:spacing w:after="0" w:line="164" w:lineRule="exact"/>
        <w:rPr>
          <w:sz w:val="20"/>
          <w:szCs w:val="20"/>
          <w:color w:val="auto"/>
        </w:rPr>
      </w:pPr>
    </w:p>
    <w:p>
      <w:pPr>
        <w:ind w:right="859"/>
        <w:spacing w:after="0" w:line="248" w:lineRule="auto"/>
        <w:rPr>
          <w:sz w:val="20"/>
          <w:szCs w:val="20"/>
          <w:color w:val="auto"/>
        </w:rPr>
      </w:pPr>
      <w:r>
        <w:rPr>
          <w:rFonts w:ascii="Arial" w:cs="Arial" w:eastAsia="Arial" w:hAnsi="Arial"/>
          <w:sz w:val="12"/>
          <w:szCs w:val="12"/>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-177165</wp:posOffset>
            </wp:positionV>
            <wp:extent cx="2143125" cy="571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None</w:t>
      </w:r>
    </w:p>
    <w:p>
      <w:pPr>
        <w:sectPr>
          <w:pgSz w:w="11900" w:h="16838" w:orient="portrait"/>
          <w:cols w:equalWidth="0" w:num="2">
            <w:col w:w="5260" w:space="720"/>
            <w:col w:w="4179"/>
          </w:cols>
          <w:pgMar w:left="300" w:top="372" w:right="1440"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32"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009BDE"/>
        </w:rPr>
        <w:t>Linda Zecher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-111125</wp:posOffset>
            </wp:positionV>
            <wp:extent cx="11430" cy="1143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-88265</wp:posOffset>
            </wp:positionV>
            <wp:extent cx="11430" cy="1143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-65405</wp:posOffset>
            </wp:positionV>
            <wp:extent cx="11430" cy="1143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-42545</wp:posOffset>
            </wp:positionV>
            <wp:extent cx="11430" cy="1143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-19685</wp:posOffset>
            </wp:positionV>
            <wp:extent cx="11430" cy="1143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wp:posOffset>
            </wp:positionV>
            <wp:extent cx="11430" cy="1143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25400</wp:posOffset>
            </wp:positionV>
            <wp:extent cx="11430" cy="1143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-111125</wp:posOffset>
            </wp:positionV>
            <wp:extent cx="622935" cy="62293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622935" cy="622935"/>
                    </a:xfrm>
                    <a:prstGeom prst="rect">
                      <a:avLst/>
                    </a:prstGeom>
                    <a:noFill/>
                  </pic:spPr>
                </pic:pic>
              </a:graphicData>
            </a:graphic>
          </wp:anchor>
        </w:drawing>
      </w:r>
    </w:p>
    <w:p>
      <w:pPr>
        <w:spacing w:after="0" w:line="28"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-76835</wp:posOffset>
            </wp:positionV>
            <wp:extent cx="11430" cy="1143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-53975</wp:posOffset>
            </wp:positionV>
            <wp:extent cx="11430" cy="1143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-31115</wp:posOffset>
            </wp:positionV>
            <wp:extent cx="11430" cy="1143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-8255</wp:posOffset>
            </wp:positionV>
            <wp:extent cx="11430" cy="1143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13970</wp:posOffset>
            </wp:positionV>
            <wp:extent cx="11430" cy="1143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20"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-82550</wp:posOffset>
            </wp:positionV>
            <wp:extent cx="11430" cy="1143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-59690</wp:posOffset>
            </wp:positionV>
            <wp:extent cx="11430" cy="1143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-36830</wp:posOffset>
            </wp:positionV>
            <wp:extent cx="11430" cy="1143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-13970</wp:posOffset>
            </wp:positionV>
            <wp:extent cx="11430" cy="1143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8255</wp:posOffset>
            </wp:positionV>
            <wp:extent cx="11430" cy="1143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20"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-88265</wp:posOffset>
            </wp:positionV>
            <wp:extent cx="11430" cy="1143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-65405</wp:posOffset>
            </wp:positionV>
            <wp:extent cx="11430" cy="1143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-42545</wp:posOffset>
            </wp:positionV>
            <wp:extent cx="11430" cy="1143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-19685</wp:posOffset>
            </wp:positionV>
            <wp:extent cx="11430" cy="1143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2540</wp:posOffset>
            </wp:positionV>
            <wp:extent cx="11430" cy="1143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3140"/>
        <w:spacing w:after="0"/>
        <w:rPr>
          <w:sz w:val="20"/>
          <w:szCs w:val="20"/>
          <w:color w:val="auto"/>
        </w:rPr>
      </w:pPr>
      <w:r>
        <w:rPr>
          <w:rFonts w:ascii="Arial" w:cs="Arial" w:eastAsia="Arial" w:hAnsi="Arial"/>
          <w:sz w:val="11"/>
          <w:szCs w:val="11"/>
          <w:color w:val="auto"/>
        </w:rPr>
        <w:t>•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-62865</wp:posOffset>
            </wp:positionV>
            <wp:extent cx="11430" cy="1143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-40005</wp:posOffset>
            </wp:positionV>
            <wp:extent cx="11430" cy="1143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-17145</wp:posOffset>
            </wp:positionV>
            <wp:extent cx="11430" cy="1143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3140"/>
        <w:spacing w:after="0"/>
        <w:rPr>
          <w:sz w:val="20"/>
          <w:szCs w:val="20"/>
          <w:color w:val="auto"/>
        </w:rPr>
      </w:pPr>
      <w:r>
        <w:rPr>
          <w:rFonts w:ascii="Arial" w:cs="Arial" w:eastAsia="Arial" w:hAnsi="Arial"/>
          <w:sz w:val="11"/>
          <w:szCs w:val="11"/>
          <w:color w:val="auto"/>
        </w:rPr>
        <w:t>•  Cybersecurity and Data Privacy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-74930</wp:posOffset>
            </wp:positionV>
            <wp:extent cx="11430" cy="1143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-52070</wp:posOffset>
            </wp:positionV>
            <wp:extent cx="11430" cy="1143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-29210</wp:posOffset>
            </wp:positionV>
            <wp:extent cx="11430" cy="1143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-6350</wp:posOffset>
            </wp:positionV>
            <wp:extent cx="11430" cy="1143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15875</wp:posOffset>
            </wp:positionV>
            <wp:extent cx="11430" cy="1143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38735</wp:posOffset>
            </wp:positionV>
            <wp:extent cx="11430" cy="1143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61595</wp:posOffset>
            </wp:positionV>
            <wp:extent cx="11430" cy="2286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-54610</wp:posOffset>
            </wp:positionV>
            <wp:extent cx="11430" cy="1143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-31750</wp:posOffset>
            </wp:positionV>
            <wp:extent cx="11430" cy="1143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-8890</wp:posOffset>
            </wp:positionV>
            <wp:extent cx="11430" cy="1143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0"/>
          <w:szCs w:val="10"/>
          <w:color w:val="auto"/>
        </w:rPr>
        <w:t>Linda Zecher Higgins is the Chief Executive Officer and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-67310</wp:posOffset>
            </wp:positionV>
            <wp:extent cx="11430" cy="1143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-44450</wp:posOffset>
            </wp:positionV>
            <wp:extent cx="11430" cy="1143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-21590</wp:posOffset>
            </wp:positionV>
            <wp:extent cx="11430" cy="1143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wp:posOffset>
            </wp:positionV>
            <wp:extent cx="11430" cy="1143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Partner of the Barkley Group (a consulting firm focused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-62865</wp:posOffset>
            </wp:positionV>
            <wp:extent cx="11430" cy="1143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-40005</wp:posOffset>
            </wp:positionV>
            <wp:extent cx="11430" cy="1143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-17145</wp:posOffset>
            </wp:positionV>
            <wp:extent cx="11430" cy="1143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cybersecurity and digital transformation), serving in this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-74930</wp:posOffset>
            </wp:positionV>
            <wp:extent cx="11430" cy="1143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-52070</wp:posOffset>
            </wp:positionV>
            <wp:extent cx="11430" cy="1143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-29210</wp:posOffset>
            </wp:positionV>
            <wp:extent cx="11430" cy="1143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-6350</wp:posOffset>
            </wp:positionV>
            <wp:extent cx="11430" cy="1143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since January 2017. Prior to that, Ms. Higgins served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-63500</wp:posOffset>
            </wp:positionV>
            <wp:extent cx="11430" cy="1143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-40640</wp:posOffset>
            </wp:positionV>
            <wp:extent cx="11430" cy="1143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11430" cy="1143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0"/>
          <w:szCs w:val="10"/>
          <w:color w:val="auto"/>
        </w:rPr>
        <w:t>President and Chief Executive Officer, and a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-67310</wp:posOffset>
            </wp:positionV>
            <wp:extent cx="11430" cy="1143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-44450</wp:posOffset>
            </wp:positionV>
            <wp:extent cx="11430" cy="1143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-21590</wp:posOffset>
            </wp:positionV>
            <wp:extent cx="11430" cy="1143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wp:posOffset>
            </wp:positionV>
            <wp:extent cx="11430" cy="1143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0"/>
          <w:szCs w:val="10"/>
          <w:color w:val="auto"/>
        </w:rPr>
        <w:t>of Directors, of Houghton Mifflin Harcourt Company, from 2011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-55880</wp:posOffset>
            </wp:positionV>
            <wp:extent cx="11430" cy="1143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-33020</wp:posOffset>
            </wp:positionV>
            <wp:extent cx="11430" cy="1143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-10160</wp:posOffset>
            </wp:positionV>
            <wp:extent cx="11430" cy="1143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0"/>
          <w:szCs w:val="10"/>
          <w:color w:val="auto"/>
        </w:rPr>
        <w:t>2016. Prior to that, she was Corporate Vice President,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-67310</wp:posOffset>
            </wp:positionV>
            <wp:extent cx="11430" cy="1143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-44450</wp:posOffset>
            </wp:positionV>
            <wp:extent cx="11430" cy="1143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-21590</wp:posOffset>
            </wp:positionV>
            <wp:extent cx="11430" cy="1143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wp:posOffset>
            </wp:positionV>
            <wp:extent cx="11430" cy="1143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Public Sector of Microsoft Corporation from 2003 to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-63500</wp:posOffset>
            </wp:positionV>
            <wp:extent cx="11430" cy="1143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-40640</wp:posOffset>
            </wp:positionV>
            <wp:extent cx="11430" cy="1143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11430" cy="1143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4445</wp:posOffset>
            </wp:positionV>
            <wp:extent cx="11430" cy="1143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27305</wp:posOffset>
            </wp:positionV>
            <wp:extent cx="11430" cy="1143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50165</wp:posOffset>
            </wp:positionV>
            <wp:extent cx="11430" cy="1143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73025</wp:posOffset>
            </wp:positionV>
            <wp:extent cx="11430" cy="1143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95885</wp:posOffset>
            </wp:positionV>
            <wp:extent cx="11430" cy="2286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14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-54610</wp:posOffset>
            </wp:positionV>
            <wp:extent cx="11430" cy="1143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-31750</wp:posOffset>
            </wp:positionV>
            <wp:extent cx="11430" cy="1143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-8890</wp:posOffset>
            </wp:positionV>
            <wp:extent cx="11430" cy="1143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  Extensive experience in leading the transformations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-74295</wp:posOffset>
            </wp:positionV>
            <wp:extent cx="11430" cy="1143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-51435</wp:posOffset>
            </wp:positionV>
            <wp:extent cx="11430" cy="1143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-28575</wp:posOffset>
            </wp:positionV>
            <wp:extent cx="11430" cy="1143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-5715</wp:posOffset>
            </wp:positionV>
            <wp:extent cx="11430" cy="1143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0"/>
          <w:szCs w:val="10"/>
          <w:color w:val="auto"/>
        </w:rPr>
        <w:t>businesses in the fields of digital publishing, digital learning,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-55880</wp:posOffset>
            </wp:positionV>
            <wp:extent cx="11430" cy="1143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-33020</wp:posOffset>
            </wp:positionV>
            <wp:extent cx="11430" cy="1143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-10160</wp:posOffset>
            </wp:positionV>
            <wp:extent cx="11430" cy="1143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online 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-74295</wp:posOffset>
            </wp:positionV>
            <wp:extent cx="11430" cy="1143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-51435</wp:posOffset>
            </wp:positionV>
            <wp:extent cx="11430" cy="1143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-28575</wp:posOffset>
            </wp:positionV>
            <wp:extent cx="11430" cy="1143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-5715</wp:posOffset>
            </wp:positionV>
            <wp:extent cx="11430" cy="1143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  Expertise and skill in driving technological innovation and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-63500</wp:posOffset>
            </wp:positionV>
            <wp:extent cx="11430" cy="1143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-40640</wp:posOffset>
            </wp:positionV>
            <wp:extent cx="11430" cy="1143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11430" cy="1143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leading content development and distribution across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-74930</wp:posOffset>
            </wp:positionV>
            <wp:extent cx="11430" cy="1143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-52070</wp:posOffset>
            </wp:positionV>
            <wp:extent cx="11430" cy="1143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-29210</wp:posOffset>
            </wp:positionV>
            <wp:extent cx="11430" cy="1143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-6350</wp:posOffset>
            </wp:positionV>
            <wp:extent cx="11430" cy="1143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and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-63500</wp:posOffset>
            </wp:positionV>
            <wp:extent cx="11430" cy="1143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-40640</wp:posOffset>
            </wp:positionV>
            <wp:extent cx="11430" cy="1143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11430" cy="1143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jc w:val="right"/>
        <w:ind w:right="5239"/>
        <w:spacing w:after="0"/>
        <w:rPr>
          <w:sz w:val="20"/>
          <w:szCs w:val="20"/>
          <w:color w:val="auto"/>
        </w:rPr>
      </w:pPr>
      <w:r>
        <w:rPr>
          <w:rFonts w:ascii="Arial" w:cs="Arial" w:eastAsia="Arial" w:hAnsi="Arial"/>
          <w:sz w:val="11"/>
          <w:szCs w:val="11"/>
          <w:color w:val="auto"/>
        </w:rPr>
        <w:t>•  Expertise in financial markets, financial investment,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-74930</wp:posOffset>
            </wp:positionV>
            <wp:extent cx="11430" cy="1143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-52070</wp:posOffset>
            </wp:positionV>
            <wp:extent cx="11430" cy="1143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-29210</wp:posOffset>
            </wp:positionV>
            <wp:extent cx="11430" cy="1143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-6350</wp:posOffset>
            </wp:positionV>
            <wp:extent cx="11430" cy="1143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jc w:val="right"/>
        <w:ind w:right="5279"/>
        <w:spacing w:after="0"/>
        <w:rPr>
          <w:sz w:val="20"/>
          <w:szCs w:val="20"/>
          <w:color w:val="auto"/>
        </w:rPr>
      </w:pPr>
      <w:r>
        <w:rPr>
          <w:rFonts w:ascii="Arial" w:cs="Arial" w:eastAsia="Arial" w:hAnsi="Arial"/>
          <w:sz w:val="11"/>
          <w:szCs w:val="11"/>
          <w:color w:val="auto"/>
        </w:rPr>
        <w:t>restructuring, taking companies public, and M&amp;A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-63500</wp:posOffset>
            </wp:positionV>
            <wp:extent cx="11430" cy="1143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-40640</wp:posOffset>
            </wp:positionV>
            <wp:extent cx="11430" cy="1143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11430" cy="1143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0"/>
          <w:szCs w:val="10"/>
          <w:color w:val="auto"/>
        </w:rPr>
        <w:t>•  Expertise in digital brand building, online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-67310</wp:posOffset>
            </wp:positionV>
            <wp:extent cx="11430" cy="1143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-44450</wp:posOffset>
            </wp:positionV>
            <wp:extent cx="11430" cy="1143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-21590</wp:posOffset>
            </wp:positionV>
            <wp:extent cx="11430" cy="1143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wp:posOffset>
            </wp:positionV>
            <wp:extent cx="11430" cy="1143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and in driving technological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-63500</wp:posOffset>
            </wp:positionV>
            <wp:extent cx="11430" cy="1143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-40640</wp:posOffset>
            </wp:positionV>
            <wp:extent cx="11430" cy="1143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11430" cy="1143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4445</wp:posOffset>
            </wp:positionV>
            <wp:extent cx="11430" cy="1143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27305</wp:posOffset>
            </wp:positionV>
            <wp:extent cx="11430" cy="1143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50165</wp:posOffset>
            </wp:positionV>
            <wp:extent cx="11430" cy="1143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73025</wp:posOffset>
            </wp:positionV>
            <wp:extent cx="11430" cy="1143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95885</wp:posOffset>
            </wp:positionV>
            <wp:extent cx="11430" cy="2286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14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-66040</wp:posOffset>
            </wp:positionV>
            <wp:extent cx="11430" cy="1143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-43180</wp:posOffset>
            </wp:positionV>
            <wp:extent cx="11430" cy="1143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-20320</wp:posOffset>
            </wp:positionV>
            <wp:extent cx="11430" cy="1143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1905</wp:posOffset>
            </wp:positionV>
            <wp:extent cx="11430" cy="1143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  C5 Acquisition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-62865</wp:posOffset>
            </wp:positionV>
            <wp:extent cx="11430" cy="1143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-40005</wp:posOffset>
            </wp:positionV>
            <wp:extent cx="11430" cy="1143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-17145</wp:posOffset>
            </wp:positionV>
            <wp:extent cx="11430" cy="1143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  Audit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-74930</wp:posOffset>
            </wp:positionV>
            <wp:extent cx="11430" cy="1143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-52070</wp:posOffset>
            </wp:positionV>
            <wp:extent cx="11430" cy="1143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-29210</wp:posOffset>
            </wp:positionV>
            <wp:extent cx="11430" cy="1143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-6350</wp:posOffset>
            </wp:positionV>
            <wp:extent cx="11430" cy="1143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  Tenable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-63500</wp:posOffset>
            </wp:positionV>
            <wp:extent cx="11430" cy="1143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-40640</wp:posOffset>
            </wp:positionV>
            <wp:extent cx="11430" cy="1143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11430" cy="1143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-74930</wp:posOffset>
            </wp:positionV>
            <wp:extent cx="11430" cy="1143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-52070</wp:posOffset>
            </wp:positionV>
            <wp:extent cx="11430" cy="1143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-29210</wp:posOffset>
            </wp:positionV>
            <wp:extent cx="11430" cy="1143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-6350</wp:posOffset>
            </wp:positionV>
            <wp:extent cx="11430" cy="1143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1"/>
          <w:szCs w:val="11"/>
          <w:color w:val="auto"/>
        </w:rPr>
        <w:t>-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-63500</wp:posOffset>
            </wp:positionV>
            <wp:extent cx="11430" cy="1143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-40640</wp:posOffset>
            </wp:positionV>
            <wp:extent cx="11430" cy="1143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11430" cy="1143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4445</wp:posOffset>
            </wp:positionV>
            <wp:extent cx="11430" cy="1143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27305</wp:posOffset>
            </wp:positionV>
            <wp:extent cx="11430" cy="1143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50165</wp:posOffset>
            </wp:positionV>
            <wp:extent cx="11430" cy="1143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73025</wp:posOffset>
            </wp:positionV>
            <wp:extent cx="11430" cy="1143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95885</wp:posOffset>
            </wp:positionV>
            <wp:extent cx="11430" cy="2286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1430" cy="22860"/>
                    </a:xfrm>
                    <a:prstGeom prst="rect">
                      <a:avLst/>
                    </a:prstGeom>
                    <a:noFill/>
                  </pic:spPr>
                </pic:pic>
              </a:graphicData>
            </a:graphic>
          </wp:anchor>
        </w:drawing>
      </w:r>
    </w:p>
    <w:p>
      <w:pPr>
        <w:spacing w:after="0" w:line="14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009BDE"/>
        </w:rPr>
        <w:t>FORMER PUBLIC COMPANY BOARDS HELD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-54610</wp:posOffset>
            </wp:positionV>
            <wp:extent cx="11430" cy="1143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-31750</wp:posOffset>
            </wp:positionV>
            <wp:extent cx="11430" cy="1143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-8890</wp:posOffset>
            </wp:positionV>
            <wp:extent cx="11430" cy="1143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-83185</wp:posOffset>
            </wp:positionV>
            <wp:extent cx="2051685" cy="571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b w:val="1"/>
          <w:bCs w:val="1"/>
          <w:color w:val="009BDE"/>
        </w:rPr>
        <w:t>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-80010</wp:posOffset>
            </wp:positionV>
            <wp:extent cx="11430" cy="1143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-57150</wp:posOffset>
            </wp:positionV>
            <wp:extent cx="11430" cy="1143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-34290</wp:posOffset>
            </wp:positionV>
            <wp:extent cx="11430" cy="1143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-11430</wp:posOffset>
            </wp:positionV>
            <wp:extent cx="11430" cy="1143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181610</wp:posOffset>
            </wp:positionV>
            <wp:extent cx="3971925" cy="21717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3971925" cy="21717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-69215</wp:posOffset>
            </wp:positionV>
            <wp:extent cx="11430" cy="1143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-46355</wp:posOffset>
            </wp:positionV>
            <wp:extent cx="11430" cy="1143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-23495</wp:posOffset>
            </wp:positionV>
            <wp:extent cx="11430" cy="1143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-635</wp:posOffset>
            </wp:positionV>
            <wp:extent cx="11430" cy="1143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21590</wp:posOffset>
            </wp:positionV>
            <wp:extent cx="11430" cy="1143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1430" cy="1143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44450</wp:posOffset>
            </wp:positionV>
            <wp:extent cx="11430" cy="1143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1430" cy="11430"/>
                    </a:xfrm>
                    <a:prstGeom prst="rect">
                      <a:avLst/>
                    </a:prstGeom>
                    <a:noFill/>
                  </pic:spPr>
                </pic:pic>
              </a:graphicData>
            </a:graphic>
          </wp:anchor>
        </w:drawing>
      </w:r>
    </w:p>
    <w:p>
      <w:pPr>
        <w:spacing w:after="0" w:line="324"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FCFCFC"/>
        </w:rPr>
        <w:t>9</w:t>
      </w:r>
    </w:p>
    <w:p>
      <w:pPr>
        <w:sectPr>
          <w:pgSz w:w="11900" w:h="16838" w:orient="portrait"/>
          <w:cols w:equalWidth="0" w:num="1">
            <w:col w:w="10159"/>
          </w:cols>
          <w:pgMar w:left="300" w:top="372" w:right="1440"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136525</wp:posOffset>
            </wp:positionV>
            <wp:extent cx="4663440" cy="26860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4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Board Committees</w:t>
      </w:r>
    </w:p>
    <w:p>
      <w:pPr>
        <w:spacing w:after="0" w:line="28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Our Board of Directors has five standing committees:</w:t>
      </w:r>
    </w:p>
    <w:p>
      <w:pPr>
        <w:spacing w:after="0" w:line="98" w:lineRule="exact"/>
        <w:rPr>
          <w:sz w:val="20"/>
          <w:szCs w:val="20"/>
          <w:color w:val="auto"/>
        </w:rPr>
      </w:pPr>
    </w:p>
    <w:p>
      <w:pPr>
        <w:ind w:left="2120" w:hanging="148"/>
        <w:spacing w:after="0"/>
        <w:tabs>
          <w:tab w:leader="none" w:pos="21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Audit</w:t>
      </w:r>
    </w:p>
    <w:p>
      <w:pPr>
        <w:ind w:left="2120" w:hanging="148"/>
        <w:spacing w:after="0"/>
        <w:tabs>
          <w:tab w:leader="none" w:pos="21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Compensation</w:t>
      </w:r>
    </w:p>
    <w:p>
      <w:pPr>
        <w:ind w:left="2120" w:hanging="148"/>
        <w:spacing w:after="0"/>
        <w:tabs>
          <w:tab w:leader="none" w:pos="21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Cybersecurity and Data Privacy</w:t>
      </w:r>
    </w:p>
    <w:p>
      <w:pPr>
        <w:ind w:left="2120" w:hanging="148"/>
        <w:spacing w:after="0"/>
        <w:tabs>
          <w:tab w:leader="none" w:pos="21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Finance and Capital Allocation</w:t>
      </w:r>
    </w:p>
    <w:p>
      <w:pPr>
        <w:ind w:left="2120" w:hanging="148"/>
        <w:spacing w:after="0"/>
        <w:tabs>
          <w:tab w:leader="none" w:pos="21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Nominating, Governance and Social Responsibility</w:t>
      </w:r>
    </w:p>
    <w:p>
      <w:pPr>
        <w:spacing w:after="0" w:line="99" w:lineRule="exact"/>
        <w:rPr>
          <w:sz w:val="20"/>
          <w:szCs w:val="20"/>
          <w:color w:val="auto"/>
        </w:rPr>
      </w:pPr>
    </w:p>
    <w:p>
      <w:pPr>
        <w:ind w:left="1980" w:right="999"/>
        <w:spacing w:after="0"/>
        <w:rPr>
          <w:sz w:val="20"/>
          <w:szCs w:val="20"/>
          <w:color w:val="auto"/>
        </w:rPr>
      </w:pPr>
      <w:r>
        <w:rPr>
          <w:rFonts w:ascii="Arial" w:cs="Arial" w:eastAsia="Arial" w:hAnsi="Arial"/>
          <w:sz w:val="11"/>
          <w:szCs w:val="11"/>
          <w:color w:val="auto"/>
        </w:rPr>
        <w:t>The members of each of our required committees, namely Audit, Compensation and Nominating, Governance and Social Responsibility, are all independent directors, as defined by the rules of The NASDAQ Stock Market (“Nasdaq”) and our Standards for Director Independence (“Independence Standards”). Additionally, all members of our Audit Committee meet the additional SEC and Nasdaq independence and experience requirements applicable specifically to audit committee members, and all members of our Compensation Committee satisfy the additional Nasdaq independence requirements specifically applicable to compensation committee members. The Chair of each committee regularly reports to the Board of Directors on committee deliberations and decisions. Each committee’s charter is posted on our website at https://hasbro.gcs-web.com/corporate-governance. The contents of our website are not incorporated by reference into this Proxy Statement.</w:t>
      </w:r>
    </w:p>
    <w:p>
      <w:pPr>
        <w:spacing w:after="0" w:line="87"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principal functions of each committee, together with the committee composition and number of meetings held in 2022, are set forth in the table below.</w:t>
      </w:r>
    </w:p>
    <w:p>
      <w:pPr>
        <w:spacing w:after="0" w:line="1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We expect to update our committee composition effective at our Annual Meeting to reflect the departure of Mr. Bronfin and Mr. Philip.</w:t>
      </w:r>
    </w:p>
    <w:p>
      <w:pPr>
        <w:spacing w:after="0" w:line="160" w:lineRule="exact"/>
        <w:rPr>
          <w:sz w:val="20"/>
          <w:szCs w:val="20"/>
          <w:color w:val="auto"/>
        </w:rPr>
      </w:pPr>
    </w:p>
    <w:tbl>
      <w:tblPr>
        <w:tblLayout w:type="fixed"/>
        <w:tblInd w:w="1980" w:type="dxa"/>
        <w:tblCellMar>
          <w:top w:w="0" w:type="dxa"/>
          <w:left w:w="0" w:type="dxa"/>
          <w:bottom w:w="0" w:type="dxa"/>
          <w:right w:w="0" w:type="dxa"/>
        </w:tblCellMar>
      </w:tblPr>
      <w:tr>
        <w:trPr>
          <w:trHeight w:val="160"/>
        </w:trPr>
        <w:tc>
          <w:tcPr>
            <w:tcW w:w="1180" w:type="dxa"/>
            <w:vAlign w:val="bottom"/>
            <w:shd w:val="clear" w:color="auto" w:fill="CCEBF8"/>
          </w:tcPr>
          <w:p>
            <w:pPr>
              <w:spacing w:after="0"/>
              <w:rPr>
                <w:sz w:val="13"/>
                <w:szCs w:val="13"/>
                <w:color w:val="auto"/>
              </w:rPr>
            </w:pPr>
          </w:p>
        </w:tc>
        <w:tc>
          <w:tcPr>
            <w:tcW w:w="2980" w:type="dxa"/>
            <w:vAlign w:val="bottom"/>
            <w:shd w:val="clear" w:color="auto" w:fill="CCEBF8"/>
          </w:tcPr>
          <w:p>
            <w:pPr>
              <w:spacing w:after="0"/>
              <w:rPr>
                <w:sz w:val="13"/>
                <w:szCs w:val="13"/>
                <w:color w:val="auto"/>
              </w:rPr>
            </w:pPr>
          </w:p>
        </w:tc>
        <w:tc>
          <w:tcPr>
            <w:tcW w:w="1380" w:type="dxa"/>
            <w:vAlign w:val="bottom"/>
            <w:shd w:val="clear" w:color="auto" w:fill="CCEBF8"/>
          </w:tcPr>
          <w:p>
            <w:pPr>
              <w:jc w:val="center"/>
              <w:ind w:left="366"/>
              <w:spacing w:after="0"/>
              <w:rPr>
                <w:sz w:val="20"/>
                <w:szCs w:val="20"/>
                <w:color w:val="auto"/>
              </w:rPr>
            </w:pPr>
            <w:r>
              <w:rPr>
                <w:rFonts w:ascii="Arial" w:cs="Arial" w:eastAsia="Arial" w:hAnsi="Arial"/>
                <w:sz w:val="11"/>
                <w:szCs w:val="11"/>
                <w:b w:val="1"/>
                <w:bCs w:val="1"/>
                <w:color w:val="009BDE"/>
                <w:w w:val="96"/>
              </w:rPr>
              <w:t>Number</w:t>
            </w:r>
          </w:p>
        </w:tc>
        <w:tc>
          <w:tcPr>
            <w:tcW w:w="1800" w:type="dxa"/>
            <w:vAlign w:val="bottom"/>
            <w:shd w:val="clear" w:color="auto" w:fill="CCEBF8"/>
          </w:tcPr>
          <w:p>
            <w:pPr>
              <w:spacing w:after="0"/>
              <w:rPr>
                <w:sz w:val="13"/>
                <w:szCs w:val="13"/>
                <w:color w:val="auto"/>
              </w:rPr>
            </w:pPr>
          </w:p>
        </w:tc>
      </w:tr>
      <w:tr>
        <w:trPr>
          <w:trHeight w:val="126"/>
        </w:trPr>
        <w:tc>
          <w:tcPr>
            <w:tcW w:w="1180" w:type="dxa"/>
            <w:vAlign w:val="bottom"/>
            <w:shd w:val="clear" w:color="auto" w:fill="CCEBF8"/>
          </w:tcPr>
          <w:p>
            <w:pPr>
              <w:spacing w:after="0"/>
              <w:rPr>
                <w:sz w:val="10"/>
                <w:szCs w:val="10"/>
                <w:color w:val="auto"/>
              </w:rPr>
            </w:pPr>
          </w:p>
        </w:tc>
        <w:tc>
          <w:tcPr>
            <w:tcW w:w="2980" w:type="dxa"/>
            <w:vAlign w:val="bottom"/>
            <w:shd w:val="clear" w:color="auto" w:fill="CCEBF8"/>
          </w:tcPr>
          <w:p>
            <w:pPr>
              <w:spacing w:after="0"/>
              <w:rPr>
                <w:sz w:val="10"/>
                <w:szCs w:val="10"/>
                <w:color w:val="auto"/>
              </w:rPr>
            </w:pPr>
          </w:p>
        </w:tc>
        <w:tc>
          <w:tcPr>
            <w:tcW w:w="1380" w:type="dxa"/>
            <w:vAlign w:val="bottom"/>
            <w:shd w:val="clear" w:color="auto" w:fill="CCEBF8"/>
          </w:tcPr>
          <w:p>
            <w:pPr>
              <w:jc w:val="center"/>
              <w:ind w:left="386"/>
              <w:spacing w:after="0"/>
              <w:rPr>
                <w:sz w:val="20"/>
                <w:szCs w:val="20"/>
                <w:color w:val="auto"/>
              </w:rPr>
            </w:pPr>
            <w:r>
              <w:rPr>
                <w:rFonts w:ascii="Arial" w:cs="Arial" w:eastAsia="Arial" w:hAnsi="Arial"/>
                <w:sz w:val="11"/>
                <w:szCs w:val="11"/>
                <w:b w:val="1"/>
                <w:bCs w:val="1"/>
                <w:color w:val="009BDE"/>
                <w:w w:val="95"/>
              </w:rPr>
              <w:t>of</w:t>
            </w:r>
          </w:p>
        </w:tc>
        <w:tc>
          <w:tcPr>
            <w:tcW w:w="1800" w:type="dxa"/>
            <w:vAlign w:val="bottom"/>
            <w:shd w:val="clear" w:color="auto" w:fill="CCEBF8"/>
          </w:tcPr>
          <w:p>
            <w:pPr>
              <w:spacing w:after="0"/>
              <w:rPr>
                <w:sz w:val="10"/>
                <w:szCs w:val="10"/>
                <w:color w:val="auto"/>
              </w:rPr>
            </w:pPr>
          </w:p>
        </w:tc>
      </w:tr>
      <w:tr>
        <w:trPr>
          <w:trHeight w:val="126"/>
        </w:trPr>
        <w:tc>
          <w:tcPr>
            <w:tcW w:w="1180" w:type="dxa"/>
            <w:vAlign w:val="bottom"/>
            <w:shd w:val="clear" w:color="auto" w:fill="CCEBF8"/>
          </w:tcPr>
          <w:p>
            <w:pPr>
              <w:spacing w:after="0"/>
              <w:rPr>
                <w:sz w:val="10"/>
                <w:szCs w:val="10"/>
                <w:color w:val="auto"/>
              </w:rPr>
            </w:pPr>
          </w:p>
        </w:tc>
        <w:tc>
          <w:tcPr>
            <w:tcW w:w="2980" w:type="dxa"/>
            <w:vAlign w:val="bottom"/>
            <w:shd w:val="clear" w:color="auto" w:fill="CCEBF8"/>
          </w:tcPr>
          <w:p>
            <w:pPr>
              <w:spacing w:after="0"/>
              <w:rPr>
                <w:sz w:val="10"/>
                <w:szCs w:val="10"/>
                <w:color w:val="auto"/>
              </w:rPr>
            </w:pPr>
          </w:p>
        </w:tc>
        <w:tc>
          <w:tcPr>
            <w:tcW w:w="1380" w:type="dxa"/>
            <w:vAlign w:val="bottom"/>
            <w:shd w:val="clear" w:color="auto" w:fill="CCEBF8"/>
          </w:tcPr>
          <w:p>
            <w:pPr>
              <w:jc w:val="center"/>
              <w:ind w:left="366"/>
              <w:spacing w:after="0"/>
              <w:rPr>
                <w:sz w:val="20"/>
                <w:szCs w:val="20"/>
                <w:color w:val="auto"/>
              </w:rPr>
            </w:pPr>
            <w:r>
              <w:rPr>
                <w:rFonts w:ascii="Arial" w:cs="Arial" w:eastAsia="Arial" w:hAnsi="Arial"/>
                <w:sz w:val="11"/>
                <w:szCs w:val="11"/>
                <w:b w:val="1"/>
                <w:bCs w:val="1"/>
                <w:color w:val="009BDE"/>
              </w:rPr>
              <w:t>Meetings</w:t>
            </w:r>
          </w:p>
        </w:tc>
        <w:tc>
          <w:tcPr>
            <w:tcW w:w="180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9"/>
              </w:rPr>
              <w:t>2022 Committee</w:t>
            </w:r>
          </w:p>
        </w:tc>
      </w:tr>
      <w:tr>
        <w:trPr>
          <w:trHeight w:val="151"/>
        </w:trPr>
        <w:tc>
          <w:tcPr>
            <w:tcW w:w="1180" w:type="dxa"/>
            <w:vAlign w:val="bottom"/>
            <w:shd w:val="clear" w:color="auto" w:fill="CCEBF8"/>
          </w:tcPr>
          <w:p>
            <w:pPr>
              <w:ind w:left="60"/>
              <w:spacing w:after="0"/>
              <w:rPr>
                <w:sz w:val="20"/>
                <w:szCs w:val="20"/>
                <w:color w:val="auto"/>
              </w:rPr>
            </w:pPr>
            <w:r>
              <w:rPr>
                <w:rFonts w:ascii="Arial" w:cs="Arial" w:eastAsia="Arial" w:hAnsi="Arial"/>
                <w:sz w:val="11"/>
                <w:szCs w:val="11"/>
                <w:b w:val="1"/>
                <w:bCs w:val="1"/>
                <w:color w:val="009BDE"/>
              </w:rPr>
              <w:t>Committee</w:t>
            </w:r>
          </w:p>
        </w:tc>
        <w:tc>
          <w:tcPr>
            <w:tcW w:w="2980" w:type="dxa"/>
            <w:vAlign w:val="bottom"/>
            <w:shd w:val="clear" w:color="auto" w:fill="CCEBF8"/>
          </w:tcPr>
          <w:p>
            <w:pPr>
              <w:ind w:left="1380"/>
              <w:spacing w:after="0"/>
              <w:rPr>
                <w:sz w:val="20"/>
                <w:szCs w:val="20"/>
                <w:color w:val="auto"/>
              </w:rPr>
            </w:pPr>
            <w:r>
              <w:rPr>
                <w:rFonts w:ascii="Arial" w:cs="Arial" w:eastAsia="Arial" w:hAnsi="Arial"/>
                <w:sz w:val="11"/>
                <w:szCs w:val="11"/>
                <w:b w:val="1"/>
                <w:bCs w:val="1"/>
                <w:color w:val="009BDE"/>
              </w:rPr>
              <w:t>Principal Function</w:t>
            </w:r>
          </w:p>
        </w:tc>
        <w:tc>
          <w:tcPr>
            <w:tcW w:w="1380" w:type="dxa"/>
            <w:vAlign w:val="bottom"/>
            <w:shd w:val="clear" w:color="auto" w:fill="CCEBF8"/>
          </w:tcPr>
          <w:p>
            <w:pPr>
              <w:jc w:val="center"/>
              <w:ind w:left="366"/>
              <w:spacing w:after="0"/>
              <w:rPr>
                <w:sz w:val="20"/>
                <w:szCs w:val="20"/>
                <w:color w:val="auto"/>
              </w:rPr>
            </w:pPr>
            <w:r>
              <w:rPr>
                <w:rFonts w:ascii="Arial" w:cs="Arial" w:eastAsia="Arial" w:hAnsi="Arial"/>
                <w:sz w:val="11"/>
                <w:szCs w:val="11"/>
                <w:b w:val="1"/>
                <w:bCs w:val="1"/>
                <w:color w:val="009BDE"/>
                <w:w w:val="96"/>
              </w:rPr>
              <w:t>in 2022</w:t>
            </w:r>
          </w:p>
        </w:tc>
        <w:tc>
          <w:tcPr>
            <w:tcW w:w="180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7"/>
              </w:rPr>
              <w:t>Members (as of year end)</w:t>
            </w:r>
          </w:p>
        </w:tc>
      </w:tr>
      <w:tr>
        <w:trPr>
          <w:trHeight w:val="85"/>
        </w:trPr>
        <w:tc>
          <w:tcPr>
            <w:tcW w:w="1180" w:type="dxa"/>
            <w:vAlign w:val="bottom"/>
            <w:tcBorders>
              <w:bottom w:val="single" w:sz="8" w:color="009BDE"/>
            </w:tcBorders>
            <w:shd w:val="clear" w:color="auto" w:fill="CCEBF8"/>
          </w:tcPr>
          <w:p>
            <w:pPr>
              <w:spacing w:after="0"/>
              <w:rPr>
                <w:sz w:val="7"/>
                <w:szCs w:val="7"/>
                <w:color w:val="auto"/>
              </w:rPr>
            </w:pPr>
          </w:p>
        </w:tc>
        <w:tc>
          <w:tcPr>
            <w:tcW w:w="2980" w:type="dxa"/>
            <w:vAlign w:val="bottom"/>
            <w:tcBorders>
              <w:bottom w:val="single" w:sz="8" w:color="009BDE"/>
            </w:tcBorders>
            <w:shd w:val="clear" w:color="auto" w:fill="CCEBF8"/>
          </w:tcPr>
          <w:p>
            <w:pPr>
              <w:spacing w:after="0"/>
              <w:rPr>
                <w:sz w:val="7"/>
                <w:szCs w:val="7"/>
                <w:color w:val="auto"/>
              </w:rPr>
            </w:pPr>
          </w:p>
        </w:tc>
        <w:tc>
          <w:tcPr>
            <w:tcW w:w="1380" w:type="dxa"/>
            <w:vAlign w:val="bottom"/>
            <w:tcBorders>
              <w:bottom w:val="single" w:sz="8" w:color="009BDE"/>
            </w:tcBorders>
            <w:shd w:val="clear" w:color="auto" w:fill="CCEBF8"/>
          </w:tcPr>
          <w:p>
            <w:pPr>
              <w:spacing w:after="0"/>
              <w:rPr>
                <w:sz w:val="7"/>
                <w:szCs w:val="7"/>
                <w:color w:val="auto"/>
              </w:rPr>
            </w:pPr>
          </w:p>
        </w:tc>
        <w:tc>
          <w:tcPr>
            <w:tcW w:w="1800" w:type="dxa"/>
            <w:vAlign w:val="bottom"/>
            <w:tcBorders>
              <w:bottom w:val="single" w:sz="8" w:color="009BDE"/>
            </w:tcBorders>
            <w:shd w:val="clear" w:color="auto" w:fill="CCEBF8"/>
          </w:tcPr>
          <w:p>
            <w:pPr>
              <w:spacing w:after="0"/>
              <w:rPr>
                <w:sz w:val="7"/>
                <w:szCs w:val="7"/>
                <w:color w:val="auto"/>
              </w:rPr>
            </w:pPr>
          </w:p>
        </w:tc>
      </w:tr>
    </w:tbl>
    <w:p>
      <w:pPr>
        <w:spacing w:after="0" w:line="52" w:lineRule="exact"/>
        <w:rPr>
          <w:sz w:val="20"/>
          <w:szCs w:val="20"/>
          <w:color w:val="auto"/>
        </w:rPr>
      </w:pPr>
    </w:p>
    <w:p>
      <w:pPr>
        <w:sectPr>
          <w:pgSz w:w="11900" w:h="16838" w:orient="portrait"/>
          <w:cols w:equalWidth="0" w:num="1">
            <w:col w:w="10159"/>
          </w:cols>
          <w:pgMar w:left="300" w:top="372" w:right="1440" w:bottom="1440" w:gutter="0" w:footer="0" w:header="0"/>
        </w:sectPr>
      </w:pPr>
    </w:p>
    <w:p>
      <w:pPr>
        <w:spacing w:after="0" w:line="12" w:lineRule="exact"/>
        <w:rPr>
          <w:sz w:val="20"/>
          <w:szCs w:val="20"/>
          <w:color w:val="auto"/>
        </w:rPr>
      </w:pPr>
    </w:p>
    <w:p>
      <w:pPr>
        <w:ind w:left="2020"/>
        <w:spacing w:after="0"/>
        <w:tabs>
          <w:tab w:leader="none" w:pos="3280" w:val="left"/>
        </w:tabs>
        <w:rPr>
          <w:sz w:val="20"/>
          <w:szCs w:val="20"/>
          <w:color w:val="auto"/>
        </w:rPr>
      </w:pPr>
      <w:r>
        <w:rPr>
          <w:rFonts w:ascii="Arial" w:cs="Arial" w:eastAsia="Arial" w:hAnsi="Arial"/>
          <w:sz w:val="10"/>
          <w:szCs w:val="10"/>
          <w:color w:val="auto"/>
        </w:rPr>
        <w:t>Audit</w:t>
      </w:r>
      <w:r>
        <w:rPr>
          <w:sz w:val="20"/>
          <w:szCs w:val="20"/>
          <w:color w:val="auto"/>
        </w:rPr>
        <w:tab/>
      </w:r>
      <w:r>
        <w:rPr>
          <w:rFonts w:ascii="Arial" w:cs="Arial" w:eastAsia="Arial" w:hAnsi="Arial"/>
          <w:sz w:val="10"/>
          <w:szCs w:val="10"/>
          <w:color w:val="auto"/>
        </w:rPr>
        <w:t>•  Directly responsible for the appointment, compensation, retention and</w:t>
      </w:r>
    </w:p>
    <w:p>
      <w:pPr>
        <w:spacing w:after="0" w:line="11" w:lineRule="exact"/>
        <w:rPr>
          <w:sz w:val="20"/>
          <w:szCs w:val="20"/>
          <w:color w:val="auto"/>
        </w:rPr>
      </w:pPr>
    </w:p>
    <w:p>
      <w:pPr>
        <w:ind w:left="3400"/>
        <w:spacing w:after="0"/>
        <w:rPr>
          <w:sz w:val="20"/>
          <w:szCs w:val="20"/>
          <w:color w:val="auto"/>
        </w:rPr>
      </w:pPr>
      <w:r>
        <w:rPr>
          <w:rFonts w:ascii="Arial" w:cs="Arial" w:eastAsia="Arial" w:hAnsi="Arial"/>
          <w:sz w:val="11"/>
          <w:szCs w:val="11"/>
          <w:color w:val="auto"/>
        </w:rPr>
        <w:t>oversight of the Company’s independent auditor.</w:t>
      </w:r>
    </w:p>
    <w:p>
      <w:pPr>
        <w:spacing w:after="0" w:line="81" w:lineRule="exact"/>
        <w:rPr>
          <w:sz w:val="20"/>
          <w:szCs w:val="20"/>
          <w:color w:val="auto"/>
        </w:rPr>
      </w:pPr>
    </w:p>
    <w:p>
      <w:pPr>
        <w:ind w:left="3300"/>
        <w:spacing w:after="0"/>
        <w:rPr>
          <w:sz w:val="20"/>
          <w:szCs w:val="20"/>
          <w:color w:val="auto"/>
        </w:rPr>
      </w:pPr>
      <w:r>
        <w:rPr>
          <w:rFonts w:ascii="Arial" w:cs="Arial" w:eastAsia="Arial" w:hAnsi="Arial"/>
          <w:sz w:val="11"/>
          <w:szCs w:val="11"/>
          <w:color w:val="auto"/>
        </w:rPr>
        <w:t>•  Assists the Board in its oversight of:</w:t>
      </w:r>
    </w:p>
    <w:p>
      <w:pPr>
        <w:spacing w:after="0" w:line="80" w:lineRule="exact"/>
        <w:rPr>
          <w:sz w:val="20"/>
          <w:szCs w:val="20"/>
          <w:color w:val="auto"/>
        </w:rPr>
      </w:pPr>
    </w:p>
    <w:p>
      <w:pPr>
        <w:ind w:left="3400"/>
        <w:spacing w:after="0"/>
        <w:rPr>
          <w:sz w:val="20"/>
          <w:szCs w:val="20"/>
          <w:color w:val="auto"/>
        </w:rPr>
      </w:pPr>
      <w:r>
        <w:rPr>
          <w:rFonts w:ascii="Arial" w:cs="Arial" w:eastAsia="Arial" w:hAnsi="Arial"/>
          <w:sz w:val="11"/>
          <w:szCs w:val="11"/>
          <w:color w:val="auto"/>
        </w:rPr>
        <w:t>-  the integrity of the Company’s financial statements, including</w:t>
      </w:r>
    </w:p>
    <w:p>
      <w:pPr>
        <w:ind w:left="3520"/>
        <w:spacing w:after="0"/>
        <w:rPr>
          <w:sz w:val="20"/>
          <w:szCs w:val="20"/>
          <w:color w:val="auto"/>
        </w:rPr>
      </w:pPr>
      <w:r>
        <w:rPr>
          <w:rFonts w:ascii="Arial" w:cs="Arial" w:eastAsia="Arial" w:hAnsi="Arial"/>
          <w:sz w:val="11"/>
          <w:szCs w:val="11"/>
          <w:color w:val="auto"/>
        </w:rPr>
        <w:t>management’s conduct of the Company’s financial reporting</w:t>
      </w:r>
    </w:p>
    <w:p>
      <w:pPr>
        <w:ind w:left="3520"/>
        <w:spacing w:after="0"/>
        <w:rPr>
          <w:sz w:val="20"/>
          <w:szCs w:val="20"/>
          <w:color w:val="auto"/>
        </w:rPr>
      </w:pPr>
      <w:r>
        <w:rPr>
          <w:rFonts w:ascii="Arial" w:cs="Arial" w:eastAsia="Arial" w:hAnsi="Arial"/>
          <w:sz w:val="11"/>
          <w:szCs w:val="11"/>
          <w:color w:val="auto"/>
        </w:rPr>
        <w:t>process, the financial reports provided by the Company, the</w:t>
      </w:r>
    </w:p>
    <w:p>
      <w:pPr>
        <w:ind w:left="3520"/>
        <w:spacing w:after="0"/>
        <w:rPr>
          <w:sz w:val="20"/>
          <w:szCs w:val="20"/>
          <w:color w:val="auto"/>
        </w:rPr>
      </w:pPr>
      <w:r>
        <w:rPr>
          <w:rFonts w:ascii="Arial" w:cs="Arial" w:eastAsia="Arial" w:hAnsi="Arial"/>
          <w:sz w:val="11"/>
          <w:szCs w:val="11"/>
          <w:color w:val="auto"/>
        </w:rPr>
        <w:t>Company’s systems of internal accounting and financial controls,</w:t>
      </w:r>
    </w:p>
    <w:p>
      <w:pPr>
        <w:ind w:left="3520"/>
        <w:spacing w:after="0"/>
        <w:rPr>
          <w:sz w:val="20"/>
          <w:szCs w:val="20"/>
          <w:color w:val="auto"/>
        </w:rPr>
      </w:pPr>
      <w:r>
        <w:rPr>
          <w:rFonts w:ascii="Arial" w:cs="Arial" w:eastAsia="Arial" w:hAnsi="Arial"/>
          <w:sz w:val="11"/>
          <w:szCs w:val="11"/>
          <w:color w:val="auto"/>
        </w:rPr>
        <w:t>and the quarterly review and annual independent audit of the</w:t>
      </w:r>
    </w:p>
    <w:p>
      <w:pPr>
        <w:ind w:left="3520"/>
        <w:spacing w:after="0"/>
        <w:rPr>
          <w:sz w:val="20"/>
          <w:szCs w:val="20"/>
          <w:color w:val="auto"/>
        </w:rPr>
      </w:pPr>
      <w:r>
        <w:rPr>
          <w:rFonts w:ascii="Arial" w:cs="Arial" w:eastAsia="Arial" w:hAnsi="Arial"/>
          <w:sz w:val="11"/>
          <w:szCs w:val="11"/>
          <w:color w:val="auto"/>
        </w:rPr>
        <w:t>Company’s financial statements;</w:t>
      </w:r>
    </w:p>
    <w:p>
      <w:pPr>
        <w:spacing w:after="0" w:line="81" w:lineRule="exact"/>
        <w:rPr>
          <w:sz w:val="20"/>
          <w:szCs w:val="20"/>
          <w:color w:val="auto"/>
        </w:rPr>
      </w:pPr>
    </w:p>
    <w:p>
      <w:pPr>
        <w:ind w:left="3400"/>
        <w:spacing w:after="0"/>
        <w:rPr>
          <w:sz w:val="20"/>
          <w:szCs w:val="20"/>
          <w:color w:val="auto"/>
        </w:rPr>
      </w:pPr>
      <w:r>
        <w:rPr>
          <w:rFonts w:ascii="Arial" w:cs="Arial" w:eastAsia="Arial" w:hAnsi="Arial"/>
          <w:sz w:val="10"/>
          <w:szCs w:val="10"/>
          <w:color w:val="auto"/>
        </w:rPr>
        <w:t>-  the Company’s compliance with legal and regulatory requirements;</w:t>
      </w:r>
    </w:p>
    <w:p>
      <w:pPr>
        <w:spacing w:after="0" w:line="92" w:lineRule="exact"/>
        <w:rPr>
          <w:sz w:val="20"/>
          <w:szCs w:val="20"/>
          <w:color w:val="auto"/>
        </w:rPr>
      </w:pPr>
    </w:p>
    <w:p>
      <w:pPr>
        <w:ind w:left="3400"/>
        <w:spacing w:after="0"/>
        <w:rPr>
          <w:sz w:val="20"/>
          <w:szCs w:val="20"/>
          <w:color w:val="auto"/>
        </w:rPr>
      </w:pPr>
      <w:r>
        <w:rPr>
          <w:rFonts w:ascii="Arial" w:cs="Arial" w:eastAsia="Arial" w:hAnsi="Arial"/>
          <w:sz w:val="11"/>
          <w:szCs w:val="11"/>
          <w:color w:val="auto"/>
        </w:rPr>
        <w:t>-  the independent auditor’s qualifications and independence; and</w:t>
      </w:r>
    </w:p>
    <w:p>
      <w:pPr>
        <w:spacing w:after="0" w:line="80" w:lineRule="exact"/>
        <w:rPr>
          <w:sz w:val="20"/>
          <w:szCs w:val="20"/>
          <w:color w:val="auto"/>
        </w:rPr>
      </w:pPr>
    </w:p>
    <w:p>
      <w:pPr>
        <w:ind w:left="3400"/>
        <w:spacing w:after="0"/>
        <w:rPr>
          <w:sz w:val="20"/>
          <w:szCs w:val="20"/>
          <w:color w:val="auto"/>
        </w:rPr>
      </w:pPr>
      <w:r>
        <w:rPr>
          <w:rFonts w:ascii="Arial" w:cs="Arial" w:eastAsia="Arial" w:hAnsi="Arial"/>
          <w:sz w:val="11"/>
          <w:szCs w:val="11"/>
          <w:color w:val="auto"/>
        </w:rPr>
        <w:t>-  performance of the Company’s internal audit function and internal</w:t>
      </w:r>
    </w:p>
    <w:p>
      <w:pPr>
        <w:jc w:val="center"/>
        <w:ind w:left="680"/>
        <w:spacing w:after="0"/>
        <w:rPr>
          <w:sz w:val="20"/>
          <w:szCs w:val="20"/>
          <w:color w:val="auto"/>
        </w:rPr>
      </w:pPr>
      <w:r>
        <w:rPr>
          <w:rFonts w:ascii="Arial" w:cs="Arial" w:eastAsia="Arial" w:hAnsi="Arial"/>
          <w:sz w:val="11"/>
          <w:szCs w:val="11"/>
          <w:color w:val="auto"/>
        </w:rPr>
        <w:t>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50165</wp:posOffset>
            </wp:positionV>
            <wp:extent cx="4663440" cy="571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118745</wp:posOffset>
            </wp:positionV>
            <wp:extent cx="3971925" cy="21717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18" w:right="1379" w:hanging="318"/>
        <w:spacing w:after="0" w:line="444" w:lineRule="auto"/>
        <w:tabs>
          <w:tab w:leader="none" w:pos="318" w:val="left"/>
        </w:tabs>
        <w:numPr>
          <w:ilvl w:val="0"/>
          <w:numId w:val="23"/>
        </w:numPr>
        <w:rPr>
          <w:rFonts w:ascii="Arial" w:cs="Arial" w:eastAsia="Arial" w:hAnsi="Arial"/>
          <w:sz w:val="10"/>
          <w:szCs w:val="10"/>
          <w:color w:val="auto"/>
        </w:rPr>
      </w:pPr>
      <w:r>
        <w:rPr>
          <w:rFonts w:ascii="Arial" w:cs="Arial" w:eastAsia="Arial" w:hAnsi="Arial"/>
          <w:sz w:val="10"/>
          <w:szCs w:val="10"/>
          <w:b w:val="1"/>
          <w:bCs w:val="1"/>
          <w:color w:val="auto"/>
        </w:rPr>
        <w:t>Hope F. Cochran (Chair)</w:t>
      </w:r>
      <w:r>
        <w:rPr>
          <w:rFonts w:ascii="Arial" w:cs="Arial" w:eastAsia="Arial" w:hAnsi="Arial"/>
          <w:sz w:val="10"/>
          <w:szCs w:val="10"/>
          <w:color w:val="auto"/>
        </w:rPr>
        <w:t>†</w:t>
      </w:r>
      <w:r>
        <w:rPr>
          <w:rFonts w:ascii="Arial" w:cs="Arial" w:eastAsia="Arial" w:hAnsi="Arial"/>
          <w:sz w:val="10"/>
          <w:szCs w:val="10"/>
          <w:b w:val="1"/>
          <w:bCs w:val="1"/>
          <w:color w:val="auto"/>
        </w:rPr>
        <w:t xml:space="preserve"> </w:t>
      </w:r>
      <w:r>
        <w:rPr>
          <w:rFonts w:ascii="Arial" w:cs="Arial" w:eastAsia="Arial" w:hAnsi="Arial"/>
          <w:sz w:val="10"/>
          <w:szCs w:val="10"/>
          <w:color w:val="auto"/>
        </w:rPr>
        <w:t>Kenneth A. Bronfin</w:t>
      </w:r>
    </w:p>
    <w:p>
      <w:pPr>
        <w:ind w:left="318" w:right="1739"/>
        <w:spacing w:after="0" w:line="392" w:lineRule="auto"/>
        <w:rPr>
          <w:rFonts w:ascii="Arial" w:cs="Arial" w:eastAsia="Arial" w:hAnsi="Arial"/>
          <w:sz w:val="10"/>
          <w:szCs w:val="10"/>
          <w:color w:val="auto"/>
        </w:rPr>
      </w:pPr>
      <w:r>
        <w:rPr>
          <w:rFonts w:ascii="Arial" w:cs="Arial" w:eastAsia="Arial" w:hAnsi="Arial"/>
          <w:sz w:val="11"/>
          <w:szCs w:val="11"/>
          <w:color w:val="auto"/>
        </w:rPr>
        <w:t>Lisa Gersh† Blake Jorgensen† Tracy A. Leinbach†</w:t>
      </w:r>
    </w:p>
    <w:p>
      <w:pPr>
        <w:spacing w:after="0" w:line="1" w:lineRule="exact"/>
        <w:rPr>
          <w:sz w:val="20"/>
          <w:szCs w:val="20"/>
          <w:color w:val="auto"/>
        </w:rPr>
      </w:pPr>
    </w:p>
    <w:p>
      <w:pPr>
        <w:ind w:left="318"/>
        <w:spacing w:after="0"/>
        <w:rPr>
          <w:sz w:val="20"/>
          <w:szCs w:val="20"/>
          <w:color w:val="auto"/>
        </w:rPr>
      </w:pPr>
      <w:r>
        <w:rPr>
          <w:rFonts w:ascii="Arial" w:cs="Arial" w:eastAsia="Arial" w:hAnsi="Arial"/>
          <w:sz w:val="11"/>
          <w:szCs w:val="11"/>
          <w:color w:val="auto"/>
        </w:rPr>
        <w:t>Linda Zecher Higgins†</w:t>
      </w:r>
    </w:p>
    <w:p>
      <w:pPr>
        <w:spacing w:after="0" w:line="82" w:lineRule="exact"/>
        <w:rPr>
          <w:sz w:val="20"/>
          <w:szCs w:val="20"/>
          <w:color w:val="auto"/>
        </w:rPr>
      </w:pPr>
    </w:p>
    <w:p>
      <w:pPr>
        <w:ind w:left="418"/>
        <w:spacing w:after="0"/>
        <w:rPr>
          <w:sz w:val="20"/>
          <w:szCs w:val="20"/>
          <w:color w:val="auto"/>
        </w:rPr>
      </w:pPr>
      <w:r>
        <w:rPr>
          <w:rFonts w:ascii="Arial" w:cs="Arial" w:eastAsia="Arial" w:hAnsi="Arial"/>
          <w:sz w:val="8"/>
          <w:szCs w:val="8"/>
          <w:color w:val="auto"/>
        </w:rPr>
        <w:t>†  The Board has determined that this</w:t>
      </w:r>
    </w:p>
    <w:p>
      <w:pPr>
        <w:spacing w:after="0" w:line="9" w:lineRule="exact"/>
        <w:rPr>
          <w:sz w:val="20"/>
          <w:szCs w:val="20"/>
          <w:color w:val="auto"/>
        </w:rPr>
      </w:pPr>
    </w:p>
    <w:p>
      <w:pPr>
        <w:ind w:left="518"/>
        <w:spacing w:after="0"/>
        <w:rPr>
          <w:sz w:val="20"/>
          <w:szCs w:val="20"/>
          <w:color w:val="auto"/>
        </w:rPr>
      </w:pPr>
      <w:r>
        <w:rPr>
          <w:rFonts w:ascii="Arial" w:cs="Arial" w:eastAsia="Arial" w:hAnsi="Arial"/>
          <w:sz w:val="10"/>
          <w:szCs w:val="10"/>
          <w:color w:val="auto"/>
        </w:rPr>
        <w:t>person qualifies as an Audit</w:t>
      </w:r>
    </w:p>
    <w:p>
      <w:pPr>
        <w:ind w:left="518"/>
        <w:spacing w:after="0"/>
        <w:rPr>
          <w:sz w:val="20"/>
          <w:szCs w:val="20"/>
          <w:color w:val="auto"/>
        </w:rPr>
      </w:pPr>
      <w:r>
        <w:rPr>
          <w:rFonts w:ascii="Arial" w:cs="Arial" w:eastAsia="Arial" w:hAnsi="Arial"/>
          <w:sz w:val="8"/>
          <w:szCs w:val="8"/>
          <w:color w:val="auto"/>
        </w:rPr>
        <w:t>Committee Financial Expert under</w:t>
      </w:r>
    </w:p>
    <w:p>
      <w:pPr>
        <w:spacing w:after="0" w:line="16" w:lineRule="exact"/>
        <w:rPr>
          <w:sz w:val="20"/>
          <w:szCs w:val="20"/>
          <w:color w:val="auto"/>
        </w:rPr>
      </w:pPr>
    </w:p>
    <w:p>
      <w:pPr>
        <w:ind w:left="518"/>
        <w:spacing w:after="0"/>
        <w:rPr>
          <w:sz w:val="20"/>
          <w:szCs w:val="20"/>
          <w:color w:val="auto"/>
        </w:rPr>
      </w:pPr>
      <w:r>
        <w:rPr>
          <w:rFonts w:ascii="Arial" w:cs="Arial" w:eastAsia="Arial" w:hAnsi="Arial"/>
          <w:sz w:val="10"/>
          <w:szCs w:val="10"/>
          <w:color w:val="auto"/>
        </w:rPr>
        <w:t>applicable SEC rules.</w:t>
      </w:r>
    </w:p>
    <w:p>
      <w:pPr>
        <w:spacing w:after="0" w:line="560" w:lineRule="exact"/>
        <w:rPr>
          <w:sz w:val="20"/>
          <w:szCs w:val="20"/>
          <w:color w:val="auto"/>
        </w:rPr>
      </w:pPr>
    </w:p>
    <w:p>
      <w:pPr>
        <w:sectPr>
          <w:pgSz w:w="11900" w:h="16838" w:orient="portrait"/>
          <w:cols w:equalWidth="0" w:num="2">
            <w:col w:w="6700" w:space="462"/>
            <w:col w:w="2997"/>
          </w:cols>
          <w:pgMar w:left="300" w:top="372" w:right="1440" w:bottom="1440" w:gutter="0" w:footer="0" w:header="0"/>
          <w:type w:val="continuous"/>
        </w:sectPr>
      </w:pPr>
    </w:p>
    <w:p>
      <w:pPr>
        <w:spacing w:after="0" w:line="54" w:lineRule="exact"/>
        <w:rPr>
          <w:sz w:val="20"/>
          <w:szCs w:val="20"/>
          <w:color w:val="auto"/>
        </w:rPr>
      </w:pPr>
    </w:p>
    <w:p>
      <w:pPr>
        <w:ind w:left="2080"/>
        <w:spacing w:after="0"/>
        <w:rPr>
          <w:sz w:val="20"/>
          <w:szCs w:val="20"/>
          <w:color w:val="auto"/>
        </w:rPr>
      </w:pPr>
      <w:r>
        <w:rPr>
          <w:rFonts w:ascii="Arial" w:cs="Arial" w:eastAsia="Arial" w:hAnsi="Arial"/>
          <w:sz w:val="10"/>
          <w:szCs w:val="10"/>
          <w:b w:val="1"/>
          <w:bCs w:val="1"/>
          <w:color w:val="FCFCFC"/>
        </w:rPr>
        <w:t>10</w:t>
      </w:r>
    </w:p>
    <w:p>
      <w:pPr>
        <w:sectPr>
          <w:pgSz w:w="11900" w:h="16838" w:orient="portrait"/>
          <w:cols w:equalWidth="0" w:num="1">
            <w:col w:w="10159"/>
          </w:cols>
          <w:pgMar w:left="300" w:top="372" w:right="1440"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tbl>
      <w:tblPr>
        <w:tblLayout w:type="fixed"/>
        <w:tblInd w:w="1980" w:type="dxa"/>
        <w:tblCellMar>
          <w:top w:w="0" w:type="dxa"/>
          <w:left w:w="0" w:type="dxa"/>
          <w:bottom w:w="0" w:type="dxa"/>
          <w:right w:w="0" w:type="dxa"/>
        </w:tblCellMar>
      </w:tblPr>
      <w:tr>
        <w:trPr>
          <w:trHeight w:val="160"/>
        </w:trPr>
        <w:tc>
          <w:tcPr>
            <w:tcW w:w="1180" w:type="dxa"/>
            <w:vAlign w:val="bottom"/>
            <w:shd w:val="clear" w:color="auto" w:fill="CCEBF8"/>
          </w:tcPr>
          <w:p>
            <w:pPr>
              <w:spacing w:after="0"/>
              <w:rPr>
                <w:sz w:val="13"/>
                <w:szCs w:val="13"/>
                <w:color w:val="auto"/>
              </w:rPr>
            </w:pPr>
          </w:p>
        </w:tc>
        <w:tc>
          <w:tcPr>
            <w:tcW w:w="3600" w:type="dxa"/>
            <w:vAlign w:val="bottom"/>
            <w:shd w:val="clear" w:color="auto" w:fill="CCEBF8"/>
          </w:tcPr>
          <w:p>
            <w:pPr>
              <w:spacing w:after="0"/>
              <w:rPr>
                <w:sz w:val="13"/>
                <w:szCs w:val="13"/>
                <w:color w:val="auto"/>
              </w:rPr>
            </w:pPr>
          </w:p>
        </w:tc>
        <w:tc>
          <w:tcPr>
            <w:tcW w:w="620" w:type="dxa"/>
            <w:vAlign w:val="bottom"/>
            <w:shd w:val="clear" w:color="auto" w:fill="CCEBF8"/>
          </w:tcPr>
          <w:p>
            <w:pPr>
              <w:jc w:val="center"/>
              <w:ind w:right="6"/>
              <w:spacing w:after="0"/>
              <w:rPr>
                <w:sz w:val="20"/>
                <w:szCs w:val="20"/>
                <w:color w:val="auto"/>
              </w:rPr>
            </w:pPr>
            <w:r>
              <w:rPr>
                <w:rFonts w:ascii="Arial" w:cs="Arial" w:eastAsia="Arial" w:hAnsi="Arial"/>
                <w:sz w:val="11"/>
                <w:szCs w:val="11"/>
                <w:b w:val="1"/>
                <w:bCs w:val="1"/>
                <w:color w:val="009BDE"/>
                <w:w w:val="96"/>
              </w:rPr>
              <w:t>Number</w:t>
            </w:r>
          </w:p>
        </w:tc>
        <w:tc>
          <w:tcPr>
            <w:tcW w:w="1940" w:type="dxa"/>
            <w:vAlign w:val="bottom"/>
            <w:shd w:val="clear" w:color="auto" w:fill="CCEBF8"/>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80" w:type="dxa"/>
            <w:vAlign w:val="bottom"/>
            <w:shd w:val="clear" w:color="auto" w:fill="CCEBF8"/>
          </w:tcPr>
          <w:p>
            <w:pPr>
              <w:spacing w:after="0"/>
              <w:rPr>
                <w:sz w:val="10"/>
                <w:szCs w:val="10"/>
                <w:color w:val="auto"/>
              </w:rPr>
            </w:pPr>
          </w:p>
        </w:tc>
        <w:tc>
          <w:tcPr>
            <w:tcW w:w="3600" w:type="dxa"/>
            <w:vAlign w:val="bottom"/>
            <w:shd w:val="clear" w:color="auto" w:fill="CCEBF8"/>
          </w:tcPr>
          <w:p>
            <w:pPr>
              <w:spacing w:after="0"/>
              <w:rPr>
                <w:sz w:val="10"/>
                <w:szCs w:val="10"/>
                <w:color w:val="auto"/>
              </w:rPr>
            </w:pPr>
          </w:p>
        </w:tc>
        <w:tc>
          <w:tcPr>
            <w:tcW w:w="620" w:type="dxa"/>
            <w:vAlign w:val="bottom"/>
            <w:shd w:val="clear" w:color="auto" w:fill="CCEBF8"/>
          </w:tcPr>
          <w:p>
            <w:pPr>
              <w:jc w:val="center"/>
              <w:ind w:right="26"/>
              <w:spacing w:after="0"/>
              <w:rPr>
                <w:sz w:val="20"/>
                <w:szCs w:val="20"/>
                <w:color w:val="auto"/>
              </w:rPr>
            </w:pPr>
            <w:r>
              <w:rPr>
                <w:rFonts w:ascii="Arial" w:cs="Arial" w:eastAsia="Arial" w:hAnsi="Arial"/>
                <w:sz w:val="11"/>
                <w:szCs w:val="11"/>
                <w:b w:val="1"/>
                <w:bCs w:val="1"/>
                <w:color w:val="009BDE"/>
                <w:w w:val="95"/>
              </w:rPr>
              <w:t>of</w:t>
            </w:r>
          </w:p>
        </w:tc>
        <w:tc>
          <w:tcPr>
            <w:tcW w:w="1940" w:type="dxa"/>
            <w:vAlign w:val="bottom"/>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80" w:type="dxa"/>
            <w:vAlign w:val="bottom"/>
            <w:shd w:val="clear" w:color="auto" w:fill="CCEBF8"/>
          </w:tcPr>
          <w:p>
            <w:pPr>
              <w:spacing w:after="0"/>
              <w:rPr>
                <w:sz w:val="10"/>
                <w:szCs w:val="10"/>
                <w:color w:val="auto"/>
              </w:rPr>
            </w:pPr>
          </w:p>
        </w:tc>
        <w:tc>
          <w:tcPr>
            <w:tcW w:w="3600" w:type="dxa"/>
            <w:vAlign w:val="bottom"/>
            <w:shd w:val="clear" w:color="auto" w:fill="CCEBF8"/>
          </w:tcPr>
          <w:p>
            <w:pPr>
              <w:spacing w:after="0"/>
              <w:rPr>
                <w:sz w:val="10"/>
                <w:szCs w:val="10"/>
                <w:color w:val="auto"/>
              </w:rPr>
            </w:pPr>
          </w:p>
        </w:tc>
        <w:tc>
          <w:tcPr>
            <w:tcW w:w="620" w:type="dxa"/>
            <w:vAlign w:val="bottom"/>
            <w:shd w:val="clear" w:color="auto" w:fill="CCEBF8"/>
          </w:tcPr>
          <w:p>
            <w:pPr>
              <w:jc w:val="right"/>
              <w:ind w:right="66"/>
              <w:spacing w:after="0"/>
              <w:rPr>
                <w:sz w:val="20"/>
                <w:szCs w:val="20"/>
                <w:color w:val="auto"/>
              </w:rPr>
            </w:pPr>
            <w:r>
              <w:rPr>
                <w:rFonts w:ascii="Arial" w:cs="Arial" w:eastAsia="Arial" w:hAnsi="Arial"/>
                <w:sz w:val="11"/>
                <w:szCs w:val="11"/>
                <w:b w:val="1"/>
                <w:bCs w:val="1"/>
                <w:color w:val="009BDE"/>
              </w:rPr>
              <w:t>Meetings</w:t>
            </w:r>
          </w:p>
        </w:tc>
        <w:tc>
          <w:tcPr>
            <w:tcW w:w="1940" w:type="dxa"/>
            <w:vAlign w:val="bottom"/>
            <w:shd w:val="clear" w:color="auto" w:fill="CCEBF8"/>
          </w:tcPr>
          <w:p>
            <w:pPr>
              <w:ind w:left="600"/>
              <w:spacing w:after="0"/>
              <w:rPr>
                <w:sz w:val="20"/>
                <w:szCs w:val="20"/>
                <w:color w:val="auto"/>
              </w:rPr>
            </w:pPr>
            <w:r>
              <w:rPr>
                <w:rFonts w:ascii="Arial" w:cs="Arial" w:eastAsia="Arial" w:hAnsi="Arial"/>
                <w:sz w:val="11"/>
                <w:szCs w:val="11"/>
                <w:b w:val="1"/>
                <w:bCs w:val="1"/>
                <w:color w:val="009BDE"/>
              </w:rPr>
              <w:t>2022 Committee</w:t>
            </w:r>
          </w:p>
        </w:tc>
        <w:tc>
          <w:tcPr>
            <w:tcW w:w="0" w:type="dxa"/>
            <w:vAlign w:val="bottom"/>
          </w:tcPr>
          <w:p>
            <w:pPr>
              <w:spacing w:after="0"/>
              <w:rPr>
                <w:sz w:val="1"/>
                <w:szCs w:val="1"/>
                <w:color w:val="auto"/>
              </w:rPr>
            </w:pPr>
          </w:p>
        </w:tc>
      </w:tr>
      <w:tr>
        <w:trPr>
          <w:trHeight w:val="151"/>
        </w:trPr>
        <w:tc>
          <w:tcPr>
            <w:tcW w:w="1180" w:type="dxa"/>
            <w:vAlign w:val="bottom"/>
            <w:shd w:val="clear" w:color="auto" w:fill="CCEBF8"/>
          </w:tcPr>
          <w:p>
            <w:pPr>
              <w:ind w:left="60"/>
              <w:spacing w:after="0"/>
              <w:rPr>
                <w:sz w:val="20"/>
                <w:szCs w:val="20"/>
                <w:color w:val="auto"/>
              </w:rPr>
            </w:pPr>
            <w:r>
              <w:rPr>
                <w:rFonts w:ascii="Arial" w:cs="Arial" w:eastAsia="Arial" w:hAnsi="Arial"/>
                <w:sz w:val="11"/>
                <w:szCs w:val="11"/>
                <w:b w:val="1"/>
                <w:bCs w:val="1"/>
                <w:color w:val="009BDE"/>
              </w:rPr>
              <w:t>Committee</w:t>
            </w:r>
          </w:p>
        </w:tc>
        <w:tc>
          <w:tcPr>
            <w:tcW w:w="3600" w:type="dxa"/>
            <w:vAlign w:val="bottom"/>
            <w:shd w:val="clear" w:color="auto" w:fill="CCEBF8"/>
          </w:tcPr>
          <w:p>
            <w:pPr>
              <w:ind w:left="1380"/>
              <w:spacing w:after="0"/>
              <w:rPr>
                <w:sz w:val="20"/>
                <w:szCs w:val="20"/>
                <w:color w:val="auto"/>
              </w:rPr>
            </w:pPr>
            <w:r>
              <w:rPr>
                <w:rFonts w:ascii="Arial" w:cs="Arial" w:eastAsia="Arial" w:hAnsi="Arial"/>
                <w:sz w:val="11"/>
                <w:szCs w:val="11"/>
                <w:b w:val="1"/>
                <w:bCs w:val="1"/>
                <w:color w:val="009BDE"/>
              </w:rPr>
              <w:t>Principal Function</w:t>
            </w:r>
          </w:p>
        </w:tc>
        <w:tc>
          <w:tcPr>
            <w:tcW w:w="620" w:type="dxa"/>
            <w:vAlign w:val="bottom"/>
            <w:shd w:val="clear" w:color="auto" w:fill="CCEBF8"/>
          </w:tcPr>
          <w:p>
            <w:pPr>
              <w:jc w:val="center"/>
              <w:ind w:right="6"/>
              <w:spacing w:after="0"/>
              <w:rPr>
                <w:sz w:val="20"/>
                <w:szCs w:val="20"/>
                <w:color w:val="auto"/>
              </w:rPr>
            </w:pPr>
            <w:r>
              <w:rPr>
                <w:rFonts w:ascii="Arial" w:cs="Arial" w:eastAsia="Arial" w:hAnsi="Arial"/>
                <w:sz w:val="11"/>
                <w:szCs w:val="11"/>
                <w:b w:val="1"/>
                <w:bCs w:val="1"/>
                <w:color w:val="009BDE"/>
                <w:w w:val="96"/>
              </w:rPr>
              <w:t>in 2022</w:t>
            </w:r>
          </w:p>
        </w:tc>
        <w:tc>
          <w:tcPr>
            <w:tcW w:w="1940" w:type="dxa"/>
            <w:vAlign w:val="bottom"/>
            <w:shd w:val="clear" w:color="auto" w:fill="CCEBF8"/>
          </w:tcPr>
          <w:p>
            <w:pPr>
              <w:ind w:left="380"/>
              <w:spacing w:after="0"/>
              <w:rPr>
                <w:sz w:val="20"/>
                <w:szCs w:val="20"/>
                <w:color w:val="auto"/>
              </w:rPr>
            </w:pPr>
            <w:r>
              <w:rPr>
                <w:rFonts w:ascii="Arial" w:cs="Arial" w:eastAsia="Arial" w:hAnsi="Arial"/>
                <w:sz w:val="11"/>
                <w:szCs w:val="11"/>
                <w:b w:val="1"/>
                <w:bCs w:val="1"/>
                <w:color w:val="009BDE"/>
              </w:rPr>
              <w:t>Members (as of year end)</w:t>
            </w:r>
          </w:p>
        </w:tc>
        <w:tc>
          <w:tcPr>
            <w:tcW w:w="0" w:type="dxa"/>
            <w:vAlign w:val="bottom"/>
          </w:tcPr>
          <w:p>
            <w:pPr>
              <w:spacing w:after="0"/>
              <w:rPr>
                <w:sz w:val="1"/>
                <w:szCs w:val="1"/>
                <w:color w:val="auto"/>
              </w:rPr>
            </w:pPr>
          </w:p>
        </w:tc>
      </w:tr>
      <w:tr>
        <w:trPr>
          <w:trHeight w:val="85"/>
        </w:trPr>
        <w:tc>
          <w:tcPr>
            <w:tcW w:w="1180" w:type="dxa"/>
            <w:vAlign w:val="bottom"/>
            <w:tcBorders>
              <w:bottom w:val="single" w:sz="8" w:color="009BDE"/>
            </w:tcBorders>
            <w:shd w:val="clear" w:color="auto" w:fill="CCEBF8"/>
          </w:tcPr>
          <w:p>
            <w:pPr>
              <w:spacing w:after="0"/>
              <w:rPr>
                <w:sz w:val="7"/>
                <w:szCs w:val="7"/>
                <w:color w:val="auto"/>
              </w:rPr>
            </w:pPr>
          </w:p>
        </w:tc>
        <w:tc>
          <w:tcPr>
            <w:tcW w:w="3600" w:type="dxa"/>
            <w:vAlign w:val="bottom"/>
            <w:tcBorders>
              <w:bottom w:val="single" w:sz="8" w:color="009BDE"/>
            </w:tcBorders>
            <w:shd w:val="clear" w:color="auto" w:fill="CCEBF8"/>
          </w:tcPr>
          <w:p>
            <w:pPr>
              <w:spacing w:after="0"/>
              <w:rPr>
                <w:sz w:val="7"/>
                <w:szCs w:val="7"/>
                <w:color w:val="auto"/>
              </w:rPr>
            </w:pPr>
          </w:p>
        </w:tc>
        <w:tc>
          <w:tcPr>
            <w:tcW w:w="620" w:type="dxa"/>
            <w:vAlign w:val="bottom"/>
            <w:tcBorders>
              <w:bottom w:val="single" w:sz="8" w:color="009BDE"/>
            </w:tcBorders>
            <w:shd w:val="clear" w:color="auto" w:fill="CCEBF8"/>
          </w:tcPr>
          <w:p>
            <w:pPr>
              <w:spacing w:after="0"/>
              <w:rPr>
                <w:sz w:val="7"/>
                <w:szCs w:val="7"/>
                <w:color w:val="auto"/>
              </w:rPr>
            </w:pPr>
          </w:p>
        </w:tc>
        <w:tc>
          <w:tcPr>
            <w:tcW w:w="1940" w:type="dxa"/>
            <w:vAlign w:val="bottom"/>
            <w:tcBorders>
              <w:bottom w:val="single" w:sz="8" w:color="009BDE"/>
            </w:tcBorders>
            <w:shd w:val="clear" w:color="auto" w:fill="CCEBF8"/>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1180" w:type="dxa"/>
            <w:vAlign w:val="bottom"/>
          </w:tcPr>
          <w:p>
            <w:pPr>
              <w:ind w:left="40"/>
              <w:spacing w:after="0"/>
              <w:rPr>
                <w:sz w:val="20"/>
                <w:szCs w:val="20"/>
                <w:color w:val="auto"/>
              </w:rPr>
            </w:pPr>
            <w:r>
              <w:rPr>
                <w:rFonts w:ascii="Arial" w:cs="Arial" w:eastAsia="Arial" w:hAnsi="Arial"/>
                <w:sz w:val="11"/>
                <w:szCs w:val="11"/>
                <w:color w:val="auto"/>
              </w:rPr>
              <w:t>Compensation</w:t>
            </w:r>
          </w:p>
        </w:tc>
        <w:tc>
          <w:tcPr>
            <w:tcW w:w="3600" w:type="dxa"/>
            <w:vAlign w:val="bottom"/>
          </w:tcPr>
          <w:p>
            <w:pPr>
              <w:ind w:left="140"/>
              <w:spacing w:after="0"/>
              <w:rPr>
                <w:sz w:val="20"/>
                <w:szCs w:val="20"/>
                <w:color w:val="auto"/>
              </w:rPr>
            </w:pPr>
            <w:r>
              <w:rPr>
                <w:rFonts w:ascii="Arial" w:cs="Arial" w:eastAsia="Arial" w:hAnsi="Arial"/>
                <w:sz w:val="11"/>
                <w:szCs w:val="11"/>
                <w:color w:val="auto"/>
              </w:rPr>
              <w:t>•  Responsible for establishing and overseeing the compensation</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940" w:type="dxa"/>
            <w:vAlign w:val="bottom"/>
          </w:tcPr>
          <w:p>
            <w:pPr>
              <w:ind w:left="100"/>
              <w:spacing w:after="0"/>
              <w:rPr>
                <w:sz w:val="20"/>
                <w:szCs w:val="20"/>
                <w:color w:val="auto"/>
              </w:rPr>
            </w:pPr>
            <w:r>
              <w:rPr>
                <w:rFonts w:ascii="Arial" w:cs="Arial" w:eastAsia="Arial" w:hAnsi="Arial"/>
                <w:sz w:val="11"/>
                <w:szCs w:val="11"/>
                <w:b w:val="1"/>
                <w:bCs w:val="1"/>
                <w:color w:val="auto"/>
              </w:rPr>
              <w:t>Lisa Gersh (Chair)</w:t>
            </w: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3600" w:type="dxa"/>
            <w:vAlign w:val="bottom"/>
          </w:tcPr>
          <w:p>
            <w:pPr>
              <w:ind w:left="240"/>
              <w:spacing w:after="0"/>
              <w:rPr>
                <w:sz w:val="20"/>
                <w:szCs w:val="20"/>
                <w:color w:val="auto"/>
              </w:rPr>
            </w:pPr>
            <w:r>
              <w:rPr>
                <w:rFonts w:ascii="Arial" w:cs="Arial" w:eastAsia="Arial" w:hAnsi="Arial"/>
                <w:sz w:val="11"/>
                <w:szCs w:val="11"/>
                <w:color w:val="auto"/>
              </w:rPr>
              <w:t>policies, arrangements and plans of the Company with respect to</w:t>
            </w:r>
          </w:p>
        </w:tc>
        <w:tc>
          <w:tcPr>
            <w:tcW w:w="620" w:type="dxa"/>
            <w:vAlign w:val="bottom"/>
          </w:tcPr>
          <w:p>
            <w:pPr>
              <w:spacing w:after="0"/>
              <w:rPr>
                <w:sz w:val="10"/>
                <w:szCs w:val="10"/>
                <w:color w:val="auto"/>
              </w:rPr>
            </w:pPr>
          </w:p>
        </w:tc>
        <w:tc>
          <w:tcPr>
            <w:tcW w:w="1940" w:type="dxa"/>
            <w:vAlign w:val="bottom"/>
            <w:vMerge w:val="restart"/>
          </w:tcPr>
          <w:p>
            <w:pPr>
              <w:ind w:left="100"/>
              <w:spacing w:after="0"/>
              <w:rPr>
                <w:sz w:val="20"/>
                <w:szCs w:val="20"/>
                <w:color w:val="auto"/>
              </w:rPr>
            </w:pPr>
            <w:r>
              <w:rPr>
                <w:rFonts w:ascii="Arial" w:cs="Arial" w:eastAsia="Arial" w:hAnsi="Arial"/>
                <w:sz w:val="11"/>
                <w:szCs w:val="11"/>
                <w:color w:val="auto"/>
              </w:rPr>
              <w:t>Kenneth A. Bronfin</w:t>
            </w:r>
          </w:p>
        </w:tc>
        <w:tc>
          <w:tcPr>
            <w:tcW w:w="0" w:type="dxa"/>
            <w:vAlign w:val="bottom"/>
          </w:tcPr>
          <w:p>
            <w:pPr>
              <w:spacing w:after="0"/>
              <w:rPr>
                <w:sz w:val="1"/>
                <w:szCs w:val="1"/>
                <w:color w:val="auto"/>
              </w:rPr>
            </w:pPr>
          </w:p>
        </w:tc>
      </w:tr>
      <w:tr>
        <w:trPr>
          <w:trHeight w:val="85"/>
        </w:trPr>
        <w:tc>
          <w:tcPr>
            <w:tcW w:w="1180" w:type="dxa"/>
            <w:vAlign w:val="bottom"/>
          </w:tcPr>
          <w:p>
            <w:pPr>
              <w:spacing w:after="0"/>
              <w:rPr>
                <w:sz w:val="7"/>
                <w:szCs w:val="7"/>
                <w:color w:val="auto"/>
              </w:rPr>
            </w:pPr>
          </w:p>
        </w:tc>
        <w:tc>
          <w:tcPr>
            <w:tcW w:w="3600" w:type="dxa"/>
            <w:vAlign w:val="bottom"/>
            <w:vMerge w:val="restart"/>
          </w:tcPr>
          <w:p>
            <w:pPr>
              <w:ind w:left="240"/>
              <w:spacing w:after="0"/>
              <w:rPr>
                <w:sz w:val="20"/>
                <w:szCs w:val="20"/>
                <w:color w:val="auto"/>
              </w:rPr>
            </w:pPr>
            <w:r>
              <w:rPr>
                <w:rFonts w:ascii="Arial" w:cs="Arial" w:eastAsia="Arial" w:hAnsi="Arial"/>
                <w:sz w:val="11"/>
                <w:szCs w:val="11"/>
                <w:color w:val="auto"/>
              </w:rPr>
              <w:t>senior management, including all executive officers.</w:t>
            </w:r>
          </w:p>
        </w:tc>
        <w:tc>
          <w:tcPr>
            <w:tcW w:w="62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1180" w:type="dxa"/>
            <w:vAlign w:val="bottom"/>
          </w:tcPr>
          <w:p>
            <w:pPr>
              <w:spacing w:after="0"/>
              <w:rPr>
                <w:sz w:val="3"/>
                <w:szCs w:val="3"/>
                <w:color w:val="auto"/>
              </w:rPr>
            </w:pPr>
          </w:p>
        </w:tc>
        <w:tc>
          <w:tcPr>
            <w:tcW w:w="3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3600" w:type="dxa"/>
            <w:vAlign w:val="bottom"/>
            <w:vMerge w:val="restart"/>
          </w:tcPr>
          <w:p>
            <w:pPr>
              <w:ind w:left="140"/>
              <w:spacing w:after="0"/>
              <w:rPr>
                <w:sz w:val="20"/>
                <w:szCs w:val="20"/>
                <w:color w:val="auto"/>
              </w:rPr>
            </w:pPr>
            <w:r>
              <w:rPr>
                <w:rFonts w:ascii="Arial" w:cs="Arial" w:eastAsia="Arial" w:hAnsi="Arial"/>
                <w:sz w:val="11"/>
                <w:szCs w:val="11"/>
                <w:color w:val="auto"/>
              </w:rPr>
              <w:t>•  Oversight of the Company’s incentive compensation and equity-</w:t>
            </w:r>
          </w:p>
        </w:tc>
        <w:tc>
          <w:tcPr>
            <w:tcW w:w="620" w:type="dxa"/>
            <w:vAlign w:val="bottom"/>
          </w:tcPr>
          <w:p>
            <w:pPr>
              <w:spacing w:after="0"/>
              <w:rPr>
                <w:sz w:val="14"/>
                <w:szCs w:val="14"/>
                <w:color w:val="auto"/>
              </w:rPr>
            </w:pPr>
          </w:p>
        </w:tc>
        <w:tc>
          <w:tcPr>
            <w:tcW w:w="1940" w:type="dxa"/>
            <w:vAlign w:val="bottom"/>
          </w:tcPr>
          <w:p>
            <w:pPr>
              <w:ind w:left="100"/>
              <w:spacing w:after="0"/>
              <w:rPr>
                <w:sz w:val="20"/>
                <w:szCs w:val="20"/>
                <w:color w:val="auto"/>
              </w:rPr>
            </w:pPr>
            <w:r>
              <w:rPr>
                <w:rFonts w:ascii="Arial" w:cs="Arial" w:eastAsia="Arial" w:hAnsi="Arial"/>
                <w:sz w:val="11"/>
                <w:szCs w:val="11"/>
                <w:color w:val="auto"/>
              </w:rPr>
              <w:t>Elizabeth Hamren</w:t>
            </w: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3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3600" w:type="dxa"/>
            <w:vAlign w:val="bottom"/>
          </w:tcPr>
          <w:p>
            <w:pPr>
              <w:ind w:left="240"/>
              <w:spacing w:after="0"/>
              <w:rPr>
                <w:sz w:val="20"/>
                <w:szCs w:val="20"/>
                <w:color w:val="auto"/>
              </w:rPr>
            </w:pPr>
            <w:r>
              <w:rPr>
                <w:rFonts w:ascii="Arial" w:cs="Arial" w:eastAsia="Arial" w:hAnsi="Arial"/>
                <w:sz w:val="11"/>
                <w:szCs w:val="11"/>
                <w:color w:val="auto"/>
              </w:rPr>
              <w:t>based plans, including authorization to make grants and awards</w:t>
            </w:r>
          </w:p>
        </w:tc>
        <w:tc>
          <w:tcPr>
            <w:tcW w:w="620" w:type="dxa"/>
            <w:vAlign w:val="bottom"/>
          </w:tcPr>
          <w:p>
            <w:pPr>
              <w:spacing w:after="0"/>
              <w:rPr>
                <w:sz w:val="10"/>
                <w:szCs w:val="10"/>
                <w:color w:val="auto"/>
              </w:rPr>
            </w:pPr>
          </w:p>
        </w:tc>
        <w:tc>
          <w:tcPr>
            <w:tcW w:w="1940" w:type="dxa"/>
            <w:vAlign w:val="bottom"/>
            <w:vMerge w:val="restart"/>
          </w:tcPr>
          <w:p>
            <w:pPr>
              <w:ind w:left="100"/>
              <w:spacing w:after="0"/>
              <w:rPr>
                <w:sz w:val="20"/>
                <w:szCs w:val="20"/>
                <w:color w:val="auto"/>
              </w:rPr>
            </w:pPr>
            <w:r>
              <w:rPr>
                <w:rFonts w:ascii="Arial" w:cs="Arial" w:eastAsia="Arial" w:hAnsi="Arial"/>
                <w:sz w:val="11"/>
                <w:szCs w:val="11"/>
                <w:color w:val="auto"/>
              </w:rPr>
              <w:t>Edward M. Philip</w:t>
            </w:r>
          </w:p>
        </w:tc>
        <w:tc>
          <w:tcPr>
            <w:tcW w:w="0" w:type="dxa"/>
            <w:vAlign w:val="bottom"/>
          </w:tcPr>
          <w:p>
            <w:pPr>
              <w:spacing w:after="0"/>
              <w:rPr>
                <w:sz w:val="1"/>
                <w:szCs w:val="1"/>
                <w:color w:val="auto"/>
              </w:rPr>
            </w:pPr>
          </w:p>
        </w:tc>
      </w:tr>
      <w:tr>
        <w:trPr>
          <w:trHeight w:val="40"/>
        </w:trPr>
        <w:tc>
          <w:tcPr>
            <w:tcW w:w="1180" w:type="dxa"/>
            <w:vAlign w:val="bottom"/>
          </w:tcPr>
          <w:p>
            <w:pPr>
              <w:spacing w:after="0"/>
              <w:rPr>
                <w:sz w:val="3"/>
                <w:szCs w:val="3"/>
                <w:color w:val="auto"/>
              </w:rPr>
            </w:pPr>
          </w:p>
        </w:tc>
        <w:tc>
          <w:tcPr>
            <w:tcW w:w="3600" w:type="dxa"/>
            <w:vAlign w:val="bottom"/>
            <w:vMerge w:val="restart"/>
          </w:tcPr>
          <w:p>
            <w:pPr>
              <w:ind w:left="240"/>
              <w:spacing w:after="0"/>
              <w:rPr>
                <w:sz w:val="20"/>
                <w:szCs w:val="20"/>
                <w:color w:val="auto"/>
              </w:rPr>
            </w:pPr>
            <w:r>
              <w:rPr>
                <w:rFonts w:ascii="Arial" w:cs="Arial" w:eastAsia="Arial" w:hAnsi="Arial"/>
                <w:sz w:val="11"/>
                <w:szCs w:val="11"/>
                <w:color w:val="auto"/>
              </w:rPr>
              <w:t>under the Company’s employee stock incentive performance plan.</w:t>
            </w:r>
          </w:p>
        </w:tc>
        <w:tc>
          <w:tcPr>
            <w:tcW w:w="620" w:type="dxa"/>
            <w:vAlign w:val="bottom"/>
          </w:tcPr>
          <w:p>
            <w:pPr>
              <w:spacing w:after="0"/>
              <w:rPr>
                <w:sz w:val="3"/>
                <w:szCs w:val="3"/>
                <w:color w:val="auto"/>
              </w:rPr>
            </w:pPr>
          </w:p>
        </w:tc>
        <w:tc>
          <w:tcPr>
            <w:tcW w:w="1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118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940" w:type="dxa"/>
            <w:vAlign w:val="bottom"/>
            <w:vMerge w:val="restart"/>
          </w:tcPr>
          <w:p>
            <w:pPr>
              <w:ind w:left="100"/>
              <w:spacing w:after="0"/>
              <w:rPr>
                <w:sz w:val="20"/>
                <w:szCs w:val="20"/>
                <w:color w:val="auto"/>
              </w:rPr>
            </w:pPr>
            <w:r>
              <w:rPr>
                <w:rFonts w:ascii="Arial" w:cs="Arial" w:eastAsia="Arial" w:hAnsi="Arial"/>
                <w:sz w:val="11"/>
                <w:szCs w:val="11"/>
                <w:color w:val="auto"/>
              </w:rPr>
              <w:t>Laurel J. Richie</w:t>
            </w:r>
          </w:p>
        </w:tc>
        <w:tc>
          <w:tcPr>
            <w:tcW w:w="0" w:type="dxa"/>
            <w:vAlign w:val="bottom"/>
          </w:tcPr>
          <w:p>
            <w:pPr>
              <w:spacing w:after="0"/>
              <w:rPr>
                <w:sz w:val="1"/>
                <w:szCs w:val="1"/>
                <w:color w:val="auto"/>
              </w:rPr>
            </w:pPr>
          </w:p>
        </w:tc>
      </w:tr>
      <w:tr>
        <w:trPr>
          <w:trHeight w:val="117"/>
        </w:trPr>
        <w:tc>
          <w:tcPr>
            <w:tcW w:w="1180" w:type="dxa"/>
            <w:vAlign w:val="bottom"/>
          </w:tcPr>
          <w:p>
            <w:pPr>
              <w:spacing w:after="0"/>
              <w:rPr>
                <w:sz w:val="10"/>
                <w:szCs w:val="10"/>
                <w:color w:val="auto"/>
              </w:rPr>
            </w:pPr>
          </w:p>
        </w:tc>
        <w:tc>
          <w:tcPr>
            <w:tcW w:w="3600" w:type="dxa"/>
            <w:vAlign w:val="bottom"/>
            <w:vMerge w:val="restart"/>
          </w:tcPr>
          <w:p>
            <w:pPr>
              <w:ind w:left="140"/>
              <w:spacing w:after="0"/>
              <w:rPr>
                <w:sz w:val="20"/>
                <w:szCs w:val="20"/>
                <w:color w:val="auto"/>
              </w:rPr>
            </w:pPr>
            <w:r>
              <w:rPr>
                <w:rFonts w:ascii="Arial" w:cs="Arial" w:eastAsia="Arial" w:hAnsi="Arial"/>
                <w:sz w:val="11"/>
                <w:szCs w:val="11"/>
                <w:color w:val="auto"/>
                <w:w w:val="99"/>
              </w:rPr>
              <w:t>•  Shares responsibility for evaluation of the Company’s Chief Executive</w:t>
            </w:r>
          </w:p>
        </w:tc>
        <w:tc>
          <w:tcPr>
            <w:tcW w:w="62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18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3600" w:type="dxa"/>
            <w:vAlign w:val="bottom"/>
          </w:tcPr>
          <w:p>
            <w:pPr>
              <w:ind w:left="240"/>
              <w:spacing w:after="0"/>
              <w:rPr>
                <w:sz w:val="20"/>
                <w:szCs w:val="20"/>
                <w:color w:val="auto"/>
              </w:rPr>
            </w:pPr>
            <w:r>
              <w:rPr>
                <w:rFonts w:ascii="Arial" w:cs="Arial" w:eastAsia="Arial" w:hAnsi="Arial"/>
                <w:sz w:val="11"/>
                <w:szCs w:val="11"/>
                <w:color w:val="auto"/>
              </w:rPr>
              <w:t>Officer with the Nominating, Governance and Social Responsibility</w:t>
            </w:r>
          </w:p>
        </w:tc>
        <w:tc>
          <w:tcPr>
            <w:tcW w:w="6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rPr>
                <w:sz w:val="11"/>
                <w:szCs w:val="11"/>
                <w:color w:val="auto"/>
              </w:rPr>
            </w:pPr>
          </w:p>
        </w:tc>
        <w:tc>
          <w:tcPr>
            <w:tcW w:w="3600" w:type="dxa"/>
            <w:vAlign w:val="bottom"/>
          </w:tcPr>
          <w:p>
            <w:pPr>
              <w:ind w:left="240"/>
              <w:spacing w:after="0"/>
              <w:rPr>
                <w:sz w:val="20"/>
                <w:szCs w:val="20"/>
                <w:color w:val="auto"/>
              </w:rPr>
            </w:pPr>
            <w:r>
              <w:rPr>
                <w:rFonts w:ascii="Arial" w:cs="Arial" w:eastAsia="Arial" w:hAnsi="Arial"/>
                <w:sz w:val="11"/>
                <w:szCs w:val="11"/>
                <w:color w:val="auto"/>
              </w:rPr>
              <w:t>Committee.</w:t>
            </w:r>
          </w:p>
        </w:tc>
        <w:tc>
          <w:tcPr>
            <w:tcW w:w="6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180" w:type="dxa"/>
            <w:vAlign w:val="bottom"/>
            <w:tcBorders>
              <w:bottom w:val="single" w:sz="8" w:color="009BDE"/>
            </w:tcBorders>
          </w:tcPr>
          <w:p>
            <w:pPr>
              <w:spacing w:after="0"/>
              <w:rPr>
                <w:sz w:val="6"/>
                <w:szCs w:val="6"/>
                <w:color w:val="auto"/>
              </w:rPr>
            </w:pPr>
          </w:p>
        </w:tc>
        <w:tc>
          <w:tcPr>
            <w:tcW w:w="3600" w:type="dxa"/>
            <w:vAlign w:val="bottom"/>
            <w:tcBorders>
              <w:bottom w:val="single" w:sz="8" w:color="009BDE"/>
            </w:tcBorders>
          </w:tcPr>
          <w:p>
            <w:pPr>
              <w:spacing w:after="0"/>
              <w:rPr>
                <w:sz w:val="6"/>
                <w:szCs w:val="6"/>
                <w:color w:val="auto"/>
              </w:rPr>
            </w:pPr>
          </w:p>
        </w:tc>
        <w:tc>
          <w:tcPr>
            <w:tcW w:w="620" w:type="dxa"/>
            <w:vAlign w:val="bottom"/>
            <w:tcBorders>
              <w:bottom w:val="single" w:sz="8" w:color="009BDE"/>
            </w:tcBorders>
          </w:tcPr>
          <w:p>
            <w:pPr>
              <w:spacing w:after="0"/>
              <w:rPr>
                <w:sz w:val="6"/>
                <w:szCs w:val="6"/>
                <w:color w:val="auto"/>
              </w:rPr>
            </w:pPr>
          </w:p>
        </w:tc>
        <w:tc>
          <w:tcPr>
            <w:tcW w:w="19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180" w:type="dxa"/>
            <w:vAlign w:val="bottom"/>
          </w:tcPr>
          <w:p>
            <w:pPr>
              <w:ind w:left="40"/>
              <w:spacing w:after="0"/>
              <w:rPr>
                <w:sz w:val="20"/>
                <w:szCs w:val="20"/>
                <w:color w:val="auto"/>
              </w:rPr>
            </w:pPr>
            <w:r>
              <w:rPr>
                <w:rFonts w:ascii="Arial" w:cs="Arial" w:eastAsia="Arial" w:hAnsi="Arial"/>
                <w:sz w:val="11"/>
                <w:szCs w:val="11"/>
                <w:color w:val="auto"/>
                <w:w w:val="97"/>
              </w:rPr>
              <w:t>Cybersecurity and Data</w:t>
            </w:r>
          </w:p>
        </w:tc>
        <w:tc>
          <w:tcPr>
            <w:tcW w:w="3600" w:type="dxa"/>
            <w:vAlign w:val="bottom"/>
          </w:tcPr>
          <w:p>
            <w:pPr>
              <w:ind w:left="140"/>
              <w:spacing w:after="0"/>
              <w:rPr>
                <w:sz w:val="20"/>
                <w:szCs w:val="20"/>
                <w:color w:val="auto"/>
              </w:rPr>
            </w:pPr>
            <w:r>
              <w:rPr>
                <w:rFonts w:ascii="Arial" w:cs="Arial" w:eastAsia="Arial" w:hAnsi="Arial"/>
                <w:sz w:val="11"/>
                <w:szCs w:val="11"/>
                <w:color w:val="auto"/>
              </w:rPr>
              <w:t>•  Assists the Board in its oversight of the protection of information and</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940" w:type="dxa"/>
            <w:vAlign w:val="bottom"/>
          </w:tcPr>
          <w:p>
            <w:pPr>
              <w:ind w:left="100"/>
              <w:spacing w:after="0"/>
              <w:rPr>
                <w:sz w:val="20"/>
                <w:szCs w:val="20"/>
                <w:color w:val="auto"/>
              </w:rPr>
            </w:pPr>
            <w:r>
              <w:rPr>
                <w:rFonts w:ascii="Arial" w:cs="Arial" w:eastAsia="Arial" w:hAnsi="Arial"/>
                <w:sz w:val="11"/>
                <w:szCs w:val="11"/>
                <w:b w:val="1"/>
                <w:bCs w:val="1"/>
                <w:color w:val="auto"/>
              </w:rPr>
              <w:t>Linda Zecher Higgins (Chair)</w:t>
            </w:r>
          </w:p>
        </w:tc>
        <w:tc>
          <w:tcPr>
            <w:tcW w:w="0" w:type="dxa"/>
            <w:vAlign w:val="bottom"/>
          </w:tcPr>
          <w:p>
            <w:pPr>
              <w:spacing w:after="0"/>
              <w:rPr>
                <w:sz w:val="1"/>
                <w:szCs w:val="1"/>
                <w:color w:val="auto"/>
              </w:rPr>
            </w:pPr>
          </w:p>
        </w:tc>
      </w:tr>
      <w:tr>
        <w:trPr>
          <w:trHeight w:val="126"/>
        </w:trPr>
        <w:tc>
          <w:tcPr>
            <w:tcW w:w="1180" w:type="dxa"/>
            <w:vAlign w:val="bottom"/>
          </w:tcPr>
          <w:p>
            <w:pPr>
              <w:ind w:left="40"/>
              <w:spacing w:after="0"/>
              <w:rPr>
                <w:sz w:val="20"/>
                <w:szCs w:val="20"/>
                <w:color w:val="auto"/>
              </w:rPr>
            </w:pPr>
            <w:r>
              <w:rPr>
                <w:rFonts w:ascii="Arial" w:cs="Arial" w:eastAsia="Arial" w:hAnsi="Arial"/>
                <w:sz w:val="11"/>
                <w:szCs w:val="11"/>
                <w:color w:val="auto"/>
              </w:rPr>
              <w:t>Privacy</w:t>
            </w:r>
          </w:p>
        </w:tc>
        <w:tc>
          <w:tcPr>
            <w:tcW w:w="3600" w:type="dxa"/>
            <w:vAlign w:val="bottom"/>
          </w:tcPr>
          <w:p>
            <w:pPr>
              <w:ind w:left="240"/>
              <w:spacing w:after="0"/>
              <w:rPr>
                <w:sz w:val="20"/>
                <w:szCs w:val="20"/>
                <w:color w:val="auto"/>
              </w:rPr>
            </w:pPr>
            <w:r>
              <w:rPr>
                <w:rFonts w:ascii="Arial" w:cs="Arial" w:eastAsia="Arial" w:hAnsi="Arial"/>
                <w:sz w:val="11"/>
                <w:szCs w:val="11"/>
                <w:color w:val="auto"/>
              </w:rPr>
              <w:t>assets collected, created, used, processed and/or maintained by or</w:t>
            </w:r>
          </w:p>
        </w:tc>
        <w:tc>
          <w:tcPr>
            <w:tcW w:w="620" w:type="dxa"/>
            <w:vAlign w:val="bottom"/>
          </w:tcPr>
          <w:p>
            <w:pPr>
              <w:spacing w:after="0"/>
              <w:rPr>
                <w:sz w:val="10"/>
                <w:szCs w:val="10"/>
                <w:color w:val="auto"/>
              </w:rPr>
            </w:pPr>
          </w:p>
        </w:tc>
        <w:tc>
          <w:tcPr>
            <w:tcW w:w="1940" w:type="dxa"/>
            <w:vAlign w:val="bottom"/>
            <w:vMerge w:val="restart"/>
          </w:tcPr>
          <w:p>
            <w:pPr>
              <w:ind w:left="100"/>
              <w:spacing w:after="0"/>
              <w:rPr>
                <w:sz w:val="20"/>
                <w:szCs w:val="20"/>
                <w:color w:val="auto"/>
              </w:rPr>
            </w:pPr>
            <w:r>
              <w:rPr>
                <w:rFonts w:ascii="Arial" w:cs="Arial" w:eastAsia="Arial" w:hAnsi="Arial"/>
                <w:sz w:val="11"/>
                <w:szCs w:val="11"/>
                <w:color w:val="auto"/>
              </w:rPr>
              <w:t>Kenneth A. Bronfin</w:t>
            </w:r>
          </w:p>
        </w:tc>
        <w:tc>
          <w:tcPr>
            <w:tcW w:w="0" w:type="dxa"/>
            <w:vAlign w:val="bottom"/>
          </w:tcPr>
          <w:p>
            <w:pPr>
              <w:spacing w:after="0"/>
              <w:rPr>
                <w:sz w:val="1"/>
                <w:szCs w:val="1"/>
                <w:color w:val="auto"/>
              </w:rPr>
            </w:pPr>
          </w:p>
        </w:tc>
      </w:tr>
      <w:tr>
        <w:trPr>
          <w:trHeight w:val="85"/>
        </w:trPr>
        <w:tc>
          <w:tcPr>
            <w:tcW w:w="1180" w:type="dxa"/>
            <w:vAlign w:val="bottom"/>
          </w:tcPr>
          <w:p>
            <w:pPr>
              <w:spacing w:after="0"/>
              <w:rPr>
                <w:sz w:val="7"/>
                <w:szCs w:val="7"/>
                <w:color w:val="auto"/>
              </w:rPr>
            </w:pPr>
          </w:p>
        </w:tc>
        <w:tc>
          <w:tcPr>
            <w:tcW w:w="3600" w:type="dxa"/>
            <w:vAlign w:val="bottom"/>
            <w:vMerge w:val="restart"/>
          </w:tcPr>
          <w:p>
            <w:pPr>
              <w:ind w:left="240"/>
              <w:spacing w:after="0"/>
              <w:rPr>
                <w:sz w:val="20"/>
                <w:szCs w:val="20"/>
                <w:color w:val="auto"/>
              </w:rPr>
            </w:pPr>
            <w:r>
              <w:rPr>
                <w:rFonts w:ascii="Arial" w:cs="Arial" w:eastAsia="Arial" w:hAnsi="Arial"/>
                <w:sz w:val="11"/>
                <w:szCs w:val="11"/>
                <w:color w:val="auto"/>
              </w:rPr>
              <w:t>on behalf of the Company, including intellectual property, whether</w:t>
            </w:r>
          </w:p>
        </w:tc>
        <w:tc>
          <w:tcPr>
            <w:tcW w:w="62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3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3600" w:type="dxa"/>
            <w:vAlign w:val="bottom"/>
          </w:tcPr>
          <w:p>
            <w:pPr>
              <w:ind w:left="240"/>
              <w:spacing w:after="0"/>
              <w:rPr>
                <w:sz w:val="20"/>
                <w:szCs w:val="20"/>
                <w:color w:val="auto"/>
              </w:rPr>
            </w:pPr>
            <w:r>
              <w:rPr>
                <w:rFonts w:ascii="Arial" w:cs="Arial" w:eastAsia="Arial" w:hAnsi="Arial"/>
                <w:sz w:val="11"/>
                <w:szCs w:val="11"/>
                <w:color w:val="auto"/>
                <w:w w:val="99"/>
              </w:rPr>
              <w:t>belonging to the Company or the Company’s customers, consumers,</w:t>
            </w:r>
          </w:p>
        </w:tc>
        <w:tc>
          <w:tcPr>
            <w:tcW w:w="620" w:type="dxa"/>
            <w:vAlign w:val="bottom"/>
          </w:tcPr>
          <w:p>
            <w:pPr>
              <w:spacing w:after="0"/>
              <w:rPr>
                <w:sz w:val="10"/>
                <w:szCs w:val="10"/>
                <w:color w:val="auto"/>
              </w:rPr>
            </w:pPr>
          </w:p>
        </w:tc>
        <w:tc>
          <w:tcPr>
            <w:tcW w:w="1940" w:type="dxa"/>
            <w:vAlign w:val="bottom"/>
            <w:vMerge w:val="restart"/>
          </w:tcPr>
          <w:p>
            <w:pPr>
              <w:ind w:left="100"/>
              <w:spacing w:after="0"/>
              <w:rPr>
                <w:sz w:val="20"/>
                <w:szCs w:val="20"/>
                <w:color w:val="auto"/>
              </w:rPr>
            </w:pPr>
            <w:r>
              <w:rPr>
                <w:rFonts w:ascii="Arial" w:cs="Arial" w:eastAsia="Arial" w:hAnsi="Arial"/>
                <w:sz w:val="11"/>
                <w:szCs w:val="11"/>
                <w:color w:val="auto"/>
              </w:rPr>
              <w:t>Hope F. Cochran</w:t>
            </w:r>
          </w:p>
        </w:tc>
        <w:tc>
          <w:tcPr>
            <w:tcW w:w="0" w:type="dxa"/>
            <w:vAlign w:val="bottom"/>
          </w:tcPr>
          <w:p>
            <w:pPr>
              <w:spacing w:after="0"/>
              <w:rPr>
                <w:sz w:val="1"/>
                <w:szCs w:val="1"/>
                <w:color w:val="auto"/>
              </w:rPr>
            </w:pPr>
          </w:p>
        </w:tc>
      </w:tr>
      <w:tr>
        <w:trPr>
          <w:trHeight w:val="40"/>
        </w:trPr>
        <w:tc>
          <w:tcPr>
            <w:tcW w:w="1180" w:type="dxa"/>
            <w:vAlign w:val="bottom"/>
          </w:tcPr>
          <w:p>
            <w:pPr>
              <w:spacing w:after="0"/>
              <w:rPr>
                <w:sz w:val="3"/>
                <w:szCs w:val="3"/>
                <w:color w:val="auto"/>
              </w:rPr>
            </w:pPr>
          </w:p>
        </w:tc>
        <w:tc>
          <w:tcPr>
            <w:tcW w:w="3600" w:type="dxa"/>
            <w:vAlign w:val="bottom"/>
            <w:vMerge w:val="restart"/>
          </w:tcPr>
          <w:p>
            <w:pPr>
              <w:ind w:left="240"/>
              <w:spacing w:after="0"/>
              <w:rPr>
                <w:sz w:val="20"/>
                <w:szCs w:val="20"/>
                <w:color w:val="auto"/>
              </w:rPr>
            </w:pPr>
            <w:r>
              <w:rPr>
                <w:rFonts w:ascii="Arial" w:cs="Arial" w:eastAsia="Arial" w:hAnsi="Arial"/>
                <w:sz w:val="11"/>
                <w:szCs w:val="11"/>
                <w:color w:val="auto"/>
              </w:rPr>
              <w:t>employees or business partners, globally.</w:t>
            </w:r>
          </w:p>
        </w:tc>
        <w:tc>
          <w:tcPr>
            <w:tcW w:w="620" w:type="dxa"/>
            <w:vAlign w:val="bottom"/>
          </w:tcPr>
          <w:p>
            <w:pPr>
              <w:spacing w:after="0"/>
              <w:rPr>
                <w:sz w:val="3"/>
                <w:szCs w:val="3"/>
                <w:color w:val="auto"/>
              </w:rPr>
            </w:pPr>
          </w:p>
        </w:tc>
        <w:tc>
          <w:tcPr>
            <w:tcW w:w="1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118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940" w:type="dxa"/>
            <w:vAlign w:val="bottom"/>
            <w:vMerge w:val="restart"/>
          </w:tcPr>
          <w:p>
            <w:pPr>
              <w:ind w:left="100"/>
              <w:spacing w:after="0"/>
              <w:rPr>
                <w:sz w:val="20"/>
                <w:szCs w:val="20"/>
                <w:color w:val="auto"/>
              </w:rPr>
            </w:pPr>
            <w:r>
              <w:rPr>
                <w:rFonts w:ascii="Arial" w:cs="Arial" w:eastAsia="Arial" w:hAnsi="Arial"/>
                <w:sz w:val="11"/>
                <w:szCs w:val="11"/>
                <w:color w:val="auto"/>
              </w:rPr>
              <w:t>Elizabeth Hamren</w:t>
            </w:r>
          </w:p>
        </w:tc>
        <w:tc>
          <w:tcPr>
            <w:tcW w:w="0" w:type="dxa"/>
            <w:vAlign w:val="bottom"/>
          </w:tcPr>
          <w:p>
            <w:pPr>
              <w:spacing w:after="0"/>
              <w:rPr>
                <w:sz w:val="1"/>
                <w:szCs w:val="1"/>
                <w:color w:val="auto"/>
              </w:rPr>
            </w:pPr>
          </w:p>
        </w:tc>
      </w:tr>
      <w:tr>
        <w:trPr>
          <w:trHeight w:val="117"/>
        </w:trPr>
        <w:tc>
          <w:tcPr>
            <w:tcW w:w="1180" w:type="dxa"/>
            <w:vAlign w:val="bottom"/>
          </w:tcPr>
          <w:p>
            <w:pPr>
              <w:spacing w:after="0"/>
              <w:rPr>
                <w:sz w:val="10"/>
                <w:szCs w:val="10"/>
                <w:color w:val="auto"/>
              </w:rPr>
            </w:pPr>
          </w:p>
        </w:tc>
        <w:tc>
          <w:tcPr>
            <w:tcW w:w="3600" w:type="dxa"/>
            <w:vAlign w:val="bottom"/>
            <w:vMerge w:val="restart"/>
          </w:tcPr>
          <w:p>
            <w:pPr>
              <w:ind w:left="140"/>
              <w:spacing w:after="0"/>
              <w:rPr>
                <w:sz w:val="20"/>
                <w:szCs w:val="20"/>
                <w:color w:val="auto"/>
              </w:rPr>
            </w:pPr>
            <w:r>
              <w:rPr>
                <w:rFonts w:ascii="Arial" w:cs="Arial" w:eastAsia="Arial" w:hAnsi="Arial"/>
                <w:sz w:val="11"/>
                <w:szCs w:val="11"/>
                <w:color w:val="auto"/>
              </w:rPr>
              <w:t>•  Assists the Board in its oversight of the protection of the Company’s</w:t>
            </w:r>
          </w:p>
        </w:tc>
        <w:tc>
          <w:tcPr>
            <w:tcW w:w="62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18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3600" w:type="dxa"/>
            <w:vAlign w:val="bottom"/>
          </w:tcPr>
          <w:p>
            <w:pPr>
              <w:ind w:left="240"/>
              <w:spacing w:after="0"/>
              <w:rPr>
                <w:sz w:val="20"/>
                <w:szCs w:val="20"/>
                <w:color w:val="auto"/>
              </w:rPr>
            </w:pPr>
            <w:r>
              <w:rPr>
                <w:rFonts w:ascii="Arial" w:cs="Arial" w:eastAsia="Arial" w:hAnsi="Arial"/>
                <w:sz w:val="11"/>
                <w:szCs w:val="11"/>
                <w:color w:val="auto"/>
              </w:rPr>
              <w:t>customers’, consumers’ and employees’ privacy and personal</w:t>
            </w:r>
          </w:p>
        </w:tc>
        <w:tc>
          <w:tcPr>
            <w:tcW w:w="6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rPr>
                <w:sz w:val="11"/>
                <w:szCs w:val="11"/>
                <w:color w:val="auto"/>
              </w:rPr>
            </w:pPr>
          </w:p>
        </w:tc>
        <w:tc>
          <w:tcPr>
            <w:tcW w:w="3600" w:type="dxa"/>
            <w:vAlign w:val="bottom"/>
          </w:tcPr>
          <w:p>
            <w:pPr>
              <w:ind w:left="240"/>
              <w:spacing w:after="0"/>
              <w:rPr>
                <w:sz w:val="20"/>
                <w:szCs w:val="20"/>
                <w:color w:val="auto"/>
              </w:rPr>
            </w:pPr>
            <w:r>
              <w:rPr>
                <w:rFonts w:ascii="Arial" w:cs="Arial" w:eastAsia="Arial" w:hAnsi="Arial"/>
                <w:sz w:val="11"/>
                <w:szCs w:val="11"/>
                <w:color w:val="auto"/>
              </w:rPr>
              <w:t>information.</w:t>
            </w:r>
          </w:p>
        </w:tc>
        <w:tc>
          <w:tcPr>
            <w:tcW w:w="6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3600" w:type="dxa"/>
            <w:vAlign w:val="bottom"/>
          </w:tcPr>
          <w:p>
            <w:pPr>
              <w:ind w:left="140"/>
              <w:spacing w:after="0"/>
              <w:rPr>
                <w:sz w:val="20"/>
                <w:szCs w:val="20"/>
                <w:color w:val="auto"/>
              </w:rPr>
            </w:pPr>
            <w:r>
              <w:rPr>
                <w:rFonts w:ascii="Arial" w:cs="Arial" w:eastAsia="Arial" w:hAnsi="Arial"/>
                <w:sz w:val="11"/>
                <w:szCs w:val="11"/>
                <w:color w:val="auto"/>
              </w:rPr>
              <w:t>•  Assists the Board in its oversight of the Company’s compliance with</w:t>
            </w:r>
          </w:p>
        </w:tc>
        <w:tc>
          <w:tcPr>
            <w:tcW w:w="6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3600" w:type="dxa"/>
            <w:vAlign w:val="bottom"/>
          </w:tcPr>
          <w:p>
            <w:pPr>
              <w:ind w:left="240"/>
              <w:spacing w:after="0"/>
              <w:rPr>
                <w:sz w:val="20"/>
                <w:szCs w:val="20"/>
                <w:color w:val="auto"/>
              </w:rPr>
            </w:pPr>
            <w:r>
              <w:rPr>
                <w:rFonts w:ascii="Arial" w:cs="Arial" w:eastAsia="Arial" w:hAnsi="Arial"/>
                <w:sz w:val="11"/>
                <w:szCs w:val="11"/>
                <w:color w:val="auto"/>
              </w:rPr>
              <w:t>applicable global data privacy and security regulations and</w:t>
            </w:r>
          </w:p>
        </w:tc>
        <w:tc>
          <w:tcPr>
            <w:tcW w:w="6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3600" w:type="dxa"/>
            <w:vAlign w:val="bottom"/>
          </w:tcPr>
          <w:p>
            <w:pPr>
              <w:ind w:left="240"/>
              <w:spacing w:after="0"/>
              <w:rPr>
                <w:sz w:val="20"/>
                <w:szCs w:val="20"/>
                <w:color w:val="auto"/>
              </w:rPr>
            </w:pPr>
            <w:r>
              <w:rPr>
                <w:rFonts w:ascii="Arial" w:cs="Arial" w:eastAsia="Arial" w:hAnsi="Arial"/>
                <w:sz w:val="11"/>
                <w:szCs w:val="11"/>
                <w:color w:val="auto"/>
              </w:rPr>
              <w:t>requirements, and the Company’s other cyber risk management</w:t>
            </w:r>
          </w:p>
        </w:tc>
        <w:tc>
          <w:tcPr>
            <w:tcW w:w="6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3600" w:type="dxa"/>
            <w:vAlign w:val="bottom"/>
          </w:tcPr>
          <w:p>
            <w:pPr>
              <w:ind w:left="240"/>
              <w:spacing w:after="0"/>
              <w:rPr>
                <w:sz w:val="20"/>
                <w:szCs w:val="20"/>
                <w:color w:val="auto"/>
              </w:rPr>
            </w:pPr>
            <w:r>
              <w:rPr>
                <w:rFonts w:ascii="Arial" w:cs="Arial" w:eastAsia="Arial" w:hAnsi="Arial"/>
                <w:sz w:val="11"/>
                <w:szCs w:val="11"/>
                <w:color w:val="auto"/>
                <w:w w:val="98"/>
              </w:rPr>
              <w:t>activities, including measures to maintain the availability, integrity and</w:t>
            </w:r>
          </w:p>
        </w:tc>
        <w:tc>
          <w:tcPr>
            <w:tcW w:w="6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3600" w:type="dxa"/>
            <w:vAlign w:val="bottom"/>
          </w:tcPr>
          <w:p>
            <w:pPr>
              <w:ind w:left="240"/>
              <w:spacing w:after="0"/>
              <w:rPr>
                <w:sz w:val="20"/>
                <w:szCs w:val="20"/>
                <w:color w:val="auto"/>
              </w:rPr>
            </w:pPr>
            <w:r>
              <w:rPr>
                <w:rFonts w:ascii="Arial" w:cs="Arial" w:eastAsia="Arial" w:hAnsi="Arial"/>
                <w:sz w:val="11"/>
                <w:szCs w:val="11"/>
                <w:color w:val="auto"/>
              </w:rPr>
              <w:t>functionality of the Company’s information technology systems,</w:t>
            </w:r>
          </w:p>
        </w:tc>
        <w:tc>
          <w:tcPr>
            <w:tcW w:w="6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rPr>
                <w:sz w:val="11"/>
                <w:szCs w:val="11"/>
                <w:color w:val="auto"/>
              </w:rPr>
            </w:pPr>
          </w:p>
        </w:tc>
        <w:tc>
          <w:tcPr>
            <w:tcW w:w="3600" w:type="dxa"/>
            <w:vAlign w:val="bottom"/>
          </w:tcPr>
          <w:p>
            <w:pPr>
              <w:ind w:left="240"/>
              <w:spacing w:after="0"/>
              <w:rPr>
                <w:sz w:val="20"/>
                <w:szCs w:val="20"/>
                <w:color w:val="auto"/>
              </w:rPr>
            </w:pPr>
            <w:r>
              <w:rPr>
                <w:rFonts w:ascii="Arial" w:cs="Arial" w:eastAsia="Arial" w:hAnsi="Arial"/>
                <w:sz w:val="11"/>
                <w:szCs w:val="11"/>
                <w:color w:val="auto"/>
              </w:rPr>
              <w:t>networks and assets.</w:t>
            </w:r>
          </w:p>
        </w:tc>
        <w:tc>
          <w:tcPr>
            <w:tcW w:w="6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180" w:type="dxa"/>
            <w:vAlign w:val="bottom"/>
            <w:tcBorders>
              <w:bottom w:val="single" w:sz="8" w:color="009BDE"/>
            </w:tcBorders>
          </w:tcPr>
          <w:p>
            <w:pPr>
              <w:spacing w:after="0"/>
              <w:rPr>
                <w:sz w:val="6"/>
                <w:szCs w:val="6"/>
                <w:color w:val="auto"/>
              </w:rPr>
            </w:pPr>
          </w:p>
        </w:tc>
        <w:tc>
          <w:tcPr>
            <w:tcW w:w="3600" w:type="dxa"/>
            <w:vAlign w:val="bottom"/>
            <w:tcBorders>
              <w:bottom w:val="single" w:sz="8" w:color="009BDE"/>
            </w:tcBorders>
          </w:tcPr>
          <w:p>
            <w:pPr>
              <w:spacing w:after="0"/>
              <w:rPr>
                <w:sz w:val="6"/>
                <w:szCs w:val="6"/>
                <w:color w:val="auto"/>
              </w:rPr>
            </w:pPr>
          </w:p>
        </w:tc>
        <w:tc>
          <w:tcPr>
            <w:tcW w:w="620" w:type="dxa"/>
            <w:vAlign w:val="bottom"/>
            <w:tcBorders>
              <w:bottom w:val="single" w:sz="8" w:color="009BDE"/>
            </w:tcBorders>
          </w:tcPr>
          <w:p>
            <w:pPr>
              <w:spacing w:after="0"/>
              <w:rPr>
                <w:sz w:val="6"/>
                <w:szCs w:val="6"/>
                <w:color w:val="auto"/>
              </w:rPr>
            </w:pPr>
          </w:p>
        </w:tc>
        <w:tc>
          <w:tcPr>
            <w:tcW w:w="19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180" w:type="dxa"/>
            <w:vAlign w:val="bottom"/>
          </w:tcPr>
          <w:p>
            <w:pPr>
              <w:ind w:left="40"/>
              <w:spacing w:after="0"/>
              <w:rPr>
                <w:sz w:val="20"/>
                <w:szCs w:val="20"/>
                <w:color w:val="auto"/>
              </w:rPr>
            </w:pPr>
            <w:r>
              <w:rPr>
                <w:rFonts w:ascii="Arial" w:cs="Arial" w:eastAsia="Arial" w:hAnsi="Arial"/>
                <w:sz w:val="11"/>
                <w:szCs w:val="11"/>
                <w:color w:val="auto"/>
              </w:rPr>
              <w:t>Finance and Capital</w:t>
            </w:r>
          </w:p>
        </w:tc>
        <w:tc>
          <w:tcPr>
            <w:tcW w:w="3600" w:type="dxa"/>
            <w:vAlign w:val="bottom"/>
          </w:tcPr>
          <w:p>
            <w:pPr>
              <w:ind w:left="140"/>
              <w:spacing w:after="0"/>
              <w:rPr>
                <w:sz w:val="20"/>
                <w:szCs w:val="20"/>
                <w:color w:val="auto"/>
              </w:rPr>
            </w:pPr>
            <w:r>
              <w:rPr>
                <w:rFonts w:ascii="Arial" w:cs="Arial" w:eastAsia="Arial" w:hAnsi="Arial"/>
                <w:sz w:val="11"/>
                <w:szCs w:val="11"/>
                <w:color w:val="auto"/>
                <w:w w:val="99"/>
              </w:rPr>
              <w:t>•  Assists the Board in overseeing the Company’s annual and long-term</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940" w:type="dxa"/>
            <w:vAlign w:val="bottom"/>
          </w:tcPr>
          <w:p>
            <w:pPr>
              <w:ind w:left="100"/>
              <w:spacing w:after="0"/>
              <w:rPr>
                <w:sz w:val="20"/>
                <w:szCs w:val="20"/>
                <w:color w:val="auto"/>
              </w:rPr>
            </w:pPr>
            <w:r>
              <w:rPr>
                <w:rFonts w:ascii="Arial" w:cs="Arial" w:eastAsia="Arial" w:hAnsi="Arial"/>
                <w:sz w:val="11"/>
                <w:szCs w:val="11"/>
                <w:b w:val="1"/>
                <w:bCs w:val="1"/>
                <w:color w:val="auto"/>
              </w:rPr>
              <w:t>Mary Beth West (Chair)</w:t>
            </w:r>
          </w:p>
        </w:tc>
        <w:tc>
          <w:tcPr>
            <w:tcW w:w="0" w:type="dxa"/>
            <w:vAlign w:val="bottom"/>
          </w:tcPr>
          <w:p>
            <w:pPr>
              <w:spacing w:after="0"/>
              <w:rPr>
                <w:sz w:val="1"/>
                <w:szCs w:val="1"/>
                <w:color w:val="auto"/>
              </w:rPr>
            </w:pPr>
          </w:p>
        </w:tc>
      </w:tr>
      <w:tr>
        <w:trPr>
          <w:trHeight w:val="126"/>
        </w:trPr>
        <w:tc>
          <w:tcPr>
            <w:tcW w:w="1180" w:type="dxa"/>
            <w:vAlign w:val="bottom"/>
          </w:tcPr>
          <w:p>
            <w:pPr>
              <w:ind w:left="40"/>
              <w:spacing w:after="0"/>
              <w:rPr>
                <w:sz w:val="20"/>
                <w:szCs w:val="20"/>
                <w:color w:val="auto"/>
              </w:rPr>
            </w:pPr>
            <w:r>
              <w:rPr>
                <w:rFonts w:ascii="Arial" w:cs="Arial" w:eastAsia="Arial" w:hAnsi="Arial"/>
                <w:sz w:val="11"/>
                <w:szCs w:val="11"/>
                <w:color w:val="auto"/>
              </w:rPr>
              <w:t>Allocation</w:t>
            </w:r>
          </w:p>
        </w:tc>
        <w:tc>
          <w:tcPr>
            <w:tcW w:w="3600" w:type="dxa"/>
            <w:vAlign w:val="bottom"/>
          </w:tcPr>
          <w:p>
            <w:pPr>
              <w:ind w:left="240"/>
              <w:spacing w:after="0"/>
              <w:rPr>
                <w:sz w:val="20"/>
                <w:szCs w:val="20"/>
                <w:color w:val="auto"/>
              </w:rPr>
            </w:pPr>
            <w:r>
              <w:rPr>
                <w:rFonts w:ascii="Arial" w:cs="Arial" w:eastAsia="Arial" w:hAnsi="Arial"/>
                <w:sz w:val="11"/>
                <w:szCs w:val="11"/>
                <w:color w:val="auto"/>
              </w:rPr>
              <w:t>financial plans, capital structure, capital allocation decisions, use of</w:t>
            </w:r>
          </w:p>
        </w:tc>
        <w:tc>
          <w:tcPr>
            <w:tcW w:w="620" w:type="dxa"/>
            <w:vAlign w:val="bottom"/>
          </w:tcPr>
          <w:p>
            <w:pPr>
              <w:spacing w:after="0"/>
              <w:rPr>
                <w:sz w:val="10"/>
                <w:szCs w:val="10"/>
                <w:color w:val="auto"/>
              </w:rPr>
            </w:pPr>
          </w:p>
        </w:tc>
        <w:tc>
          <w:tcPr>
            <w:tcW w:w="1940" w:type="dxa"/>
            <w:vAlign w:val="bottom"/>
            <w:vMerge w:val="restart"/>
          </w:tcPr>
          <w:p>
            <w:pPr>
              <w:ind w:left="100"/>
              <w:spacing w:after="0"/>
              <w:rPr>
                <w:sz w:val="20"/>
                <w:szCs w:val="20"/>
                <w:color w:val="auto"/>
              </w:rPr>
            </w:pPr>
            <w:r>
              <w:rPr>
                <w:rFonts w:ascii="Arial" w:cs="Arial" w:eastAsia="Arial" w:hAnsi="Arial"/>
                <w:sz w:val="11"/>
                <w:szCs w:val="11"/>
                <w:color w:val="auto"/>
              </w:rPr>
              <w:t>Michael R. Burns</w:t>
            </w:r>
          </w:p>
        </w:tc>
        <w:tc>
          <w:tcPr>
            <w:tcW w:w="0" w:type="dxa"/>
            <w:vAlign w:val="bottom"/>
          </w:tcPr>
          <w:p>
            <w:pPr>
              <w:spacing w:after="0"/>
              <w:rPr>
                <w:sz w:val="1"/>
                <w:szCs w:val="1"/>
                <w:color w:val="auto"/>
              </w:rPr>
            </w:pPr>
          </w:p>
        </w:tc>
      </w:tr>
      <w:tr>
        <w:trPr>
          <w:trHeight w:val="85"/>
        </w:trPr>
        <w:tc>
          <w:tcPr>
            <w:tcW w:w="1180" w:type="dxa"/>
            <w:vAlign w:val="bottom"/>
          </w:tcPr>
          <w:p>
            <w:pPr>
              <w:spacing w:after="0"/>
              <w:rPr>
                <w:sz w:val="7"/>
                <w:szCs w:val="7"/>
                <w:color w:val="auto"/>
              </w:rPr>
            </w:pPr>
          </w:p>
        </w:tc>
        <w:tc>
          <w:tcPr>
            <w:tcW w:w="3600" w:type="dxa"/>
            <w:vAlign w:val="bottom"/>
            <w:vMerge w:val="restart"/>
          </w:tcPr>
          <w:p>
            <w:pPr>
              <w:ind w:left="240"/>
              <w:spacing w:after="0"/>
              <w:rPr>
                <w:sz w:val="20"/>
                <w:szCs w:val="20"/>
                <w:color w:val="auto"/>
              </w:rPr>
            </w:pPr>
            <w:r>
              <w:rPr>
                <w:rFonts w:ascii="Arial" w:cs="Arial" w:eastAsia="Arial" w:hAnsi="Arial"/>
                <w:sz w:val="11"/>
                <w:szCs w:val="11"/>
                <w:color w:val="auto"/>
              </w:rPr>
              <w:t>funds, investments, financial and risk management and proposed</w:t>
            </w:r>
          </w:p>
        </w:tc>
        <w:tc>
          <w:tcPr>
            <w:tcW w:w="62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3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130"/>
        </w:trPr>
        <w:tc>
          <w:tcPr>
            <w:tcW w:w="5080" w:type="dxa"/>
            <w:vAlign w:val="bottom"/>
          </w:tcPr>
          <w:p>
            <w:pPr>
              <w:ind w:left="1420"/>
              <w:spacing w:after="0"/>
              <w:rPr>
                <w:sz w:val="20"/>
                <w:szCs w:val="20"/>
                <w:color w:val="auto"/>
              </w:rPr>
            </w:pPr>
            <w:r>
              <w:rPr>
                <w:rFonts w:ascii="Arial" w:cs="Arial" w:eastAsia="Arial" w:hAnsi="Arial"/>
                <w:sz w:val="11"/>
                <w:szCs w:val="11"/>
                <w:color w:val="auto"/>
              </w:rPr>
              <w:t>significant transactions.</w:t>
            </w:r>
          </w:p>
        </w:tc>
        <w:tc>
          <w:tcPr>
            <w:tcW w:w="2260" w:type="dxa"/>
            <w:vAlign w:val="bottom"/>
            <w:vMerge w:val="restart"/>
          </w:tcPr>
          <w:p>
            <w:pPr>
              <w:ind w:left="420"/>
              <w:spacing w:after="0"/>
              <w:rPr>
                <w:sz w:val="20"/>
                <w:szCs w:val="20"/>
                <w:color w:val="auto"/>
              </w:rPr>
            </w:pPr>
            <w:r>
              <w:rPr>
                <w:rFonts w:ascii="Arial" w:cs="Arial" w:eastAsia="Arial" w:hAnsi="Arial"/>
                <w:sz w:val="11"/>
                <w:szCs w:val="11"/>
                <w:color w:val="auto"/>
              </w:rPr>
              <w:t>Hope F. Cochran</w:t>
            </w:r>
          </w:p>
        </w:tc>
        <w:tc>
          <w:tcPr>
            <w:tcW w:w="0" w:type="dxa"/>
            <w:vAlign w:val="bottom"/>
          </w:tcPr>
          <w:p>
            <w:pPr>
              <w:spacing w:after="0"/>
              <w:rPr>
                <w:sz w:val="1"/>
                <w:szCs w:val="1"/>
                <w:color w:val="auto"/>
              </w:rPr>
            </w:pPr>
          </w:p>
        </w:tc>
      </w:tr>
      <w:tr>
        <w:trPr>
          <w:trHeight w:val="36"/>
        </w:trPr>
        <w:tc>
          <w:tcPr>
            <w:tcW w:w="5080" w:type="dxa"/>
            <w:vAlign w:val="bottom"/>
          </w:tcPr>
          <w:p>
            <w:pPr>
              <w:spacing w:after="0"/>
              <w:rPr>
                <w:sz w:val="3"/>
                <w:szCs w:val="3"/>
                <w:color w:val="auto"/>
              </w:rPr>
            </w:pPr>
          </w:p>
        </w:tc>
        <w:tc>
          <w:tcPr>
            <w:tcW w:w="2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5080" w:type="dxa"/>
            <w:vAlign w:val="bottom"/>
          </w:tcPr>
          <w:p>
            <w:pPr>
              <w:ind w:left="1320"/>
              <w:spacing w:after="0"/>
              <w:rPr>
                <w:sz w:val="20"/>
                <w:szCs w:val="20"/>
                <w:color w:val="auto"/>
              </w:rPr>
            </w:pPr>
            <w:r>
              <w:rPr>
                <w:rFonts w:ascii="Arial" w:cs="Arial" w:eastAsia="Arial" w:hAnsi="Arial"/>
                <w:sz w:val="11"/>
                <w:szCs w:val="11"/>
                <w:color w:val="auto"/>
              </w:rPr>
              <w:t>•  Reviews short and long term financing plans, including debt and</w:t>
            </w:r>
          </w:p>
        </w:tc>
        <w:tc>
          <w:tcPr>
            <w:tcW w:w="2260" w:type="dxa"/>
            <w:vAlign w:val="bottom"/>
            <w:vMerge w:val="restart"/>
          </w:tcPr>
          <w:p>
            <w:pPr>
              <w:ind w:left="420"/>
              <w:spacing w:after="0"/>
              <w:rPr>
                <w:sz w:val="20"/>
                <w:szCs w:val="20"/>
                <w:color w:val="auto"/>
              </w:rPr>
            </w:pPr>
            <w:r>
              <w:rPr>
                <w:rFonts w:ascii="Arial" w:cs="Arial" w:eastAsia="Arial" w:hAnsi="Arial"/>
                <w:sz w:val="11"/>
                <w:szCs w:val="11"/>
                <w:color w:val="auto"/>
              </w:rPr>
              <w:t>Blake Jorgensen</w:t>
            </w:r>
          </w:p>
        </w:tc>
        <w:tc>
          <w:tcPr>
            <w:tcW w:w="0" w:type="dxa"/>
            <w:vAlign w:val="bottom"/>
          </w:tcPr>
          <w:p>
            <w:pPr>
              <w:spacing w:after="0"/>
              <w:rPr>
                <w:sz w:val="1"/>
                <w:szCs w:val="1"/>
                <w:color w:val="auto"/>
              </w:rPr>
            </w:pPr>
          </w:p>
        </w:tc>
      </w:tr>
      <w:tr>
        <w:trPr>
          <w:trHeight w:val="40"/>
        </w:trPr>
        <w:tc>
          <w:tcPr>
            <w:tcW w:w="5080" w:type="dxa"/>
            <w:vAlign w:val="bottom"/>
            <w:vMerge w:val="restart"/>
          </w:tcPr>
          <w:p>
            <w:pPr>
              <w:ind w:left="1420"/>
              <w:spacing w:after="0"/>
              <w:rPr>
                <w:sz w:val="20"/>
                <w:szCs w:val="20"/>
                <w:color w:val="auto"/>
              </w:rPr>
            </w:pPr>
            <w:r>
              <w:rPr>
                <w:rFonts w:ascii="Arial" w:cs="Arial" w:eastAsia="Arial" w:hAnsi="Arial"/>
                <w:sz w:val="11"/>
                <w:szCs w:val="11"/>
                <w:color w:val="auto"/>
              </w:rPr>
              <w:t>equity financings and use of securitization facilities.</w:t>
            </w:r>
          </w:p>
        </w:tc>
        <w:tc>
          <w:tcPr>
            <w:tcW w:w="2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5080" w:type="dxa"/>
            <w:vAlign w:val="bottom"/>
            <w:vMerge w:val="continue"/>
          </w:tcPr>
          <w:p>
            <w:pPr>
              <w:spacing w:after="0"/>
              <w:rPr>
                <w:sz w:val="7"/>
                <w:szCs w:val="7"/>
                <w:color w:val="auto"/>
              </w:rPr>
            </w:pPr>
          </w:p>
        </w:tc>
        <w:tc>
          <w:tcPr>
            <w:tcW w:w="2260" w:type="dxa"/>
            <w:vAlign w:val="bottom"/>
            <w:vMerge w:val="restart"/>
          </w:tcPr>
          <w:p>
            <w:pPr>
              <w:ind w:left="420"/>
              <w:spacing w:after="0"/>
              <w:rPr>
                <w:sz w:val="20"/>
                <w:szCs w:val="20"/>
                <w:color w:val="auto"/>
              </w:rPr>
            </w:pPr>
            <w:r>
              <w:rPr>
                <w:rFonts w:ascii="Arial" w:cs="Arial" w:eastAsia="Arial" w:hAnsi="Arial"/>
                <w:sz w:val="11"/>
                <w:szCs w:val="11"/>
                <w:color w:val="auto"/>
              </w:rPr>
              <w:t>Tracy A. Leinbach</w:t>
            </w:r>
          </w:p>
        </w:tc>
        <w:tc>
          <w:tcPr>
            <w:tcW w:w="0" w:type="dxa"/>
            <w:vAlign w:val="bottom"/>
          </w:tcPr>
          <w:p>
            <w:pPr>
              <w:spacing w:after="0"/>
              <w:rPr>
                <w:sz w:val="1"/>
                <w:szCs w:val="1"/>
                <w:color w:val="auto"/>
              </w:rPr>
            </w:pPr>
          </w:p>
        </w:tc>
      </w:tr>
      <w:tr>
        <w:trPr>
          <w:trHeight w:val="117"/>
        </w:trPr>
        <w:tc>
          <w:tcPr>
            <w:tcW w:w="5080" w:type="dxa"/>
            <w:vAlign w:val="bottom"/>
            <w:vMerge w:val="restart"/>
          </w:tcPr>
          <w:p>
            <w:pPr>
              <w:ind w:left="1320"/>
              <w:spacing w:after="0"/>
              <w:rPr>
                <w:sz w:val="20"/>
                <w:szCs w:val="20"/>
                <w:color w:val="auto"/>
              </w:rPr>
            </w:pPr>
            <w:r>
              <w:rPr>
                <w:rFonts w:ascii="Arial" w:cs="Arial" w:eastAsia="Arial" w:hAnsi="Arial"/>
                <w:sz w:val="11"/>
                <w:szCs w:val="11"/>
                <w:color w:val="auto"/>
              </w:rPr>
              <w:t>•  Reviews capital structure, capital allocation priorities, metrics, hurdle</w:t>
            </w: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508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5080" w:type="dxa"/>
            <w:vAlign w:val="bottom"/>
          </w:tcPr>
          <w:p>
            <w:pPr>
              <w:ind w:left="1420"/>
              <w:spacing w:after="0"/>
              <w:rPr>
                <w:sz w:val="20"/>
                <w:szCs w:val="20"/>
                <w:color w:val="auto"/>
              </w:rPr>
            </w:pPr>
            <w:r>
              <w:rPr>
                <w:rFonts w:ascii="Arial" w:cs="Arial" w:eastAsia="Arial" w:hAnsi="Arial"/>
                <w:sz w:val="11"/>
                <w:szCs w:val="11"/>
                <w:color w:val="auto"/>
              </w:rPr>
              <w:t>rates and underlying assumptions in capital allocation decisions.</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1320"/>
              <w:spacing w:after="0"/>
              <w:rPr>
                <w:sz w:val="20"/>
                <w:szCs w:val="20"/>
                <w:color w:val="auto"/>
              </w:rPr>
            </w:pPr>
            <w:r>
              <w:rPr>
                <w:rFonts w:ascii="Arial" w:cs="Arial" w:eastAsia="Arial" w:hAnsi="Arial"/>
                <w:sz w:val="11"/>
                <w:szCs w:val="11"/>
                <w:color w:val="auto"/>
              </w:rPr>
              <w:t>•  Reviews use of funds for investments, dividends and share</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5080" w:type="dxa"/>
            <w:vAlign w:val="bottom"/>
          </w:tcPr>
          <w:p>
            <w:pPr>
              <w:ind w:left="1420"/>
              <w:spacing w:after="0"/>
              <w:rPr>
                <w:sz w:val="20"/>
                <w:szCs w:val="20"/>
                <w:color w:val="auto"/>
              </w:rPr>
            </w:pPr>
            <w:r>
              <w:rPr>
                <w:rFonts w:ascii="Arial" w:cs="Arial" w:eastAsia="Arial" w:hAnsi="Arial"/>
                <w:sz w:val="11"/>
                <w:szCs w:val="11"/>
                <w:color w:val="auto"/>
              </w:rPr>
              <w:t>repurchases and acquisitions.</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080" w:type="dxa"/>
            <w:vAlign w:val="bottom"/>
            <w:tcBorders>
              <w:bottom w:val="single" w:sz="8" w:color="009BDE"/>
            </w:tcBorders>
          </w:tcPr>
          <w:p>
            <w:pPr>
              <w:spacing w:after="0"/>
              <w:rPr>
                <w:sz w:val="6"/>
                <w:szCs w:val="6"/>
                <w:color w:val="auto"/>
              </w:rPr>
            </w:pPr>
          </w:p>
        </w:tc>
        <w:tc>
          <w:tcPr>
            <w:tcW w:w="226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3971925" cy="21717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5"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11</w:t>
      </w:r>
    </w:p>
    <w:p>
      <w:pPr>
        <w:sectPr>
          <w:pgSz w:w="11900" w:h="16838" w:orient="portrait"/>
          <w:cols w:equalWidth="0" w:num="1">
            <w:col w:w="10159"/>
          </w:cols>
          <w:pgMar w:left="300" w:top="372" w:right="1440"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tbl>
      <w:tblPr>
        <w:tblLayout w:type="fixed"/>
        <w:tblInd w:w="1980" w:type="dxa"/>
        <w:tblCellMar>
          <w:top w:w="0" w:type="dxa"/>
          <w:left w:w="0" w:type="dxa"/>
          <w:bottom w:w="0" w:type="dxa"/>
          <w:right w:w="0" w:type="dxa"/>
        </w:tblCellMar>
      </w:tblPr>
      <w:tr>
        <w:trPr>
          <w:trHeight w:val="160"/>
        </w:trPr>
        <w:tc>
          <w:tcPr>
            <w:tcW w:w="1180" w:type="dxa"/>
            <w:vAlign w:val="bottom"/>
            <w:shd w:val="clear" w:color="auto" w:fill="CCEBF8"/>
          </w:tcPr>
          <w:p>
            <w:pPr>
              <w:spacing w:after="0"/>
              <w:rPr>
                <w:sz w:val="13"/>
                <w:szCs w:val="13"/>
                <w:color w:val="auto"/>
              </w:rPr>
            </w:pPr>
          </w:p>
        </w:tc>
        <w:tc>
          <w:tcPr>
            <w:tcW w:w="3620" w:type="dxa"/>
            <w:vAlign w:val="bottom"/>
            <w:shd w:val="clear" w:color="auto" w:fill="CCEBF8"/>
          </w:tcPr>
          <w:p>
            <w:pPr>
              <w:spacing w:after="0"/>
              <w:rPr>
                <w:sz w:val="13"/>
                <w:szCs w:val="13"/>
                <w:color w:val="auto"/>
              </w:rPr>
            </w:pPr>
          </w:p>
        </w:tc>
        <w:tc>
          <w:tcPr>
            <w:tcW w:w="620" w:type="dxa"/>
            <w:vAlign w:val="bottom"/>
            <w:shd w:val="clear" w:color="auto" w:fill="CCEBF8"/>
          </w:tcPr>
          <w:p>
            <w:pPr>
              <w:jc w:val="center"/>
              <w:ind w:right="26"/>
              <w:spacing w:after="0"/>
              <w:rPr>
                <w:sz w:val="20"/>
                <w:szCs w:val="20"/>
                <w:color w:val="auto"/>
              </w:rPr>
            </w:pPr>
            <w:r>
              <w:rPr>
                <w:rFonts w:ascii="Arial" w:cs="Arial" w:eastAsia="Arial" w:hAnsi="Arial"/>
                <w:sz w:val="11"/>
                <w:szCs w:val="11"/>
                <w:b w:val="1"/>
                <w:bCs w:val="1"/>
                <w:color w:val="009BDE"/>
              </w:rPr>
              <w:t>Number</w:t>
            </w:r>
          </w:p>
        </w:tc>
        <w:tc>
          <w:tcPr>
            <w:tcW w:w="1920" w:type="dxa"/>
            <w:vAlign w:val="bottom"/>
            <w:shd w:val="clear" w:color="auto" w:fill="CCEBF8"/>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80" w:type="dxa"/>
            <w:vAlign w:val="bottom"/>
            <w:shd w:val="clear" w:color="auto" w:fill="CCEBF8"/>
          </w:tcPr>
          <w:p>
            <w:pPr>
              <w:spacing w:after="0"/>
              <w:rPr>
                <w:sz w:val="10"/>
                <w:szCs w:val="10"/>
                <w:color w:val="auto"/>
              </w:rPr>
            </w:pPr>
          </w:p>
        </w:tc>
        <w:tc>
          <w:tcPr>
            <w:tcW w:w="3620" w:type="dxa"/>
            <w:vAlign w:val="bottom"/>
            <w:shd w:val="clear" w:color="auto" w:fill="CCEBF8"/>
          </w:tcPr>
          <w:p>
            <w:pPr>
              <w:spacing w:after="0"/>
              <w:rPr>
                <w:sz w:val="10"/>
                <w:szCs w:val="10"/>
                <w:color w:val="auto"/>
              </w:rPr>
            </w:pPr>
          </w:p>
        </w:tc>
        <w:tc>
          <w:tcPr>
            <w:tcW w:w="620" w:type="dxa"/>
            <w:vAlign w:val="bottom"/>
            <w:shd w:val="clear" w:color="auto" w:fill="CCEBF8"/>
          </w:tcPr>
          <w:p>
            <w:pPr>
              <w:jc w:val="center"/>
              <w:ind w:right="26"/>
              <w:spacing w:after="0"/>
              <w:rPr>
                <w:sz w:val="20"/>
                <w:szCs w:val="20"/>
                <w:color w:val="auto"/>
              </w:rPr>
            </w:pPr>
            <w:r>
              <w:rPr>
                <w:rFonts w:ascii="Arial" w:cs="Arial" w:eastAsia="Arial" w:hAnsi="Arial"/>
                <w:sz w:val="11"/>
                <w:szCs w:val="11"/>
                <w:b w:val="1"/>
                <w:bCs w:val="1"/>
                <w:color w:val="009BDE"/>
                <w:w w:val="95"/>
              </w:rPr>
              <w:t>of</w:t>
            </w:r>
          </w:p>
        </w:tc>
        <w:tc>
          <w:tcPr>
            <w:tcW w:w="1920" w:type="dxa"/>
            <w:vAlign w:val="bottom"/>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80" w:type="dxa"/>
            <w:vAlign w:val="bottom"/>
            <w:shd w:val="clear" w:color="auto" w:fill="CCEBF8"/>
          </w:tcPr>
          <w:p>
            <w:pPr>
              <w:spacing w:after="0"/>
              <w:rPr>
                <w:sz w:val="10"/>
                <w:szCs w:val="10"/>
                <w:color w:val="auto"/>
              </w:rPr>
            </w:pPr>
          </w:p>
        </w:tc>
        <w:tc>
          <w:tcPr>
            <w:tcW w:w="3620" w:type="dxa"/>
            <w:vAlign w:val="bottom"/>
            <w:shd w:val="clear" w:color="auto" w:fill="CCEBF8"/>
          </w:tcPr>
          <w:p>
            <w:pPr>
              <w:spacing w:after="0"/>
              <w:rPr>
                <w:sz w:val="10"/>
                <w:szCs w:val="10"/>
                <w:color w:val="auto"/>
              </w:rPr>
            </w:pPr>
          </w:p>
        </w:tc>
        <w:tc>
          <w:tcPr>
            <w:tcW w:w="620" w:type="dxa"/>
            <w:vAlign w:val="bottom"/>
            <w:shd w:val="clear" w:color="auto" w:fill="CCEBF8"/>
          </w:tcPr>
          <w:p>
            <w:pPr>
              <w:jc w:val="center"/>
              <w:ind w:right="26"/>
              <w:spacing w:after="0"/>
              <w:rPr>
                <w:sz w:val="20"/>
                <w:szCs w:val="20"/>
                <w:color w:val="auto"/>
              </w:rPr>
            </w:pPr>
            <w:r>
              <w:rPr>
                <w:rFonts w:ascii="Arial" w:cs="Arial" w:eastAsia="Arial" w:hAnsi="Arial"/>
                <w:sz w:val="11"/>
                <w:szCs w:val="11"/>
                <w:b w:val="1"/>
                <w:bCs w:val="1"/>
                <w:color w:val="009BDE"/>
                <w:w w:val="96"/>
              </w:rPr>
              <w:t>Meetings</w:t>
            </w:r>
          </w:p>
        </w:tc>
        <w:tc>
          <w:tcPr>
            <w:tcW w:w="1920" w:type="dxa"/>
            <w:vAlign w:val="bottom"/>
            <w:shd w:val="clear" w:color="auto" w:fill="CCEBF8"/>
          </w:tcPr>
          <w:p>
            <w:pPr>
              <w:ind w:left="600"/>
              <w:spacing w:after="0"/>
              <w:rPr>
                <w:sz w:val="20"/>
                <w:szCs w:val="20"/>
                <w:color w:val="auto"/>
              </w:rPr>
            </w:pPr>
            <w:r>
              <w:rPr>
                <w:rFonts w:ascii="Arial" w:cs="Arial" w:eastAsia="Arial" w:hAnsi="Arial"/>
                <w:sz w:val="11"/>
                <w:szCs w:val="11"/>
                <w:b w:val="1"/>
                <w:bCs w:val="1"/>
                <w:color w:val="009BDE"/>
              </w:rPr>
              <w:t>2022 Committee</w:t>
            </w:r>
          </w:p>
        </w:tc>
        <w:tc>
          <w:tcPr>
            <w:tcW w:w="0" w:type="dxa"/>
            <w:vAlign w:val="bottom"/>
          </w:tcPr>
          <w:p>
            <w:pPr>
              <w:spacing w:after="0"/>
              <w:rPr>
                <w:sz w:val="1"/>
                <w:szCs w:val="1"/>
                <w:color w:val="auto"/>
              </w:rPr>
            </w:pPr>
          </w:p>
        </w:tc>
      </w:tr>
      <w:tr>
        <w:trPr>
          <w:trHeight w:val="151"/>
        </w:trPr>
        <w:tc>
          <w:tcPr>
            <w:tcW w:w="1180" w:type="dxa"/>
            <w:vAlign w:val="bottom"/>
            <w:shd w:val="clear" w:color="auto" w:fill="CCEBF8"/>
          </w:tcPr>
          <w:p>
            <w:pPr>
              <w:ind w:left="60"/>
              <w:spacing w:after="0"/>
              <w:rPr>
                <w:sz w:val="20"/>
                <w:szCs w:val="20"/>
                <w:color w:val="auto"/>
              </w:rPr>
            </w:pPr>
            <w:r>
              <w:rPr>
                <w:rFonts w:ascii="Arial" w:cs="Arial" w:eastAsia="Arial" w:hAnsi="Arial"/>
                <w:sz w:val="11"/>
                <w:szCs w:val="11"/>
                <w:b w:val="1"/>
                <w:bCs w:val="1"/>
                <w:color w:val="009BDE"/>
              </w:rPr>
              <w:t>Committee</w:t>
            </w:r>
          </w:p>
        </w:tc>
        <w:tc>
          <w:tcPr>
            <w:tcW w:w="3620" w:type="dxa"/>
            <w:vAlign w:val="bottom"/>
            <w:shd w:val="clear" w:color="auto" w:fill="CCEBF8"/>
          </w:tcPr>
          <w:p>
            <w:pPr>
              <w:ind w:left="1380"/>
              <w:spacing w:after="0"/>
              <w:rPr>
                <w:sz w:val="20"/>
                <w:szCs w:val="20"/>
                <w:color w:val="auto"/>
              </w:rPr>
            </w:pPr>
            <w:r>
              <w:rPr>
                <w:rFonts w:ascii="Arial" w:cs="Arial" w:eastAsia="Arial" w:hAnsi="Arial"/>
                <w:sz w:val="11"/>
                <w:szCs w:val="11"/>
                <w:b w:val="1"/>
                <w:bCs w:val="1"/>
                <w:color w:val="009BDE"/>
              </w:rPr>
              <w:t>Principal Function</w:t>
            </w:r>
          </w:p>
        </w:tc>
        <w:tc>
          <w:tcPr>
            <w:tcW w:w="620" w:type="dxa"/>
            <w:vAlign w:val="bottom"/>
            <w:shd w:val="clear" w:color="auto" w:fill="CCEBF8"/>
          </w:tcPr>
          <w:p>
            <w:pPr>
              <w:jc w:val="center"/>
              <w:ind w:right="26"/>
              <w:spacing w:after="0"/>
              <w:rPr>
                <w:sz w:val="20"/>
                <w:szCs w:val="20"/>
                <w:color w:val="auto"/>
              </w:rPr>
            </w:pPr>
            <w:r>
              <w:rPr>
                <w:rFonts w:ascii="Arial" w:cs="Arial" w:eastAsia="Arial" w:hAnsi="Arial"/>
                <w:sz w:val="11"/>
                <w:szCs w:val="11"/>
                <w:b w:val="1"/>
                <w:bCs w:val="1"/>
                <w:color w:val="009BDE"/>
              </w:rPr>
              <w:t>in 2022</w:t>
            </w:r>
          </w:p>
        </w:tc>
        <w:tc>
          <w:tcPr>
            <w:tcW w:w="1920" w:type="dxa"/>
            <w:vAlign w:val="bottom"/>
            <w:shd w:val="clear" w:color="auto" w:fill="CCEBF8"/>
          </w:tcPr>
          <w:p>
            <w:pPr>
              <w:ind w:left="360"/>
              <w:spacing w:after="0"/>
              <w:rPr>
                <w:sz w:val="20"/>
                <w:szCs w:val="20"/>
                <w:color w:val="auto"/>
              </w:rPr>
            </w:pPr>
            <w:r>
              <w:rPr>
                <w:rFonts w:ascii="Arial" w:cs="Arial" w:eastAsia="Arial" w:hAnsi="Arial"/>
                <w:sz w:val="11"/>
                <w:szCs w:val="11"/>
                <w:b w:val="1"/>
                <w:bCs w:val="1"/>
                <w:color w:val="009BDE"/>
              </w:rPr>
              <w:t>Members (as of year end)</w:t>
            </w:r>
          </w:p>
        </w:tc>
        <w:tc>
          <w:tcPr>
            <w:tcW w:w="0" w:type="dxa"/>
            <w:vAlign w:val="bottom"/>
          </w:tcPr>
          <w:p>
            <w:pPr>
              <w:spacing w:after="0"/>
              <w:rPr>
                <w:sz w:val="1"/>
                <w:szCs w:val="1"/>
                <w:color w:val="auto"/>
              </w:rPr>
            </w:pPr>
          </w:p>
        </w:tc>
      </w:tr>
      <w:tr>
        <w:trPr>
          <w:trHeight w:val="85"/>
        </w:trPr>
        <w:tc>
          <w:tcPr>
            <w:tcW w:w="1180" w:type="dxa"/>
            <w:vAlign w:val="bottom"/>
            <w:tcBorders>
              <w:bottom w:val="single" w:sz="8" w:color="009BDE"/>
            </w:tcBorders>
            <w:shd w:val="clear" w:color="auto" w:fill="CCEBF8"/>
          </w:tcPr>
          <w:p>
            <w:pPr>
              <w:spacing w:after="0"/>
              <w:rPr>
                <w:sz w:val="7"/>
                <w:szCs w:val="7"/>
                <w:color w:val="auto"/>
              </w:rPr>
            </w:pPr>
          </w:p>
        </w:tc>
        <w:tc>
          <w:tcPr>
            <w:tcW w:w="3620" w:type="dxa"/>
            <w:vAlign w:val="bottom"/>
            <w:tcBorders>
              <w:bottom w:val="single" w:sz="8" w:color="009BDE"/>
            </w:tcBorders>
            <w:shd w:val="clear" w:color="auto" w:fill="CCEBF8"/>
          </w:tcPr>
          <w:p>
            <w:pPr>
              <w:spacing w:after="0"/>
              <w:rPr>
                <w:sz w:val="7"/>
                <w:szCs w:val="7"/>
                <w:color w:val="auto"/>
              </w:rPr>
            </w:pPr>
          </w:p>
        </w:tc>
        <w:tc>
          <w:tcPr>
            <w:tcW w:w="620" w:type="dxa"/>
            <w:vAlign w:val="bottom"/>
            <w:tcBorders>
              <w:bottom w:val="single" w:sz="8" w:color="009BDE"/>
            </w:tcBorders>
            <w:shd w:val="clear" w:color="auto" w:fill="CCEBF8"/>
          </w:tcPr>
          <w:p>
            <w:pPr>
              <w:spacing w:after="0"/>
              <w:rPr>
                <w:sz w:val="7"/>
                <w:szCs w:val="7"/>
                <w:color w:val="auto"/>
              </w:rPr>
            </w:pPr>
          </w:p>
        </w:tc>
        <w:tc>
          <w:tcPr>
            <w:tcW w:w="1920" w:type="dxa"/>
            <w:vAlign w:val="bottom"/>
            <w:tcBorders>
              <w:bottom w:val="single" w:sz="8" w:color="009BDE"/>
            </w:tcBorders>
            <w:shd w:val="clear" w:color="auto" w:fill="CCEBF8"/>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1180" w:type="dxa"/>
            <w:vAlign w:val="bottom"/>
          </w:tcPr>
          <w:p>
            <w:pPr>
              <w:ind w:left="40"/>
              <w:spacing w:after="0"/>
              <w:rPr>
                <w:sz w:val="20"/>
                <w:szCs w:val="20"/>
                <w:color w:val="auto"/>
              </w:rPr>
            </w:pPr>
            <w:r>
              <w:rPr>
                <w:rFonts w:ascii="Arial" w:cs="Arial" w:eastAsia="Arial" w:hAnsi="Arial"/>
                <w:sz w:val="11"/>
                <w:szCs w:val="11"/>
                <w:color w:val="auto"/>
              </w:rPr>
              <w:t>Nominating,</w:t>
            </w:r>
          </w:p>
        </w:tc>
        <w:tc>
          <w:tcPr>
            <w:tcW w:w="3620" w:type="dxa"/>
            <w:vAlign w:val="bottom"/>
          </w:tcPr>
          <w:p>
            <w:pPr>
              <w:ind w:left="140"/>
              <w:spacing w:after="0"/>
              <w:rPr>
                <w:sz w:val="20"/>
                <w:szCs w:val="20"/>
                <w:color w:val="auto"/>
              </w:rPr>
            </w:pPr>
            <w:r>
              <w:rPr>
                <w:rFonts w:ascii="Arial" w:cs="Arial" w:eastAsia="Arial" w:hAnsi="Arial"/>
                <w:sz w:val="11"/>
                <w:szCs w:val="11"/>
                <w:color w:val="auto"/>
              </w:rPr>
              <w:t>•  Identifies and evaluates individuals qualified to become Board</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920" w:type="dxa"/>
            <w:vAlign w:val="bottom"/>
          </w:tcPr>
          <w:p>
            <w:pPr>
              <w:ind w:left="100"/>
              <w:spacing w:after="0"/>
              <w:rPr>
                <w:sz w:val="20"/>
                <w:szCs w:val="20"/>
                <w:color w:val="auto"/>
              </w:rPr>
            </w:pPr>
            <w:r>
              <w:rPr>
                <w:rFonts w:ascii="Arial" w:cs="Arial" w:eastAsia="Arial" w:hAnsi="Arial"/>
                <w:sz w:val="11"/>
                <w:szCs w:val="11"/>
                <w:b w:val="1"/>
                <w:bCs w:val="1"/>
                <w:color w:val="auto"/>
              </w:rPr>
              <w:t>Edward M. Philip (Chair)</w:t>
            </w:r>
          </w:p>
        </w:tc>
        <w:tc>
          <w:tcPr>
            <w:tcW w:w="0" w:type="dxa"/>
            <w:vAlign w:val="bottom"/>
          </w:tcPr>
          <w:p>
            <w:pPr>
              <w:spacing w:after="0"/>
              <w:rPr>
                <w:sz w:val="1"/>
                <w:szCs w:val="1"/>
                <w:color w:val="auto"/>
              </w:rPr>
            </w:pPr>
          </w:p>
        </w:tc>
      </w:tr>
      <w:tr>
        <w:trPr>
          <w:trHeight w:val="126"/>
        </w:trPr>
        <w:tc>
          <w:tcPr>
            <w:tcW w:w="1180" w:type="dxa"/>
            <w:vAlign w:val="bottom"/>
          </w:tcPr>
          <w:p>
            <w:pPr>
              <w:ind w:left="40"/>
              <w:spacing w:after="0"/>
              <w:rPr>
                <w:sz w:val="20"/>
                <w:szCs w:val="20"/>
                <w:color w:val="auto"/>
              </w:rPr>
            </w:pPr>
            <w:r>
              <w:rPr>
                <w:rFonts w:ascii="Arial" w:cs="Arial" w:eastAsia="Arial" w:hAnsi="Arial"/>
                <w:sz w:val="11"/>
                <w:szCs w:val="11"/>
                <w:color w:val="auto"/>
                <w:w w:val="97"/>
              </w:rPr>
              <w:t>Governance and Social</w:t>
            </w:r>
          </w:p>
        </w:tc>
        <w:tc>
          <w:tcPr>
            <w:tcW w:w="3620" w:type="dxa"/>
            <w:vAlign w:val="bottom"/>
          </w:tcPr>
          <w:p>
            <w:pPr>
              <w:ind w:left="240"/>
              <w:spacing w:after="0"/>
              <w:rPr>
                <w:sz w:val="20"/>
                <w:szCs w:val="20"/>
                <w:color w:val="auto"/>
              </w:rPr>
            </w:pPr>
            <w:r>
              <w:rPr>
                <w:rFonts w:ascii="Arial" w:cs="Arial" w:eastAsia="Arial" w:hAnsi="Arial"/>
                <w:sz w:val="11"/>
                <w:szCs w:val="11"/>
                <w:color w:val="auto"/>
              </w:rPr>
              <w:t>members and makes recommendations to the full Board on possible</w:t>
            </w:r>
          </w:p>
        </w:tc>
        <w:tc>
          <w:tcPr>
            <w:tcW w:w="620" w:type="dxa"/>
            <w:vAlign w:val="bottom"/>
          </w:tcPr>
          <w:p>
            <w:pPr>
              <w:spacing w:after="0"/>
              <w:rPr>
                <w:sz w:val="10"/>
                <w:szCs w:val="10"/>
                <w:color w:val="auto"/>
              </w:rPr>
            </w:pPr>
          </w:p>
        </w:tc>
        <w:tc>
          <w:tcPr>
            <w:tcW w:w="1920" w:type="dxa"/>
            <w:vAlign w:val="bottom"/>
            <w:vMerge w:val="restart"/>
          </w:tcPr>
          <w:p>
            <w:pPr>
              <w:ind w:left="100"/>
              <w:spacing w:after="0"/>
              <w:rPr>
                <w:sz w:val="20"/>
                <w:szCs w:val="20"/>
                <w:color w:val="auto"/>
              </w:rPr>
            </w:pPr>
            <w:r>
              <w:rPr>
                <w:rFonts w:ascii="Arial" w:cs="Arial" w:eastAsia="Arial" w:hAnsi="Arial"/>
                <w:sz w:val="11"/>
                <w:szCs w:val="11"/>
                <w:color w:val="auto"/>
              </w:rPr>
              <w:t>Michael R. Burns</w:t>
            </w:r>
          </w:p>
        </w:tc>
        <w:tc>
          <w:tcPr>
            <w:tcW w:w="0" w:type="dxa"/>
            <w:vAlign w:val="bottom"/>
          </w:tcPr>
          <w:p>
            <w:pPr>
              <w:spacing w:after="0"/>
              <w:rPr>
                <w:sz w:val="1"/>
                <w:szCs w:val="1"/>
                <w:color w:val="auto"/>
              </w:rPr>
            </w:pPr>
          </w:p>
        </w:tc>
      </w:tr>
      <w:tr>
        <w:trPr>
          <w:trHeight w:val="85"/>
        </w:trPr>
        <w:tc>
          <w:tcPr>
            <w:tcW w:w="1180" w:type="dxa"/>
            <w:vAlign w:val="bottom"/>
            <w:vMerge w:val="restart"/>
          </w:tcPr>
          <w:p>
            <w:pPr>
              <w:ind w:left="40"/>
              <w:spacing w:after="0"/>
              <w:rPr>
                <w:sz w:val="20"/>
                <w:szCs w:val="20"/>
                <w:color w:val="auto"/>
              </w:rPr>
            </w:pPr>
            <w:r>
              <w:rPr>
                <w:rFonts w:ascii="Arial" w:cs="Arial" w:eastAsia="Arial" w:hAnsi="Arial"/>
                <w:sz w:val="11"/>
                <w:szCs w:val="11"/>
                <w:color w:val="auto"/>
              </w:rPr>
              <w:t>Responsibility</w:t>
            </w:r>
          </w:p>
        </w:tc>
        <w:tc>
          <w:tcPr>
            <w:tcW w:w="3620" w:type="dxa"/>
            <w:vAlign w:val="bottom"/>
            <w:vMerge w:val="restart"/>
          </w:tcPr>
          <w:p>
            <w:pPr>
              <w:ind w:left="240"/>
              <w:spacing w:after="0"/>
              <w:rPr>
                <w:sz w:val="20"/>
                <w:szCs w:val="20"/>
                <w:color w:val="auto"/>
              </w:rPr>
            </w:pPr>
            <w:r>
              <w:rPr>
                <w:rFonts w:ascii="Arial" w:cs="Arial" w:eastAsia="Arial" w:hAnsi="Arial"/>
                <w:sz w:val="11"/>
                <w:szCs w:val="11"/>
                <w:color w:val="auto"/>
                <w:w w:val="98"/>
              </w:rPr>
              <w:t>additions to the Board and on the director nominees for election at the</w:t>
            </w:r>
          </w:p>
        </w:tc>
        <w:tc>
          <w:tcPr>
            <w:tcW w:w="62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80" w:type="dxa"/>
            <w:vAlign w:val="bottom"/>
            <w:vMerge w:val="continue"/>
          </w:tcPr>
          <w:p>
            <w:pPr>
              <w:spacing w:after="0"/>
              <w:rPr>
                <w:sz w:val="3"/>
                <w:szCs w:val="3"/>
                <w:color w:val="auto"/>
              </w:rPr>
            </w:pPr>
          </w:p>
        </w:tc>
        <w:tc>
          <w:tcPr>
            <w:tcW w:w="3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rPr>
                <w:sz w:val="11"/>
                <w:szCs w:val="11"/>
                <w:color w:val="auto"/>
              </w:rPr>
            </w:pPr>
          </w:p>
        </w:tc>
        <w:tc>
          <w:tcPr>
            <w:tcW w:w="3620" w:type="dxa"/>
            <w:vAlign w:val="bottom"/>
          </w:tcPr>
          <w:p>
            <w:pPr>
              <w:ind w:left="240"/>
              <w:spacing w:after="0"/>
              <w:rPr>
                <w:sz w:val="20"/>
                <w:szCs w:val="20"/>
                <w:color w:val="auto"/>
              </w:rPr>
            </w:pPr>
            <w:r>
              <w:rPr>
                <w:rFonts w:ascii="Arial" w:cs="Arial" w:eastAsia="Arial" w:hAnsi="Arial"/>
                <w:sz w:val="11"/>
                <w:szCs w:val="11"/>
                <w:color w:val="auto"/>
              </w:rPr>
              <w:t>Company’s annual meeting.</w:t>
            </w:r>
          </w:p>
        </w:tc>
        <w:tc>
          <w:tcPr>
            <w:tcW w:w="620" w:type="dxa"/>
            <w:vAlign w:val="bottom"/>
          </w:tcPr>
          <w:p>
            <w:pPr>
              <w:spacing w:after="0"/>
              <w:rPr>
                <w:sz w:val="11"/>
                <w:szCs w:val="11"/>
                <w:color w:val="auto"/>
              </w:rPr>
            </w:pPr>
          </w:p>
        </w:tc>
        <w:tc>
          <w:tcPr>
            <w:tcW w:w="1920" w:type="dxa"/>
            <w:vAlign w:val="bottom"/>
            <w:vMerge w:val="restart"/>
          </w:tcPr>
          <w:p>
            <w:pPr>
              <w:ind w:left="100"/>
              <w:spacing w:after="0"/>
              <w:rPr>
                <w:sz w:val="20"/>
                <w:szCs w:val="20"/>
                <w:color w:val="auto"/>
              </w:rPr>
            </w:pPr>
            <w:r>
              <w:rPr>
                <w:rFonts w:ascii="Arial" w:cs="Arial" w:eastAsia="Arial" w:hAnsi="Arial"/>
                <w:sz w:val="11"/>
                <w:szCs w:val="11"/>
                <w:color w:val="auto"/>
              </w:rPr>
              <w:t>Tracy A. Leinbach</w:t>
            </w:r>
          </w:p>
        </w:tc>
        <w:tc>
          <w:tcPr>
            <w:tcW w:w="0" w:type="dxa"/>
            <w:vAlign w:val="bottom"/>
          </w:tcPr>
          <w:p>
            <w:pPr>
              <w:spacing w:after="0"/>
              <w:rPr>
                <w:sz w:val="1"/>
                <w:szCs w:val="1"/>
                <w:color w:val="auto"/>
              </w:rPr>
            </w:pPr>
          </w:p>
        </w:tc>
      </w:tr>
      <w:tr>
        <w:trPr>
          <w:trHeight w:val="36"/>
        </w:trPr>
        <w:tc>
          <w:tcPr>
            <w:tcW w:w="11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1180" w:type="dxa"/>
            <w:vAlign w:val="bottom"/>
          </w:tcPr>
          <w:p>
            <w:pPr>
              <w:spacing w:after="0"/>
              <w:rPr>
                <w:sz w:val="14"/>
                <w:szCs w:val="14"/>
                <w:color w:val="auto"/>
              </w:rPr>
            </w:pPr>
          </w:p>
        </w:tc>
        <w:tc>
          <w:tcPr>
            <w:tcW w:w="3620" w:type="dxa"/>
            <w:vAlign w:val="bottom"/>
          </w:tcPr>
          <w:p>
            <w:pPr>
              <w:ind w:left="140"/>
              <w:spacing w:after="0"/>
              <w:rPr>
                <w:sz w:val="20"/>
                <w:szCs w:val="20"/>
                <w:color w:val="auto"/>
              </w:rPr>
            </w:pPr>
            <w:r>
              <w:rPr>
                <w:rFonts w:ascii="Arial" w:cs="Arial" w:eastAsia="Arial" w:hAnsi="Arial"/>
                <w:sz w:val="11"/>
                <w:szCs w:val="11"/>
                <w:color w:val="auto"/>
              </w:rPr>
              <w:t>•  Oversees and makes recommendations regarding the governance of</w:t>
            </w:r>
          </w:p>
        </w:tc>
        <w:tc>
          <w:tcPr>
            <w:tcW w:w="620" w:type="dxa"/>
            <w:vAlign w:val="bottom"/>
          </w:tcPr>
          <w:p>
            <w:pPr>
              <w:spacing w:after="0"/>
              <w:rPr>
                <w:sz w:val="14"/>
                <w:szCs w:val="14"/>
                <w:color w:val="auto"/>
              </w:rPr>
            </w:pPr>
          </w:p>
        </w:tc>
        <w:tc>
          <w:tcPr>
            <w:tcW w:w="1920" w:type="dxa"/>
            <w:vAlign w:val="bottom"/>
            <w:vMerge w:val="restart"/>
          </w:tcPr>
          <w:p>
            <w:pPr>
              <w:ind w:left="100"/>
              <w:spacing w:after="0"/>
              <w:rPr>
                <w:sz w:val="20"/>
                <w:szCs w:val="20"/>
                <w:color w:val="auto"/>
              </w:rPr>
            </w:pPr>
            <w:r>
              <w:rPr>
                <w:rFonts w:ascii="Arial" w:cs="Arial" w:eastAsia="Arial" w:hAnsi="Arial"/>
                <w:sz w:val="11"/>
                <w:szCs w:val="11"/>
                <w:color w:val="auto"/>
              </w:rPr>
              <w:t>Laurel J. Richie</w:t>
            </w:r>
          </w:p>
        </w:tc>
        <w:tc>
          <w:tcPr>
            <w:tcW w:w="0" w:type="dxa"/>
            <w:vAlign w:val="bottom"/>
          </w:tcPr>
          <w:p>
            <w:pPr>
              <w:spacing w:after="0"/>
              <w:rPr>
                <w:sz w:val="1"/>
                <w:szCs w:val="1"/>
                <w:color w:val="auto"/>
              </w:rPr>
            </w:pPr>
          </w:p>
        </w:tc>
      </w:tr>
      <w:tr>
        <w:trPr>
          <w:trHeight w:val="40"/>
        </w:trPr>
        <w:tc>
          <w:tcPr>
            <w:tcW w:w="1180" w:type="dxa"/>
            <w:vAlign w:val="bottom"/>
          </w:tcPr>
          <w:p>
            <w:pPr>
              <w:spacing w:after="0"/>
              <w:rPr>
                <w:sz w:val="3"/>
                <w:szCs w:val="3"/>
                <w:color w:val="auto"/>
              </w:rPr>
            </w:pPr>
          </w:p>
        </w:tc>
        <w:tc>
          <w:tcPr>
            <w:tcW w:w="3620" w:type="dxa"/>
            <w:vAlign w:val="bottom"/>
            <w:vMerge w:val="restart"/>
          </w:tcPr>
          <w:p>
            <w:pPr>
              <w:ind w:left="240"/>
              <w:spacing w:after="0"/>
              <w:rPr>
                <w:sz w:val="20"/>
                <w:szCs w:val="20"/>
                <w:color w:val="auto"/>
              </w:rPr>
            </w:pPr>
            <w:r>
              <w:rPr>
                <w:rFonts w:ascii="Arial" w:cs="Arial" w:eastAsia="Arial" w:hAnsi="Arial"/>
                <w:sz w:val="11"/>
                <w:szCs w:val="11"/>
                <w:color w:val="auto"/>
              </w:rPr>
              <w:t>the Board and its committees.</w:t>
            </w:r>
          </w:p>
        </w:tc>
        <w:tc>
          <w:tcPr>
            <w:tcW w:w="620" w:type="dxa"/>
            <w:vAlign w:val="bottom"/>
          </w:tcPr>
          <w:p>
            <w:pPr>
              <w:spacing w:after="0"/>
              <w:rPr>
                <w:sz w:val="3"/>
                <w:szCs w:val="3"/>
                <w:color w:val="auto"/>
              </w:rPr>
            </w:pPr>
          </w:p>
        </w:tc>
        <w:tc>
          <w:tcPr>
            <w:tcW w:w="1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118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920" w:type="dxa"/>
            <w:vAlign w:val="bottom"/>
            <w:vMerge w:val="restart"/>
          </w:tcPr>
          <w:p>
            <w:pPr>
              <w:ind w:left="100"/>
              <w:spacing w:after="0"/>
              <w:rPr>
                <w:sz w:val="20"/>
                <w:szCs w:val="20"/>
                <w:color w:val="auto"/>
              </w:rPr>
            </w:pPr>
            <w:r>
              <w:rPr>
                <w:rFonts w:ascii="Arial" w:cs="Arial" w:eastAsia="Arial" w:hAnsi="Arial"/>
                <w:sz w:val="11"/>
                <w:szCs w:val="11"/>
                <w:color w:val="auto"/>
              </w:rPr>
              <w:t>Mary Beth West</w:t>
            </w:r>
          </w:p>
        </w:tc>
        <w:tc>
          <w:tcPr>
            <w:tcW w:w="0" w:type="dxa"/>
            <w:vAlign w:val="bottom"/>
          </w:tcPr>
          <w:p>
            <w:pPr>
              <w:spacing w:after="0"/>
              <w:rPr>
                <w:sz w:val="1"/>
                <w:szCs w:val="1"/>
                <w:color w:val="auto"/>
              </w:rPr>
            </w:pPr>
          </w:p>
        </w:tc>
      </w:tr>
      <w:tr>
        <w:trPr>
          <w:trHeight w:val="117"/>
        </w:trPr>
        <w:tc>
          <w:tcPr>
            <w:tcW w:w="1180" w:type="dxa"/>
            <w:vAlign w:val="bottom"/>
          </w:tcPr>
          <w:p>
            <w:pPr>
              <w:spacing w:after="0"/>
              <w:rPr>
                <w:sz w:val="10"/>
                <w:szCs w:val="10"/>
                <w:color w:val="auto"/>
              </w:rPr>
            </w:pPr>
          </w:p>
        </w:tc>
        <w:tc>
          <w:tcPr>
            <w:tcW w:w="3620" w:type="dxa"/>
            <w:vAlign w:val="bottom"/>
            <w:vMerge w:val="restart"/>
          </w:tcPr>
          <w:p>
            <w:pPr>
              <w:ind w:left="140"/>
              <w:spacing w:after="0"/>
              <w:rPr>
                <w:sz w:val="20"/>
                <w:szCs w:val="20"/>
                <w:color w:val="auto"/>
              </w:rPr>
            </w:pPr>
            <w:r>
              <w:rPr>
                <w:rFonts w:ascii="Arial" w:cs="Arial" w:eastAsia="Arial" w:hAnsi="Arial"/>
                <w:sz w:val="11"/>
                <w:szCs w:val="11"/>
                <w:color w:val="auto"/>
              </w:rPr>
              <w:t>•  Shares responsibility for evaluation of the CEO.</w:t>
            </w:r>
          </w:p>
        </w:tc>
        <w:tc>
          <w:tcPr>
            <w:tcW w:w="62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8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3620" w:type="dxa"/>
            <w:vAlign w:val="bottom"/>
          </w:tcPr>
          <w:p>
            <w:pPr>
              <w:ind w:left="140"/>
              <w:spacing w:after="0"/>
              <w:rPr>
                <w:sz w:val="20"/>
                <w:szCs w:val="20"/>
                <w:color w:val="auto"/>
              </w:rPr>
            </w:pPr>
            <w:r>
              <w:rPr>
                <w:rFonts w:ascii="Arial" w:cs="Arial" w:eastAsia="Arial" w:hAnsi="Arial"/>
                <w:sz w:val="11"/>
                <w:szCs w:val="11"/>
                <w:color w:val="auto"/>
              </w:rPr>
              <w:t>•  Periodically reviews and makes recommendations to the full Board</w:t>
            </w:r>
          </w:p>
        </w:tc>
        <w:tc>
          <w:tcPr>
            <w:tcW w:w="6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3620" w:type="dxa"/>
            <w:vAlign w:val="bottom"/>
          </w:tcPr>
          <w:p>
            <w:pPr>
              <w:ind w:left="240"/>
              <w:spacing w:after="0"/>
              <w:rPr>
                <w:sz w:val="20"/>
                <w:szCs w:val="20"/>
                <w:color w:val="auto"/>
              </w:rPr>
            </w:pPr>
            <w:r>
              <w:rPr>
                <w:rFonts w:ascii="Arial" w:cs="Arial" w:eastAsia="Arial" w:hAnsi="Arial"/>
                <w:sz w:val="11"/>
                <w:szCs w:val="11"/>
                <w:color w:val="auto"/>
              </w:rPr>
              <w:t>with respect to, the compensation paid to non-employee directors for</w:t>
            </w:r>
          </w:p>
        </w:tc>
        <w:tc>
          <w:tcPr>
            <w:tcW w:w="6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rPr>
                <w:sz w:val="11"/>
                <w:szCs w:val="11"/>
                <w:color w:val="auto"/>
              </w:rPr>
            </w:pPr>
          </w:p>
        </w:tc>
        <w:tc>
          <w:tcPr>
            <w:tcW w:w="3620" w:type="dxa"/>
            <w:vAlign w:val="bottom"/>
          </w:tcPr>
          <w:p>
            <w:pPr>
              <w:ind w:left="240"/>
              <w:spacing w:after="0"/>
              <w:rPr>
                <w:sz w:val="20"/>
                <w:szCs w:val="20"/>
                <w:color w:val="auto"/>
              </w:rPr>
            </w:pPr>
            <w:r>
              <w:rPr>
                <w:rFonts w:ascii="Arial" w:cs="Arial" w:eastAsia="Arial" w:hAnsi="Arial"/>
                <w:sz w:val="11"/>
                <w:szCs w:val="11"/>
                <w:color w:val="auto"/>
              </w:rPr>
              <w:t>their service on the Company’s Board.</w:t>
            </w:r>
          </w:p>
        </w:tc>
        <w:tc>
          <w:tcPr>
            <w:tcW w:w="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1"/>
                <w:szCs w:val="11"/>
                <w:color w:val="auto"/>
              </w:rPr>
              <w:t>•  Oversees the Company’s codes of conduct and ethics.</w:t>
            </w:r>
          </w:p>
        </w:tc>
        <w:tc>
          <w:tcPr>
            <w:tcW w:w="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3620" w:type="dxa"/>
            <w:vAlign w:val="bottom"/>
          </w:tcPr>
          <w:p>
            <w:pPr>
              <w:ind w:left="140"/>
              <w:spacing w:after="0"/>
              <w:rPr>
                <w:sz w:val="20"/>
                <w:szCs w:val="20"/>
                <w:color w:val="auto"/>
              </w:rPr>
            </w:pPr>
            <w:r>
              <w:rPr>
                <w:rFonts w:ascii="Arial" w:cs="Arial" w:eastAsia="Arial" w:hAnsi="Arial"/>
                <w:sz w:val="11"/>
                <w:szCs w:val="11"/>
                <w:color w:val="auto"/>
                <w:w w:val="99"/>
              </w:rPr>
              <w:t>•  Analyzes significant issues of ESG, corporate social responsibility and</w:t>
            </w:r>
          </w:p>
        </w:tc>
        <w:tc>
          <w:tcPr>
            <w:tcW w:w="6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3620" w:type="dxa"/>
            <w:vAlign w:val="bottom"/>
          </w:tcPr>
          <w:p>
            <w:pPr>
              <w:ind w:left="240"/>
              <w:spacing w:after="0"/>
              <w:rPr>
                <w:sz w:val="20"/>
                <w:szCs w:val="20"/>
                <w:color w:val="auto"/>
              </w:rPr>
            </w:pPr>
            <w:r>
              <w:rPr>
                <w:rFonts w:ascii="Arial" w:cs="Arial" w:eastAsia="Arial" w:hAnsi="Arial"/>
                <w:sz w:val="11"/>
                <w:szCs w:val="11"/>
                <w:color w:val="auto"/>
              </w:rPr>
              <w:t>related corporate conduct, including product safety, environmental</w:t>
            </w:r>
          </w:p>
        </w:tc>
        <w:tc>
          <w:tcPr>
            <w:tcW w:w="6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3620" w:type="dxa"/>
            <w:vAlign w:val="bottom"/>
          </w:tcPr>
          <w:p>
            <w:pPr>
              <w:ind w:left="240"/>
              <w:spacing w:after="0"/>
              <w:rPr>
                <w:sz w:val="20"/>
                <w:szCs w:val="20"/>
                <w:color w:val="auto"/>
              </w:rPr>
            </w:pPr>
            <w:r>
              <w:rPr>
                <w:rFonts w:ascii="Arial" w:cs="Arial" w:eastAsia="Arial" w:hAnsi="Arial"/>
                <w:sz w:val="11"/>
                <w:szCs w:val="11"/>
                <w:color w:val="auto"/>
              </w:rPr>
              <w:t>sustainability and climate change, human rights and ethical sourcing,</w:t>
            </w:r>
          </w:p>
        </w:tc>
        <w:tc>
          <w:tcPr>
            <w:tcW w:w="6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3620" w:type="dxa"/>
            <w:vAlign w:val="bottom"/>
          </w:tcPr>
          <w:p>
            <w:pPr>
              <w:ind w:left="240"/>
              <w:spacing w:after="0"/>
              <w:rPr>
                <w:sz w:val="20"/>
                <w:szCs w:val="20"/>
                <w:color w:val="auto"/>
              </w:rPr>
            </w:pPr>
            <w:r>
              <w:rPr>
                <w:rFonts w:ascii="Arial" w:cs="Arial" w:eastAsia="Arial" w:hAnsi="Arial"/>
                <w:sz w:val="11"/>
                <w:szCs w:val="11"/>
                <w:color w:val="auto"/>
              </w:rPr>
              <w:t>gender, diversity and inclusion, human capital management,</w:t>
            </w:r>
          </w:p>
        </w:tc>
        <w:tc>
          <w:tcPr>
            <w:tcW w:w="6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3620" w:type="dxa"/>
            <w:vAlign w:val="bottom"/>
          </w:tcPr>
          <w:p>
            <w:pPr>
              <w:ind w:left="240"/>
              <w:spacing w:after="0"/>
              <w:rPr>
                <w:sz w:val="20"/>
                <w:szCs w:val="20"/>
                <w:color w:val="auto"/>
              </w:rPr>
            </w:pPr>
            <w:r>
              <w:rPr>
                <w:rFonts w:ascii="Arial" w:cs="Arial" w:eastAsia="Arial" w:hAnsi="Arial"/>
                <w:sz w:val="11"/>
                <w:szCs w:val="11"/>
                <w:color w:val="auto"/>
              </w:rPr>
              <w:t>responsible content and marketing, transparency, public policy</w:t>
            </w:r>
          </w:p>
        </w:tc>
        <w:tc>
          <w:tcPr>
            <w:tcW w:w="6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rPr>
                <w:sz w:val="11"/>
                <w:szCs w:val="11"/>
                <w:color w:val="auto"/>
              </w:rPr>
            </w:pPr>
          </w:p>
        </w:tc>
        <w:tc>
          <w:tcPr>
            <w:tcW w:w="3620" w:type="dxa"/>
            <w:vAlign w:val="bottom"/>
          </w:tcPr>
          <w:p>
            <w:pPr>
              <w:ind w:left="240"/>
              <w:spacing w:after="0"/>
              <w:rPr>
                <w:sz w:val="20"/>
                <w:szCs w:val="20"/>
                <w:color w:val="auto"/>
              </w:rPr>
            </w:pPr>
            <w:r>
              <w:rPr>
                <w:rFonts w:ascii="Arial" w:cs="Arial" w:eastAsia="Arial" w:hAnsi="Arial"/>
                <w:sz w:val="11"/>
                <w:szCs w:val="11"/>
                <w:color w:val="auto"/>
              </w:rPr>
              <w:t>matters, community relations and charitable contributions.</w:t>
            </w:r>
          </w:p>
        </w:tc>
        <w:tc>
          <w:tcPr>
            <w:tcW w:w="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3620" w:type="dxa"/>
            <w:vAlign w:val="bottom"/>
          </w:tcPr>
          <w:p>
            <w:pPr>
              <w:ind w:left="140"/>
              <w:spacing w:after="0"/>
              <w:rPr>
                <w:sz w:val="20"/>
                <w:szCs w:val="20"/>
                <w:color w:val="auto"/>
              </w:rPr>
            </w:pPr>
            <w:r>
              <w:rPr>
                <w:rFonts w:ascii="Arial" w:cs="Arial" w:eastAsia="Arial" w:hAnsi="Arial"/>
                <w:sz w:val="11"/>
                <w:szCs w:val="11"/>
                <w:color w:val="auto"/>
              </w:rPr>
              <w:t>•  Periodically reviews and assesses the Company’s communications</w:t>
            </w:r>
          </w:p>
        </w:tc>
        <w:tc>
          <w:tcPr>
            <w:tcW w:w="6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3620" w:type="dxa"/>
            <w:vAlign w:val="bottom"/>
          </w:tcPr>
          <w:p>
            <w:pPr>
              <w:ind w:left="240"/>
              <w:spacing w:after="0"/>
              <w:rPr>
                <w:sz w:val="20"/>
                <w:szCs w:val="20"/>
                <w:color w:val="auto"/>
              </w:rPr>
            </w:pPr>
            <w:r>
              <w:rPr>
                <w:rFonts w:ascii="Arial" w:cs="Arial" w:eastAsia="Arial" w:hAnsi="Arial"/>
                <w:sz w:val="11"/>
                <w:szCs w:val="11"/>
                <w:color w:val="auto"/>
              </w:rPr>
              <w:t>and engagements with shareholders, stakeholders and the general</w:t>
            </w:r>
          </w:p>
        </w:tc>
        <w:tc>
          <w:tcPr>
            <w:tcW w:w="6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3620" w:type="dxa"/>
            <w:vAlign w:val="bottom"/>
          </w:tcPr>
          <w:p>
            <w:pPr>
              <w:ind w:left="240"/>
              <w:spacing w:after="0"/>
              <w:rPr>
                <w:sz w:val="20"/>
                <w:szCs w:val="20"/>
                <w:color w:val="auto"/>
              </w:rPr>
            </w:pPr>
            <w:r>
              <w:rPr>
                <w:rFonts w:ascii="Arial" w:cs="Arial" w:eastAsia="Arial" w:hAnsi="Arial"/>
                <w:sz w:val="11"/>
                <w:szCs w:val="11"/>
                <w:color w:val="auto"/>
              </w:rPr>
              <w:t>public with respect to its policies and practices in the areas of</w:t>
            </w:r>
          </w:p>
        </w:tc>
        <w:tc>
          <w:tcPr>
            <w:tcW w:w="6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3620" w:type="dxa"/>
            <w:vAlign w:val="bottom"/>
          </w:tcPr>
          <w:p>
            <w:pPr>
              <w:ind w:left="240"/>
              <w:spacing w:after="0"/>
              <w:rPr>
                <w:sz w:val="20"/>
                <w:szCs w:val="20"/>
                <w:color w:val="auto"/>
              </w:rPr>
            </w:pPr>
            <w:r>
              <w:rPr>
                <w:rFonts w:ascii="Arial" w:cs="Arial" w:eastAsia="Arial" w:hAnsi="Arial"/>
                <w:sz w:val="11"/>
                <w:szCs w:val="11"/>
                <w:color w:val="auto"/>
              </w:rPr>
              <w:t>corporate governance and corporate social responsibility, including</w:t>
            </w:r>
          </w:p>
        </w:tc>
        <w:tc>
          <w:tcPr>
            <w:tcW w:w="6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3620" w:type="dxa"/>
            <w:vAlign w:val="bottom"/>
          </w:tcPr>
          <w:p>
            <w:pPr>
              <w:ind w:left="240"/>
              <w:spacing w:after="0"/>
              <w:rPr>
                <w:sz w:val="20"/>
                <w:szCs w:val="20"/>
                <w:color w:val="auto"/>
              </w:rPr>
            </w:pPr>
            <w:r>
              <w:rPr>
                <w:rFonts w:ascii="Arial" w:cs="Arial" w:eastAsia="Arial" w:hAnsi="Arial"/>
                <w:sz w:val="11"/>
                <w:szCs w:val="11"/>
                <w:color w:val="auto"/>
              </w:rPr>
              <w:t>the ESG report and other communications contained on the</w:t>
            </w:r>
          </w:p>
        </w:tc>
        <w:tc>
          <w:tcPr>
            <w:tcW w:w="6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3620" w:type="dxa"/>
            <w:vAlign w:val="bottom"/>
          </w:tcPr>
          <w:p>
            <w:pPr>
              <w:ind w:left="240"/>
              <w:spacing w:after="0"/>
              <w:rPr>
                <w:sz w:val="20"/>
                <w:szCs w:val="20"/>
                <w:color w:val="auto"/>
              </w:rPr>
            </w:pPr>
            <w:r>
              <w:rPr>
                <w:rFonts w:ascii="Arial" w:cs="Arial" w:eastAsia="Arial" w:hAnsi="Arial"/>
                <w:sz w:val="11"/>
                <w:szCs w:val="11"/>
                <w:color w:val="auto"/>
              </w:rPr>
              <w:t>Company’s website, and receives periodic updates from the</w:t>
            </w:r>
          </w:p>
        </w:tc>
        <w:tc>
          <w:tcPr>
            <w:tcW w:w="6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rPr>
                <w:sz w:val="11"/>
                <w:szCs w:val="11"/>
                <w:color w:val="auto"/>
              </w:rPr>
            </w:pPr>
          </w:p>
        </w:tc>
        <w:tc>
          <w:tcPr>
            <w:tcW w:w="3620" w:type="dxa"/>
            <w:vAlign w:val="bottom"/>
          </w:tcPr>
          <w:p>
            <w:pPr>
              <w:ind w:left="240"/>
              <w:spacing w:after="0"/>
              <w:rPr>
                <w:sz w:val="20"/>
                <w:szCs w:val="20"/>
                <w:color w:val="auto"/>
              </w:rPr>
            </w:pPr>
            <w:r>
              <w:rPr>
                <w:rFonts w:ascii="Arial" w:cs="Arial" w:eastAsia="Arial" w:hAnsi="Arial"/>
                <w:sz w:val="11"/>
                <w:szCs w:val="11"/>
                <w:color w:val="auto"/>
              </w:rPr>
              <w:t>Company’s Chief Purpose Officer.</w:t>
            </w:r>
          </w:p>
        </w:tc>
        <w:tc>
          <w:tcPr>
            <w:tcW w:w="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180" w:type="dxa"/>
            <w:vAlign w:val="bottom"/>
            <w:tcBorders>
              <w:bottom w:val="single" w:sz="8" w:color="009BDE"/>
            </w:tcBorders>
          </w:tcPr>
          <w:p>
            <w:pPr>
              <w:spacing w:after="0"/>
              <w:rPr>
                <w:sz w:val="6"/>
                <w:szCs w:val="6"/>
                <w:color w:val="auto"/>
              </w:rPr>
            </w:pPr>
          </w:p>
        </w:tc>
        <w:tc>
          <w:tcPr>
            <w:tcW w:w="3620" w:type="dxa"/>
            <w:vAlign w:val="bottom"/>
            <w:tcBorders>
              <w:bottom w:val="single" w:sz="8" w:color="009BDE"/>
            </w:tcBorders>
          </w:tcPr>
          <w:p>
            <w:pPr>
              <w:spacing w:after="0"/>
              <w:rPr>
                <w:sz w:val="6"/>
                <w:szCs w:val="6"/>
                <w:color w:val="auto"/>
              </w:rPr>
            </w:pPr>
          </w:p>
        </w:tc>
        <w:tc>
          <w:tcPr>
            <w:tcW w:w="620" w:type="dxa"/>
            <w:vAlign w:val="bottom"/>
            <w:tcBorders>
              <w:bottom w:val="single" w:sz="8" w:color="009BDE"/>
            </w:tcBorders>
          </w:tcPr>
          <w:p>
            <w:pPr>
              <w:spacing w:after="0"/>
              <w:rPr>
                <w:sz w:val="6"/>
                <w:szCs w:val="6"/>
                <w:color w:val="auto"/>
              </w:rPr>
            </w:pPr>
          </w:p>
        </w:tc>
        <w:tc>
          <w:tcPr>
            <w:tcW w:w="192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165735</wp:posOffset>
            </wp:positionV>
            <wp:extent cx="3971925" cy="21717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307"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12</w:t>
      </w:r>
    </w:p>
    <w:p>
      <w:pPr>
        <w:sectPr>
          <w:pgSz w:w="11900" w:h="16838" w:orient="portrait"/>
          <w:cols w:equalWidth="0" w:num="1">
            <w:col w:w="10159"/>
          </w:cols>
          <w:pgMar w:left="300" w:top="372" w:right="1440"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136525</wp:posOffset>
            </wp:positionV>
            <wp:extent cx="4663440" cy="26860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4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Role of the Board in Risk Oversight</w:t>
      </w:r>
    </w:p>
    <w:p>
      <w:pPr>
        <w:spacing w:after="0" w:line="255" w:lineRule="exact"/>
        <w:rPr>
          <w:sz w:val="20"/>
          <w:szCs w:val="20"/>
          <w:color w:val="auto"/>
        </w:rPr>
      </w:pPr>
    </w:p>
    <w:p>
      <w:pPr>
        <w:ind w:left="1980" w:right="859"/>
        <w:spacing w:after="0" w:line="273" w:lineRule="auto"/>
        <w:rPr>
          <w:sz w:val="20"/>
          <w:szCs w:val="20"/>
          <w:color w:val="auto"/>
        </w:rPr>
      </w:pPr>
      <w:r>
        <w:rPr>
          <w:rFonts w:ascii="Arial" w:cs="Arial" w:eastAsia="Arial" w:hAnsi="Arial"/>
          <w:sz w:val="10"/>
          <w:szCs w:val="10"/>
          <w:color w:val="auto"/>
        </w:rPr>
        <w:t>The Board of Directors is actively involved in risk oversight for the Company. Although the Board as a whole has retained oversight over the Company’s risk assessment and risk management efforts, the efforts of the various committees of the Board are instrumental in this process. Each committee, generally through its Chair, regularly reports back to the full Board on the conduct of the committee’s functions. The Board, as well as the individual Board committees, also regularly speaks directly with key officers and employees of the Company involved in risk assessment and risk management.</w:t>
      </w:r>
    </w:p>
    <w:p>
      <w:pPr>
        <w:spacing w:after="0" w:line="53"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Set forth below is a description of the role of the various Board committees, and the full Board, in risk oversight for the Company.</w:t>
      </w:r>
    </w:p>
    <w:p>
      <w:pPr>
        <w:spacing w:after="0" w:line="160" w:lineRule="exact"/>
        <w:rPr>
          <w:sz w:val="20"/>
          <w:szCs w:val="20"/>
          <w:color w:val="auto"/>
        </w:rPr>
      </w:pPr>
    </w:p>
    <w:tbl>
      <w:tblPr>
        <w:tblLayout w:type="fixed"/>
        <w:tblInd w:w="1980" w:type="dxa"/>
        <w:tblCellMar>
          <w:top w:w="0" w:type="dxa"/>
          <w:left w:w="0" w:type="dxa"/>
          <w:bottom w:w="0" w:type="dxa"/>
          <w:right w:w="0" w:type="dxa"/>
        </w:tblCellMar>
      </w:tblPr>
      <w:tr>
        <w:trPr>
          <w:trHeight w:val="176"/>
        </w:trPr>
        <w:tc>
          <w:tcPr>
            <w:tcW w:w="1760" w:type="dxa"/>
            <w:vAlign w:val="bottom"/>
            <w:shd w:val="clear" w:color="auto" w:fill="CCEBF8"/>
          </w:tcPr>
          <w:p>
            <w:pPr>
              <w:ind w:left="60"/>
              <w:spacing w:after="0"/>
              <w:rPr>
                <w:sz w:val="20"/>
                <w:szCs w:val="20"/>
                <w:color w:val="auto"/>
              </w:rPr>
            </w:pPr>
            <w:r>
              <w:rPr>
                <w:rFonts w:ascii="Arial" w:cs="Arial" w:eastAsia="Arial" w:hAnsi="Arial"/>
                <w:sz w:val="11"/>
                <w:szCs w:val="11"/>
                <w:b w:val="1"/>
                <w:bCs w:val="1"/>
                <w:color w:val="009BDE"/>
              </w:rPr>
              <w:t>COMMITTEE</w:t>
            </w:r>
          </w:p>
        </w:tc>
        <w:tc>
          <w:tcPr>
            <w:tcW w:w="5580" w:type="dxa"/>
            <w:vAlign w:val="bottom"/>
            <w:shd w:val="clear" w:color="auto" w:fill="CCEBF8"/>
          </w:tcPr>
          <w:p>
            <w:pPr>
              <w:ind w:left="2360"/>
              <w:spacing w:after="0"/>
              <w:rPr>
                <w:sz w:val="20"/>
                <w:szCs w:val="20"/>
                <w:color w:val="auto"/>
              </w:rPr>
            </w:pPr>
            <w:r>
              <w:rPr>
                <w:rFonts w:ascii="Arial" w:cs="Arial" w:eastAsia="Arial" w:hAnsi="Arial"/>
                <w:sz w:val="11"/>
                <w:szCs w:val="11"/>
                <w:b w:val="1"/>
                <w:bCs w:val="1"/>
                <w:color w:val="009BDE"/>
              </w:rPr>
              <w:t>RISK OVERSIGHT</w:t>
            </w:r>
          </w:p>
        </w:tc>
      </w:tr>
      <w:tr>
        <w:trPr>
          <w:trHeight w:val="85"/>
        </w:trPr>
        <w:tc>
          <w:tcPr>
            <w:tcW w:w="1760" w:type="dxa"/>
            <w:vAlign w:val="bottom"/>
            <w:tcBorders>
              <w:bottom w:val="single" w:sz="8" w:color="009BDE"/>
            </w:tcBorders>
            <w:shd w:val="clear" w:color="auto" w:fill="CCEBF8"/>
          </w:tcPr>
          <w:p>
            <w:pPr>
              <w:spacing w:after="0"/>
              <w:rPr>
                <w:sz w:val="7"/>
                <w:szCs w:val="7"/>
                <w:color w:val="auto"/>
              </w:rPr>
            </w:pPr>
          </w:p>
        </w:tc>
        <w:tc>
          <w:tcPr>
            <w:tcW w:w="5580" w:type="dxa"/>
            <w:vAlign w:val="bottom"/>
            <w:tcBorders>
              <w:bottom w:val="single" w:sz="8" w:color="009BDE"/>
            </w:tcBorders>
            <w:shd w:val="clear" w:color="auto" w:fill="CCEBF8"/>
          </w:tcPr>
          <w:p>
            <w:pPr>
              <w:spacing w:after="0"/>
              <w:rPr>
                <w:sz w:val="7"/>
                <w:szCs w:val="7"/>
                <w:color w:val="auto"/>
              </w:rPr>
            </w:pPr>
          </w:p>
        </w:tc>
      </w:tr>
      <w:tr>
        <w:trPr>
          <w:trHeight w:val="179"/>
        </w:trPr>
        <w:tc>
          <w:tcPr>
            <w:tcW w:w="1760" w:type="dxa"/>
            <w:vAlign w:val="bottom"/>
          </w:tcPr>
          <w:p>
            <w:pPr>
              <w:ind w:left="40"/>
              <w:spacing w:after="0"/>
              <w:rPr>
                <w:sz w:val="20"/>
                <w:szCs w:val="20"/>
                <w:color w:val="auto"/>
              </w:rPr>
            </w:pPr>
            <w:r>
              <w:rPr>
                <w:rFonts w:ascii="Arial" w:cs="Arial" w:eastAsia="Arial" w:hAnsi="Arial"/>
                <w:sz w:val="11"/>
                <w:szCs w:val="11"/>
                <w:color w:val="auto"/>
              </w:rPr>
              <w:t>Audit</w:t>
            </w:r>
          </w:p>
        </w:tc>
        <w:tc>
          <w:tcPr>
            <w:tcW w:w="5580" w:type="dxa"/>
            <w:vAlign w:val="bottom"/>
          </w:tcPr>
          <w:p>
            <w:pPr>
              <w:ind w:left="60"/>
              <w:spacing w:after="0"/>
              <w:rPr>
                <w:sz w:val="20"/>
                <w:szCs w:val="20"/>
                <w:color w:val="auto"/>
              </w:rPr>
            </w:pPr>
            <w:r>
              <w:rPr>
                <w:rFonts w:ascii="Arial" w:cs="Arial" w:eastAsia="Arial" w:hAnsi="Arial"/>
                <w:sz w:val="11"/>
                <w:szCs w:val="11"/>
                <w:color w:val="auto"/>
              </w:rPr>
              <w:t>•  Assists the Board in risk oversight for the Company by reviewing and discussing with management, internal</w:t>
            </w:r>
          </w:p>
        </w:tc>
      </w:tr>
      <w:tr>
        <w:trPr>
          <w:trHeight w:val="126"/>
        </w:trPr>
        <w:tc>
          <w:tcPr>
            <w:tcW w:w="1760" w:type="dxa"/>
            <w:vAlign w:val="bottom"/>
          </w:tcPr>
          <w:p>
            <w:pPr>
              <w:spacing w:after="0"/>
              <w:rPr>
                <w:sz w:val="10"/>
                <w:szCs w:val="10"/>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rPr>
              <w:t>auditors and the independent auditors the Company’s significant financial and other exposures, and guidelines</w:t>
            </w:r>
          </w:p>
        </w:tc>
      </w:tr>
      <w:tr>
        <w:trPr>
          <w:trHeight w:val="126"/>
        </w:trPr>
        <w:tc>
          <w:tcPr>
            <w:tcW w:w="1760" w:type="dxa"/>
            <w:vAlign w:val="bottom"/>
          </w:tcPr>
          <w:p>
            <w:pPr>
              <w:spacing w:after="0"/>
              <w:rPr>
                <w:sz w:val="10"/>
                <w:szCs w:val="10"/>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rPr>
              <w:t>and policies relating to enterprise risk assessment and risk management, including the Company’s procedures</w:t>
            </w:r>
          </w:p>
        </w:tc>
      </w:tr>
      <w:tr>
        <w:trPr>
          <w:trHeight w:val="126"/>
        </w:trPr>
        <w:tc>
          <w:tcPr>
            <w:tcW w:w="1760" w:type="dxa"/>
            <w:vAlign w:val="bottom"/>
          </w:tcPr>
          <w:p>
            <w:pPr>
              <w:spacing w:after="0"/>
              <w:rPr>
                <w:sz w:val="10"/>
                <w:szCs w:val="10"/>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rPr>
              <w:t>for monitoring and controlling such risks.</w:t>
            </w:r>
          </w:p>
        </w:tc>
      </w:tr>
      <w:tr>
        <w:trPr>
          <w:trHeight w:val="126"/>
        </w:trPr>
        <w:tc>
          <w:tcPr>
            <w:tcW w:w="1760" w:type="dxa"/>
            <w:vAlign w:val="bottom"/>
          </w:tcPr>
          <w:p>
            <w:pPr>
              <w:spacing w:after="0"/>
              <w:rPr>
                <w:sz w:val="10"/>
                <w:szCs w:val="10"/>
                <w:color w:val="auto"/>
              </w:rPr>
            </w:pPr>
          </w:p>
        </w:tc>
        <w:tc>
          <w:tcPr>
            <w:tcW w:w="5580" w:type="dxa"/>
            <w:vAlign w:val="bottom"/>
          </w:tcPr>
          <w:p>
            <w:pPr>
              <w:ind w:left="60"/>
              <w:spacing w:after="0"/>
              <w:rPr>
                <w:sz w:val="20"/>
                <w:szCs w:val="20"/>
                <w:color w:val="auto"/>
              </w:rPr>
            </w:pPr>
            <w:r>
              <w:rPr>
                <w:rFonts w:ascii="Arial" w:cs="Arial" w:eastAsia="Arial" w:hAnsi="Arial"/>
                <w:sz w:val="11"/>
                <w:szCs w:val="11"/>
                <w:color w:val="auto"/>
              </w:rPr>
              <w:t>•  Oversees, on behalf of the Board, financial reporting, tax, and accounting matters, climate, sustainability and</w:t>
            </w:r>
          </w:p>
        </w:tc>
      </w:tr>
      <w:tr>
        <w:trPr>
          <w:trHeight w:val="126"/>
        </w:trPr>
        <w:tc>
          <w:tcPr>
            <w:tcW w:w="1760" w:type="dxa"/>
            <w:vAlign w:val="bottom"/>
          </w:tcPr>
          <w:p>
            <w:pPr>
              <w:spacing w:after="0"/>
              <w:rPr>
                <w:sz w:val="10"/>
                <w:szCs w:val="10"/>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rPr>
              <w:t>conflict minerals related reporting, and the Company’s internal controls over financial reporting.</w:t>
            </w:r>
          </w:p>
        </w:tc>
      </w:tr>
      <w:tr>
        <w:trPr>
          <w:trHeight w:val="130"/>
        </w:trPr>
        <w:tc>
          <w:tcPr>
            <w:tcW w:w="1760" w:type="dxa"/>
            <w:vAlign w:val="bottom"/>
          </w:tcPr>
          <w:p>
            <w:pPr>
              <w:spacing w:after="0"/>
              <w:rPr>
                <w:sz w:val="11"/>
                <w:szCs w:val="11"/>
                <w:color w:val="auto"/>
              </w:rPr>
            </w:pPr>
          </w:p>
        </w:tc>
        <w:tc>
          <w:tcPr>
            <w:tcW w:w="5580" w:type="dxa"/>
            <w:vAlign w:val="bottom"/>
          </w:tcPr>
          <w:p>
            <w:pPr>
              <w:ind w:left="60"/>
              <w:spacing w:after="0"/>
              <w:rPr>
                <w:sz w:val="20"/>
                <w:szCs w:val="20"/>
                <w:color w:val="auto"/>
              </w:rPr>
            </w:pPr>
            <w:r>
              <w:rPr>
                <w:rFonts w:ascii="Arial" w:cs="Arial" w:eastAsia="Arial" w:hAnsi="Arial"/>
                <w:sz w:val="11"/>
                <w:szCs w:val="11"/>
                <w:color w:val="auto"/>
              </w:rPr>
              <w:t>•  Key role in oversight of the Company’s compliance with legal and regulatory requirements.</w:t>
            </w:r>
          </w:p>
        </w:tc>
      </w:tr>
      <w:tr>
        <w:trPr>
          <w:trHeight w:val="76"/>
        </w:trPr>
        <w:tc>
          <w:tcPr>
            <w:tcW w:w="1760" w:type="dxa"/>
            <w:vAlign w:val="bottom"/>
            <w:tcBorders>
              <w:bottom w:val="single" w:sz="8" w:color="009BDE"/>
            </w:tcBorders>
          </w:tcPr>
          <w:p>
            <w:pPr>
              <w:spacing w:after="0"/>
              <w:rPr>
                <w:sz w:val="6"/>
                <w:szCs w:val="6"/>
                <w:color w:val="auto"/>
              </w:rPr>
            </w:pPr>
          </w:p>
        </w:tc>
        <w:tc>
          <w:tcPr>
            <w:tcW w:w="5580" w:type="dxa"/>
            <w:vAlign w:val="bottom"/>
            <w:tcBorders>
              <w:bottom w:val="single" w:sz="8" w:color="009BDE"/>
            </w:tcBorders>
          </w:tcPr>
          <w:p>
            <w:pPr>
              <w:spacing w:after="0"/>
              <w:rPr>
                <w:sz w:val="6"/>
                <w:szCs w:val="6"/>
                <w:color w:val="auto"/>
              </w:rPr>
            </w:pPr>
          </w:p>
        </w:tc>
      </w:tr>
      <w:tr>
        <w:trPr>
          <w:trHeight w:val="179"/>
        </w:trPr>
        <w:tc>
          <w:tcPr>
            <w:tcW w:w="1760" w:type="dxa"/>
            <w:vAlign w:val="bottom"/>
          </w:tcPr>
          <w:p>
            <w:pPr>
              <w:ind w:left="40"/>
              <w:spacing w:after="0"/>
              <w:rPr>
                <w:sz w:val="20"/>
                <w:szCs w:val="20"/>
                <w:color w:val="auto"/>
              </w:rPr>
            </w:pPr>
            <w:r>
              <w:rPr>
                <w:rFonts w:ascii="Arial" w:cs="Arial" w:eastAsia="Arial" w:hAnsi="Arial"/>
                <w:sz w:val="11"/>
                <w:szCs w:val="11"/>
                <w:color w:val="auto"/>
              </w:rPr>
              <w:t>Compensation</w:t>
            </w:r>
          </w:p>
        </w:tc>
        <w:tc>
          <w:tcPr>
            <w:tcW w:w="5580" w:type="dxa"/>
            <w:vAlign w:val="bottom"/>
          </w:tcPr>
          <w:p>
            <w:pPr>
              <w:ind w:left="60"/>
              <w:spacing w:after="0"/>
              <w:rPr>
                <w:sz w:val="20"/>
                <w:szCs w:val="20"/>
                <w:color w:val="auto"/>
              </w:rPr>
            </w:pPr>
            <w:r>
              <w:rPr>
                <w:rFonts w:ascii="Arial" w:cs="Arial" w:eastAsia="Arial" w:hAnsi="Arial"/>
                <w:sz w:val="11"/>
                <w:szCs w:val="11"/>
                <w:color w:val="auto"/>
              </w:rPr>
              <w:t>•  Assists the Board in oversight of the compensation programs for the Company’s executive officers.</w:t>
            </w:r>
          </w:p>
        </w:tc>
      </w:tr>
      <w:tr>
        <w:trPr>
          <w:trHeight w:val="126"/>
        </w:trPr>
        <w:tc>
          <w:tcPr>
            <w:tcW w:w="1760" w:type="dxa"/>
            <w:vAlign w:val="bottom"/>
          </w:tcPr>
          <w:p>
            <w:pPr>
              <w:spacing w:after="0"/>
              <w:rPr>
                <w:sz w:val="10"/>
                <w:szCs w:val="10"/>
                <w:color w:val="auto"/>
              </w:rPr>
            </w:pPr>
          </w:p>
        </w:tc>
        <w:tc>
          <w:tcPr>
            <w:tcW w:w="5580" w:type="dxa"/>
            <w:vAlign w:val="bottom"/>
          </w:tcPr>
          <w:p>
            <w:pPr>
              <w:ind w:left="60"/>
              <w:spacing w:after="0"/>
              <w:rPr>
                <w:sz w:val="20"/>
                <w:szCs w:val="20"/>
                <w:color w:val="auto"/>
              </w:rPr>
            </w:pPr>
            <w:r>
              <w:rPr>
                <w:rFonts w:ascii="Arial" w:cs="Arial" w:eastAsia="Arial" w:hAnsi="Arial"/>
                <w:sz w:val="11"/>
                <w:szCs w:val="11"/>
                <w:color w:val="auto"/>
              </w:rPr>
              <w:t>•  Ensures that the performance goals and metrics being used in the Company’s compensation plans and</w:t>
            </w:r>
          </w:p>
        </w:tc>
      </w:tr>
      <w:tr>
        <w:trPr>
          <w:trHeight w:val="126"/>
        </w:trPr>
        <w:tc>
          <w:tcPr>
            <w:tcW w:w="1760" w:type="dxa"/>
            <w:vAlign w:val="bottom"/>
          </w:tcPr>
          <w:p>
            <w:pPr>
              <w:spacing w:after="0"/>
              <w:rPr>
                <w:sz w:val="10"/>
                <w:szCs w:val="10"/>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rPr>
              <w:t>arrangements align the interests of executives with those of the Company and its shareholders and maximize</w:t>
            </w:r>
          </w:p>
        </w:tc>
      </w:tr>
      <w:tr>
        <w:trPr>
          <w:trHeight w:val="126"/>
        </w:trPr>
        <w:tc>
          <w:tcPr>
            <w:tcW w:w="1760" w:type="dxa"/>
            <w:vAlign w:val="bottom"/>
          </w:tcPr>
          <w:p>
            <w:pPr>
              <w:spacing w:after="0"/>
              <w:rPr>
                <w:sz w:val="10"/>
                <w:szCs w:val="10"/>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w w:val="98"/>
              </w:rPr>
              <w:t>executive and Company performance, while not creating incentives on the part of executives to take excessive or</w:t>
            </w:r>
          </w:p>
        </w:tc>
      </w:tr>
      <w:tr>
        <w:trPr>
          <w:trHeight w:val="130"/>
        </w:trPr>
        <w:tc>
          <w:tcPr>
            <w:tcW w:w="1760" w:type="dxa"/>
            <w:vAlign w:val="bottom"/>
          </w:tcPr>
          <w:p>
            <w:pPr>
              <w:spacing w:after="0"/>
              <w:rPr>
                <w:sz w:val="11"/>
                <w:szCs w:val="11"/>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rPr>
              <w:t>inappropriate risks.</w:t>
            </w:r>
          </w:p>
        </w:tc>
      </w:tr>
      <w:tr>
        <w:trPr>
          <w:trHeight w:val="76"/>
        </w:trPr>
        <w:tc>
          <w:tcPr>
            <w:tcW w:w="1760" w:type="dxa"/>
            <w:vAlign w:val="bottom"/>
            <w:tcBorders>
              <w:bottom w:val="single" w:sz="8" w:color="009BDE"/>
            </w:tcBorders>
          </w:tcPr>
          <w:p>
            <w:pPr>
              <w:spacing w:after="0"/>
              <w:rPr>
                <w:sz w:val="6"/>
                <w:szCs w:val="6"/>
                <w:color w:val="auto"/>
              </w:rPr>
            </w:pPr>
          </w:p>
        </w:tc>
        <w:tc>
          <w:tcPr>
            <w:tcW w:w="5580" w:type="dxa"/>
            <w:vAlign w:val="bottom"/>
            <w:tcBorders>
              <w:bottom w:val="single" w:sz="8" w:color="009BDE"/>
            </w:tcBorders>
          </w:tcPr>
          <w:p>
            <w:pPr>
              <w:spacing w:after="0"/>
              <w:rPr>
                <w:sz w:val="6"/>
                <w:szCs w:val="6"/>
                <w:color w:val="auto"/>
              </w:rPr>
            </w:pPr>
          </w:p>
        </w:tc>
      </w:tr>
      <w:tr>
        <w:trPr>
          <w:trHeight w:val="179"/>
        </w:trPr>
        <w:tc>
          <w:tcPr>
            <w:tcW w:w="1760" w:type="dxa"/>
            <w:vAlign w:val="bottom"/>
          </w:tcPr>
          <w:p>
            <w:pPr>
              <w:ind w:left="40"/>
              <w:spacing w:after="0"/>
              <w:rPr>
                <w:sz w:val="20"/>
                <w:szCs w:val="20"/>
                <w:color w:val="auto"/>
              </w:rPr>
            </w:pPr>
            <w:r>
              <w:rPr>
                <w:rFonts w:ascii="Arial" w:cs="Arial" w:eastAsia="Arial" w:hAnsi="Arial"/>
                <w:sz w:val="11"/>
                <w:szCs w:val="11"/>
                <w:color w:val="auto"/>
              </w:rPr>
              <w:t>Cybersecurity and Data Privacy</w:t>
            </w:r>
          </w:p>
        </w:tc>
        <w:tc>
          <w:tcPr>
            <w:tcW w:w="5580" w:type="dxa"/>
            <w:vAlign w:val="bottom"/>
          </w:tcPr>
          <w:p>
            <w:pPr>
              <w:ind w:left="60"/>
              <w:spacing w:after="0"/>
              <w:rPr>
                <w:sz w:val="20"/>
                <w:szCs w:val="20"/>
                <w:color w:val="auto"/>
              </w:rPr>
            </w:pPr>
            <w:r>
              <w:rPr>
                <w:rFonts w:ascii="Arial" w:cs="Arial" w:eastAsia="Arial" w:hAnsi="Arial"/>
                <w:sz w:val="11"/>
                <w:szCs w:val="11"/>
                <w:color w:val="auto"/>
                <w:w w:val="99"/>
              </w:rPr>
              <w:t>•  Assists the Board in its oversight of the protection of information and assets collected, created, used, processed</w:t>
            </w:r>
          </w:p>
        </w:tc>
      </w:tr>
      <w:tr>
        <w:trPr>
          <w:trHeight w:val="126"/>
        </w:trPr>
        <w:tc>
          <w:tcPr>
            <w:tcW w:w="1760" w:type="dxa"/>
            <w:vAlign w:val="bottom"/>
          </w:tcPr>
          <w:p>
            <w:pPr>
              <w:spacing w:after="0"/>
              <w:rPr>
                <w:sz w:val="10"/>
                <w:szCs w:val="10"/>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rPr>
              <w:t>and/or maintained by or on behalf of the Company.</w:t>
            </w:r>
          </w:p>
        </w:tc>
      </w:tr>
      <w:tr>
        <w:trPr>
          <w:trHeight w:val="126"/>
        </w:trPr>
        <w:tc>
          <w:tcPr>
            <w:tcW w:w="1760" w:type="dxa"/>
            <w:vAlign w:val="bottom"/>
          </w:tcPr>
          <w:p>
            <w:pPr>
              <w:spacing w:after="0"/>
              <w:rPr>
                <w:sz w:val="10"/>
                <w:szCs w:val="10"/>
                <w:color w:val="auto"/>
              </w:rPr>
            </w:pPr>
          </w:p>
        </w:tc>
        <w:tc>
          <w:tcPr>
            <w:tcW w:w="5580" w:type="dxa"/>
            <w:vAlign w:val="bottom"/>
          </w:tcPr>
          <w:p>
            <w:pPr>
              <w:ind w:left="60"/>
              <w:spacing w:after="0"/>
              <w:rPr>
                <w:sz w:val="20"/>
                <w:szCs w:val="20"/>
                <w:color w:val="auto"/>
              </w:rPr>
            </w:pPr>
            <w:r>
              <w:rPr>
                <w:rFonts w:ascii="Arial" w:cs="Arial" w:eastAsia="Arial" w:hAnsi="Arial"/>
                <w:sz w:val="11"/>
                <w:szCs w:val="11"/>
                <w:color w:val="auto"/>
              </w:rPr>
              <w:t>•  Assists the Board in its oversight of the protection of the Company’s customers’, consumers’, and employees’</w:t>
            </w:r>
          </w:p>
        </w:tc>
      </w:tr>
      <w:tr>
        <w:trPr>
          <w:trHeight w:val="126"/>
        </w:trPr>
        <w:tc>
          <w:tcPr>
            <w:tcW w:w="1760" w:type="dxa"/>
            <w:vAlign w:val="bottom"/>
          </w:tcPr>
          <w:p>
            <w:pPr>
              <w:spacing w:after="0"/>
              <w:rPr>
                <w:sz w:val="10"/>
                <w:szCs w:val="10"/>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rPr>
              <w:t>privacy and personal information.</w:t>
            </w:r>
          </w:p>
        </w:tc>
      </w:tr>
      <w:tr>
        <w:trPr>
          <w:trHeight w:val="126"/>
        </w:trPr>
        <w:tc>
          <w:tcPr>
            <w:tcW w:w="1760" w:type="dxa"/>
            <w:vAlign w:val="bottom"/>
          </w:tcPr>
          <w:p>
            <w:pPr>
              <w:spacing w:after="0"/>
              <w:rPr>
                <w:sz w:val="10"/>
                <w:szCs w:val="10"/>
                <w:color w:val="auto"/>
              </w:rPr>
            </w:pPr>
          </w:p>
        </w:tc>
        <w:tc>
          <w:tcPr>
            <w:tcW w:w="5580" w:type="dxa"/>
            <w:vAlign w:val="bottom"/>
          </w:tcPr>
          <w:p>
            <w:pPr>
              <w:ind w:left="60"/>
              <w:spacing w:after="0"/>
              <w:rPr>
                <w:sz w:val="20"/>
                <w:szCs w:val="20"/>
                <w:color w:val="auto"/>
              </w:rPr>
            </w:pPr>
            <w:r>
              <w:rPr>
                <w:rFonts w:ascii="Arial" w:cs="Arial" w:eastAsia="Arial" w:hAnsi="Arial"/>
                <w:sz w:val="11"/>
                <w:szCs w:val="11"/>
                <w:color w:val="auto"/>
              </w:rPr>
              <w:t>•  Assists the Board in its oversight of the Company’s compliance with applicable global data privacy and security</w:t>
            </w:r>
          </w:p>
        </w:tc>
      </w:tr>
      <w:tr>
        <w:trPr>
          <w:trHeight w:val="126"/>
        </w:trPr>
        <w:tc>
          <w:tcPr>
            <w:tcW w:w="1760" w:type="dxa"/>
            <w:vAlign w:val="bottom"/>
          </w:tcPr>
          <w:p>
            <w:pPr>
              <w:spacing w:after="0"/>
              <w:rPr>
                <w:sz w:val="10"/>
                <w:szCs w:val="10"/>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w w:val="98"/>
              </w:rPr>
              <w:t>regulations and requirements, and the Company’s other cyber risk management activities, including measures to</w:t>
            </w:r>
          </w:p>
        </w:tc>
      </w:tr>
      <w:tr>
        <w:trPr>
          <w:trHeight w:val="126"/>
        </w:trPr>
        <w:tc>
          <w:tcPr>
            <w:tcW w:w="1760" w:type="dxa"/>
            <w:vAlign w:val="bottom"/>
          </w:tcPr>
          <w:p>
            <w:pPr>
              <w:spacing w:after="0"/>
              <w:rPr>
                <w:sz w:val="10"/>
                <w:szCs w:val="10"/>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rPr>
              <w:t>maintain the availability, integrity and functionality of the Company’s information technology systems, networks</w:t>
            </w:r>
          </w:p>
        </w:tc>
      </w:tr>
      <w:tr>
        <w:trPr>
          <w:trHeight w:val="130"/>
        </w:trPr>
        <w:tc>
          <w:tcPr>
            <w:tcW w:w="1760" w:type="dxa"/>
            <w:vAlign w:val="bottom"/>
          </w:tcPr>
          <w:p>
            <w:pPr>
              <w:spacing w:after="0"/>
              <w:rPr>
                <w:sz w:val="11"/>
                <w:szCs w:val="11"/>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rPr>
              <w:t>and assets.</w:t>
            </w:r>
          </w:p>
        </w:tc>
      </w:tr>
      <w:tr>
        <w:trPr>
          <w:trHeight w:val="76"/>
        </w:trPr>
        <w:tc>
          <w:tcPr>
            <w:tcW w:w="1760" w:type="dxa"/>
            <w:vAlign w:val="bottom"/>
            <w:tcBorders>
              <w:bottom w:val="single" w:sz="8" w:color="009BDE"/>
            </w:tcBorders>
          </w:tcPr>
          <w:p>
            <w:pPr>
              <w:spacing w:after="0"/>
              <w:rPr>
                <w:sz w:val="6"/>
                <w:szCs w:val="6"/>
                <w:color w:val="auto"/>
              </w:rPr>
            </w:pPr>
          </w:p>
        </w:tc>
        <w:tc>
          <w:tcPr>
            <w:tcW w:w="5580" w:type="dxa"/>
            <w:vAlign w:val="bottom"/>
            <w:tcBorders>
              <w:bottom w:val="single" w:sz="8" w:color="009BDE"/>
            </w:tcBorders>
          </w:tcPr>
          <w:p>
            <w:pPr>
              <w:spacing w:after="0"/>
              <w:rPr>
                <w:sz w:val="6"/>
                <w:szCs w:val="6"/>
                <w:color w:val="auto"/>
              </w:rPr>
            </w:pPr>
          </w:p>
        </w:tc>
      </w:tr>
      <w:tr>
        <w:trPr>
          <w:trHeight w:val="179"/>
        </w:trPr>
        <w:tc>
          <w:tcPr>
            <w:tcW w:w="1760" w:type="dxa"/>
            <w:vAlign w:val="bottom"/>
          </w:tcPr>
          <w:p>
            <w:pPr>
              <w:ind w:left="40"/>
              <w:spacing w:after="0"/>
              <w:rPr>
                <w:sz w:val="20"/>
                <w:szCs w:val="20"/>
                <w:color w:val="auto"/>
              </w:rPr>
            </w:pPr>
            <w:r>
              <w:rPr>
                <w:rFonts w:ascii="Arial" w:cs="Arial" w:eastAsia="Arial" w:hAnsi="Arial"/>
                <w:sz w:val="11"/>
                <w:szCs w:val="11"/>
                <w:color w:val="auto"/>
              </w:rPr>
              <w:t>Finance and Capital Allocation</w:t>
            </w:r>
          </w:p>
        </w:tc>
        <w:tc>
          <w:tcPr>
            <w:tcW w:w="5580" w:type="dxa"/>
            <w:vAlign w:val="bottom"/>
          </w:tcPr>
          <w:p>
            <w:pPr>
              <w:ind w:left="60"/>
              <w:spacing w:after="0"/>
              <w:rPr>
                <w:sz w:val="20"/>
                <w:szCs w:val="20"/>
                <w:color w:val="auto"/>
              </w:rPr>
            </w:pPr>
            <w:r>
              <w:rPr>
                <w:rFonts w:ascii="Arial" w:cs="Arial" w:eastAsia="Arial" w:hAnsi="Arial"/>
                <w:sz w:val="11"/>
                <w:szCs w:val="11"/>
                <w:color w:val="auto"/>
              </w:rPr>
              <w:t>•  Reviews and discusses with management the Company’s financial risk management activities and strategies,</w:t>
            </w:r>
          </w:p>
        </w:tc>
      </w:tr>
      <w:tr>
        <w:trPr>
          <w:trHeight w:val="126"/>
        </w:trPr>
        <w:tc>
          <w:tcPr>
            <w:tcW w:w="1760" w:type="dxa"/>
            <w:vAlign w:val="bottom"/>
          </w:tcPr>
          <w:p>
            <w:pPr>
              <w:spacing w:after="0"/>
              <w:rPr>
                <w:sz w:val="10"/>
                <w:szCs w:val="10"/>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rPr>
              <w:t>including with respect to foreign currency, credit risk, interest rate exposure and the use of hedging and other</w:t>
            </w:r>
          </w:p>
        </w:tc>
      </w:tr>
      <w:tr>
        <w:trPr>
          <w:trHeight w:val="126"/>
        </w:trPr>
        <w:tc>
          <w:tcPr>
            <w:tcW w:w="1760" w:type="dxa"/>
            <w:vAlign w:val="bottom"/>
          </w:tcPr>
          <w:p>
            <w:pPr>
              <w:spacing w:after="0"/>
              <w:rPr>
                <w:sz w:val="10"/>
                <w:szCs w:val="10"/>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rPr>
              <w:t>techniques to manage these risks.</w:t>
            </w:r>
          </w:p>
        </w:tc>
      </w:tr>
      <w:tr>
        <w:trPr>
          <w:trHeight w:val="126"/>
        </w:trPr>
        <w:tc>
          <w:tcPr>
            <w:tcW w:w="1760" w:type="dxa"/>
            <w:vAlign w:val="bottom"/>
          </w:tcPr>
          <w:p>
            <w:pPr>
              <w:spacing w:after="0"/>
              <w:rPr>
                <w:sz w:val="10"/>
                <w:szCs w:val="10"/>
                <w:color w:val="auto"/>
              </w:rPr>
            </w:pPr>
          </w:p>
        </w:tc>
        <w:tc>
          <w:tcPr>
            <w:tcW w:w="5580" w:type="dxa"/>
            <w:vAlign w:val="bottom"/>
          </w:tcPr>
          <w:p>
            <w:pPr>
              <w:ind w:left="60"/>
              <w:spacing w:after="0"/>
              <w:rPr>
                <w:sz w:val="20"/>
                <w:szCs w:val="20"/>
                <w:color w:val="auto"/>
              </w:rPr>
            </w:pPr>
            <w:r>
              <w:rPr>
                <w:rFonts w:ascii="Arial" w:cs="Arial" w:eastAsia="Arial" w:hAnsi="Arial"/>
                <w:sz w:val="11"/>
                <w:szCs w:val="11"/>
                <w:color w:val="auto"/>
              </w:rPr>
              <w:t>•  As part of its review of the operating budget and strategic plan, the Finance and Capital Allocation Committee</w:t>
            </w:r>
          </w:p>
        </w:tc>
      </w:tr>
      <w:tr>
        <w:trPr>
          <w:trHeight w:val="126"/>
        </w:trPr>
        <w:tc>
          <w:tcPr>
            <w:tcW w:w="1760" w:type="dxa"/>
            <w:vAlign w:val="bottom"/>
          </w:tcPr>
          <w:p>
            <w:pPr>
              <w:spacing w:after="0"/>
              <w:rPr>
                <w:sz w:val="10"/>
                <w:szCs w:val="10"/>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rPr>
              <w:t>reviews major capital allocation decisions and business risks to the Company and the Company’s efforts to</w:t>
            </w:r>
          </w:p>
        </w:tc>
      </w:tr>
      <w:tr>
        <w:trPr>
          <w:trHeight w:val="130"/>
        </w:trPr>
        <w:tc>
          <w:tcPr>
            <w:tcW w:w="1760" w:type="dxa"/>
            <w:vAlign w:val="bottom"/>
          </w:tcPr>
          <w:p>
            <w:pPr>
              <w:spacing w:after="0"/>
              <w:rPr>
                <w:sz w:val="11"/>
                <w:szCs w:val="11"/>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rPr>
              <w:t>manage those decisions and risks.</w:t>
            </w:r>
          </w:p>
        </w:tc>
      </w:tr>
      <w:tr>
        <w:trPr>
          <w:trHeight w:val="76"/>
        </w:trPr>
        <w:tc>
          <w:tcPr>
            <w:tcW w:w="1760" w:type="dxa"/>
            <w:vAlign w:val="bottom"/>
            <w:tcBorders>
              <w:bottom w:val="single" w:sz="8" w:color="009BDE"/>
            </w:tcBorders>
          </w:tcPr>
          <w:p>
            <w:pPr>
              <w:spacing w:after="0"/>
              <w:rPr>
                <w:sz w:val="6"/>
                <w:szCs w:val="6"/>
                <w:color w:val="auto"/>
              </w:rPr>
            </w:pPr>
          </w:p>
        </w:tc>
        <w:tc>
          <w:tcPr>
            <w:tcW w:w="5580" w:type="dxa"/>
            <w:vAlign w:val="bottom"/>
            <w:tcBorders>
              <w:bottom w:val="single" w:sz="8" w:color="009BDE"/>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3971925" cy="21717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5"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13</w:t>
      </w:r>
    </w:p>
    <w:p>
      <w:pPr>
        <w:sectPr>
          <w:pgSz w:w="11900" w:h="16838" w:orient="portrait"/>
          <w:cols w:equalWidth="0" w:num="1">
            <w:col w:w="10159"/>
          </w:cols>
          <w:pgMar w:left="300" w:top="372" w:right="1440" w:bottom="1440" w:gutter="0" w:footer="0" w:header="0"/>
        </w:sectPr>
      </w:pPr>
    </w:p>
    <w:bookmarkStart w:id="35" w:name="page36"/>
    <w:bookmarkEnd w:id="3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tbl>
      <w:tblPr>
        <w:tblLayout w:type="fixed"/>
        <w:tblInd w:w="1980" w:type="dxa"/>
        <w:tblCellMar>
          <w:top w:w="0" w:type="dxa"/>
          <w:left w:w="0" w:type="dxa"/>
          <w:bottom w:w="0" w:type="dxa"/>
          <w:right w:w="0" w:type="dxa"/>
        </w:tblCellMar>
      </w:tblPr>
      <w:tr>
        <w:trPr>
          <w:trHeight w:val="176"/>
        </w:trPr>
        <w:tc>
          <w:tcPr>
            <w:tcW w:w="1760" w:type="dxa"/>
            <w:vAlign w:val="bottom"/>
            <w:shd w:val="clear" w:color="auto" w:fill="CCEBF8"/>
          </w:tcPr>
          <w:p>
            <w:pPr>
              <w:ind w:left="60"/>
              <w:spacing w:after="0"/>
              <w:rPr>
                <w:sz w:val="20"/>
                <w:szCs w:val="20"/>
                <w:color w:val="auto"/>
              </w:rPr>
            </w:pPr>
            <w:r>
              <w:rPr>
                <w:rFonts w:ascii="Arial" w:cs="Arial" w:eastAsia="Arial" w:hAnsi="Arial"/>
                <w:sz w:val="11"/>
                <w:szCs w:val="11"/>
                <w:b w:val="1"/>
                <w:bCs w:val="1"/>
                <w:color w:val="009BDE"/>
              </w:rPr>
              <w:t>COMMITTEE</w:t>
            </w:r>
          </w:p>
        </w:tc>
        <w:tc>
          <w:tcPr>
            <w:tcW w:w="5580" w:type="dxa"/>
            <w:vAlign w:val="bottom"/>
            <w:shd w:val="clear" w:color="auto" w:fill="CCEBF8"/>
          </w:tcPr>
          <w:p>
            <w:pPr>
              <w:ind w:left="2360"/>
              <w:spacing w:after="0"/>
              <w:rPr>
                <w:sz w:val="20"/>
                <w:szCs w:val="20"/>
                <w:color w:val="auto"/>
              </w:rPr>
            </w:pPr>
            <w:r>
              <w:rPr>
                <w:rFonts w:ascii="Arial" w:cs="Arial" w:eastAsia="Arial" w:hAnsi="Arial"/>
                <w:sz w:val="11"/>
                <w:szCs w:val="11"/>
                <w:b w:val="1"/>
                <w:bCs w:val="1"/>
                <w:color w:val="009BDE"/>
              </w:rPr>
              <w:t>RISK OVERSIGHT</w:t>
            </w:r>
          </w:p>
        </w:tc>
      </w:tr>
      <w:tr>
        <w:trPr>
          <w:trHeight w:val="85"/>
        </w:trPr>
        <w:tc>
          <w:tcPr>
            <w:tcW w:w="1760" w:type="dxa"/>
            <w:vAlign w:val="bottom"/>
            <w:tcBorders>
              <w:bottom w:val="single" w:sz="8" w:color="009BDE"/>
            </w:tcBorders>
            <w:shd w:val="clear" w:color="auto" w:fill="CCEBF8"/>
          </w:tcPr>
          <w:p>
            <w:pPr>
              <w:spacing w:after="0"/>
              <w:rPr>
                <w:sz w:val="7"/>
                <w:szCs w:val="7"/>
                <w:color w:val="auto"/>
              </w:rPr>
            </w:pPr>
          </w:p>
        </w:tc>
        <w:tc>
          <w:tcPr>
            <w:tcW w:w="5580" w:type="dxa"/>
            <w:vAlign w:val="bottom"/>
            <w:tcBorders>
              <w:bottom w:val="single" w:sz="8" w:color="009BDE"/>
            </w:tcBorders>
            <w:shd w:val="clear" w:color="auto" w:fill="CCEBF8"/>
          </w:tcPr>
          <w:p>
            <w:pPr>
              <w:spacing w:after="0"/>
              <w:rPr>
                <w:sz w:val="7"/>
                <w:szCs w:val="7"/>
                <w:color w:val="auto"/>
              </w:rPr>
            </w:pPr>
          </w:p>
        </w:tc>
      </w:tr>
      <w:tr>
        <w:trPr>
          <w:trHeight w:val="179"/>
        </w:trPr>
        <w:tc>
          <w:tcPr>
            <w:tcW w:w="1760" w:type="dxa"/>
            <w:vAlign w:val="bottom"/>
          </w:tcPr>
          <w:p>
            <w:pPr>
              <w:ind w:left="40"/>
              <w:spacing w:after="0"/>
              <w:rPr>
                <w:sz w:val="20"/>
                <w:szCs w:val="20"/>
                <w:color w:val="auto"/>
              </w:rPr>
            </w:pPr>
            <w:r>
              <w:rPr>
                <w:rFonts w:ascii="Arial" w:cs="Arial" w:eastAsia="Arial" w:hAnsi="Arial"/>
                <w:sz w:val="11"/>
                <w:szCs w:val="11"/>
                <w:color w:val="auto"/>
              </w:rPr>
              <w:t>Nominating, Governance and</w:t>
            </w:r>
          </w:p>
        </w:tc>
        <w:tc>
          <w:tcPr>
            <w:tcW w:w="5580" w:type="dxa"/>
            <w:vAlign w:val="bottom"/>
          </w:tcPr>
          <w:p>
            <w:pPr>
              <w:ind w:left="60"/>
              <w:spacing w:after="0"/>
              <w:rPr>
                <w:sz w:val="20"/>
                <w:szCs w:val="20"/>
                <w:color w:val="auto"/>
              </w:rPr>
            </w:pPr>
            <w:r>
              <w:rPr>
                <w:rFonts w:ascii="Arial" w:cs="Arial" w:eastAsia="Arial" w:hAnsi="Arial"/>
                <w:sz w:val="11"/>
                <w:szCs w:val="11"/>
                <w:color w:val="auto"/>
                <w:w w:val="98"/>
              </w:rPr>
              <w:t>•  Assists the Board in its oversight of the Company’s governance policies and structures, management and director</w:t>
            </w:r>
          </w:p>
        </w:tc>
      </w:tr>
      <w:tr>
        <w:trPr>
          <w:trHeight w:val="126"/>
        </w:trPr>
        <w:tc>
          <w:tcPr>
            <w:tcW w:w="1760" w:type="dxa"/>
            <w:vAlign w:val="bottom"/>
          </w:tcPr>
          <w:p>
            <w:pPr>
              <w:ind w:left="40"/>
              <w:spacing w:after="0"/>
              <w:rPr>
                <w:sz w:val="20"/>
                <w:szCs w:val="20"/>
                <w:color w:val="auto"/>
              </w:rPr>
            </w:pPr>
            <w:r>
              <w:rPr>
                <w:rFonts w:ascii="Arial" w:cs="Arial" w:eastAsia="Arial" w:hAnsi="Arial"/>
                <w:sz w:val="11"/>
                <w:szCs w:val="11"/>
                <w:color w:val="auto"/>
              </w:rPr>
              <w:t>Social Responsibility</w:t>
            </w:r>
          </w:p>
        </w:tc>
        <w:tc>
          <w:tcPr>
            <w:tcW w:w="5580" w:type="dxa"/>
            <w:vAlign w:val="bottom"/>
          </w:tcPr>
          <w:p>
            <w:pPr>
              <w:ind w:left="160"/>
              <w:spacing w:after="0"/>
              <w:rPr>
                <w:sz w:val="20"/>
                <w:szCs w:val="20"/>
                <w:color w:val="auto"/>
              </w:rPr>
            </w:pPr>
            <w:r>
              <w:rPr>
                <w:rFonts w:ascii="Arial" w:cs="Arial" w:eastAsia="Arial" w:hAnsi="Arial"/>
                <w:sz w:val="11"/>
                <w:szCs w:val="11"/>
                <w:color w:val="auto"/>
              </w:rPr>
              <w:t>succession planning, ESG, corporate social responsibility, diversity, gender and inclusion, human capital</w:t>
            </w:r>
          </w:p>
        </w:tc>
      </w:tr>
      <w:tr>
        <w:trPr>
          <w:trHeight w:val="126"/>
        </w:trPr>
        <w:tc>
          <w:tcPr>
            <w:tcW w:w="1760" w:type="dxa"/>
            <w:vAlign w:val="bottom"/>
          </w:tcPr>
          <w:p>
            <w:pPr>
              <w:spacing w:after="0"/>
              <w:rPr>
                <w:sz w:val="10"/>
                <w:szCs w:val="10"/>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rPr>
              <w:t>management and issues related to health, safety and the environment and sustainability, as well as risks and</w:t>
            </w:r>
          </w:p>
        </w:tc>
      </w:tr>
      <w:tr>
        <w:trPr>
          <w:trHeight w:val="130"/>
        </w:trPr>
        <w:tc>
          <w:tcPr>
            <w:tcW w:w="1760" w:type="dxa"/>
            <w:vAlign w:val="bottom"/>
          </w:tcPr>
          <w:p>
            <w:pPr>
              <w:spacing w:after="0"/>
              <w:rPr>
                <w:sz w:val="11"/>
                <w:szCs w:val="11"/>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rPr>
              <w:t>efforts to manage risks to the Company in those areas.</w:t>
            </w:r>
          </w:p>
        </w:tc>
      </w:tr>
      <w:tr>
        <w:trPr>
          <w:trHeight w:val="67"/>
        </w:trPr>
        <w:tc>
          <w:tcPr>
            <w:tcW w:w="1760" w:type="dxa"/>
            <w:vAlign w:val="bottom"/>
            <w:tcBorders>
              <w:bottom w:val="single" w:sz="8" w:color="009BDE"/>
            </w:tcBorders>
          </w:tcPr>
          <w:p>
            <w:pPr>
              <w:spacing w:after="0"/>
              <w:rPr>
                <w:sz w:val="5"/>
                <w:szCs w:val="5"/>
                <w:color w:val="auto"/>
              </w:rPr>
            </w:pPr>
          </w:p>
        </w:tc>
        <w:tc>
          <w:tcPr>
            <w:tcW w:w="5580" w:type="dxa"/>
            <w:vAlign w:val="bottom"/>
            <w:tcBorders>
              <w:bottom w:val="single" w:sz="8" w:color="009BDE"/>
            </w:tcBorders>
          </w:tcPr>
          <w:p>
            <w:pPr>
              <w:spacing w:after="0"/>
              <w:rPr>
                <w:sz w:val="5"/>
                <w:szCs w:val="5"/>
                <w:color w:val="auto"/>
              </w:rPr>
            </w:pPr>
          </w:p>
        </w:tc>
      </w:tr>
      <w:tr>
        <w:trPr>
          <w:trHeight w:val="179"/>
        </w:trPr>
        <w:tc>
          <w:tcPr>
            <w:tcW w:w="1760" w:type="dxa"/>
            <w:vAlign w:val="bottom"/>
          </w:tcPr>
          <w:p>
            <w:pPr>
              <w:ind w:left="40"/>
              <w:spacing w:after="0"/>
              <w:rPr>
                <w:sz w:val="20"/>
                <w:szCs w:val="20"/>
                <w:color w:val="auto"/>
              </w:rPr>
            </w:pPr>
            <w:r>
              <w:rPr>
                <w:rFonts w:ascii="Arial" w:cs="Arial" w:eastAsia="Arial" w:hAnsi="Arial"/>
                <w:sz w:val="11"/>
                <w:szCs w:val="11"/>
                <w:color w:val="auto"/>
              </w:rPr>
              <w:t>Board</w:t>
            </w:r>
          </w:p>
        </w:tc>
        <w:tc>
          <w:tcPr>
            <w:tcW w:w="5580" w:type="dxa"/>
            <w:vAlign w:val="bottom"/>
          </w:tcPr>
          <w:p>
            <w:pPr>
              <w:ind w:left="60"/>
              <w:spacing w:after="0"/>
              <w:rPr>
                <w:sz w:val="20"/>
                <w:szCs w:val="20"/>
                <w:color w:val="auto"/>
              </w:rPr>
            </w:pPr>
            <w:r>
              <w:rPr>
                <w:rFonts w:ascii="Arial" w:cs="Arial" w:eastAsia="Arial" w:hAnsi="Arial"/>
                <w:sz w:val="11"/>
                <w:szCs w:val="11"/>
                <w:color w:val="auto"/>
                <w:w w:val="99"/>
              </w:rPr>
              <w:t>•  The full Board regularly reviews the efforts of each of its committees and discusses, at the level of the full Board,</w:t>
            </w:r>
          </w:p>
        </w:tc>
      </w:tr>
      <w:tr>
        <w:trPr>
          <w:trHeight w:val="126"/>
        </w:trPr>
        <w:tc>
          <w:tcPr>
            <w:tcW w:w="1760" w:type="dxa"/>
            <w:vAlign w:val="bottom"/>
          </w:tcPr>
          <w:p>
            <w:pPr>
              <w:spacing w:after="0"/>
              <w:rPr>
                <w:sz w:val="10"/>
                <w:szCs w:val="10"/>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w w:val="98"/>
              </w:rPr>
              <w:t>the key strategic, financial, business, legal and other risks facing the Company, as well as the Company’s efforts</w:t>
            </w:r>
          </w:p>
        </w:tc>
      </w:tr>
      <w:tr>
        <w:trPr>
          <w:trHeight w:val="130"/>
        </w:trPr>
        <w:tc>
          <w:tcPr>
            <w:tcW w:w="1760" w:type="dxa"/>
            <w:vAlign w:val="bottom"/>
          </w:tcPr>
          <w:p>
            <w:pPr>
              <w:spacing w:after="0"/>
              <w:rPr>
                <w:sz w:val="11"/>
                <w:szCs w:val="11"/>
                <w:color w:val="auto"/>
              </w:rPr>
            </w:pPr>
          </w:p>
        </w:tc>
        <w:tc>
          <w:tcPr>
            <w:tcW w:w="5580" w:type="dxa"/>
            <w:vAlign w:val="bottom"/>
          </w:tcPr>
          <w:p>
            <w:pPr>
              <w:ind w:left="160"/>
              <w:spacing w:after="0"/>
              <w:rPr>
                <w:sz w:val="20"/>
                <w:szCs w:val="20"/>
                <w:color w:val="auto"/>
              </w:rPr>
            </w:pPr>
            <w:r>
              <w:rPr>
                <w:rFonts w:ascii="Arial" w:cs="Arial" w:eastAsia="Arial" w:hAnsi="Arial"/>
                <w:sz w:val="11"/>
                <w:szCs w:val="11"/>
                <w:color w:val="auto"/>
              </w:rPr>
              <w:t>to manage those risks.</w:t>
            </w:r>
          </w:p>
        </w:tc>
      </w:tr>
      <w:tr>
        <w:trPr>
          <w:trHeight w:val="67"/>
        </w:trPr>
        <w:tc>
          <w:tcPr>
            <w:tcW w:w="1760" w:type="dxa"/>
            <w:vAlign w:val="bottom"/>
            <w:tcBorders>
              <w:bottom w:val="single" w:sz="8" w:color="009BDE"/>
            </w:tcBorders>
          </w:tcPr>
          <w:p>
            <w:pPr>
              <w:spacing w:after="0"/>
              <w:rPr>
                <w:sz w:val="5"/>
                <w:szCs w:val="5"/>
                <w:color w:val="auto"/>
              </w:rPr>
            </w:pPr>
          </w:p>
        </w:tc>
        <w:tc>
          <w:tcPr>
            <w:tcW w:w="5580" w:type="dxa"/>
            <w:vAlign w:val="bottom"/>
            <w:tcBorders>
              <w:bottom w:val="single" w:sz="8" w:color="009BDE"/>
            </w:tcBorders>
          </w:tcPr>
          <w:p>
            <w:pPr>
              <w:spacing w:after="0"/>
              <w:rPr>
                <w:sz w:val="5"/>
                <w:szCs w:val="5"/>
                <w:color w:val="auto"/>
              </w:rPr>
            </w:pPr>
          </w:p>
        </w:tc>
      </w:tr>
    </w:tbl>
    <w:p>
      <w:pPr>
        <w:spacing w:after="0" w:line="100" w:lineRule="exact"/>
        <w:rPr>
          <w:sz w:val="20"/>
          <w:szCs w:val="20"/>
          <w:color w:val="auto"/>
        </w:rPr>
      </w:pPr>
    </w:p>
    <w:p>
      <w:pPr>
        <w:ind w:left="1980" w:right="959"/>
        <w:spacing w:after="0"/>
        <w:rPr>
          <w:sz w:val="20"/>
          <w:szCs w:val="20"/>
          <w:color w:val="auto"/>
        </w:rPr>
      </w:pPr>
      <w:r>
        <w:rPr>
          <w:rFonts w:ascii="Arial" w:cs="Arial" w:eastAsia="Arial" w:hAnsi="Arial"/>
          <w:sz w:val="11"/>
          <w:szCs w:val="11"/>
          <w:color w:val="auto"/>
        </w:rPr>
        <w:t>The Board and its committees receive periodic reports from internal and external advisors on risks to the organization. These reports come from the functional leaders across the organization. The Company’s compliance team, purpose team (which has oversight of our ESG team) and internal audit team also provide regular reports to our Board and its committees. The internal audit team presents a regular enterprise risk assessment to the Audit Committee, which is shared with the Board. In addition, other areas, such as cybersecurity and privacy risk, are assessed on a regular cadence by third parties who report to the Cybersecurity and Data Privacy Committee. Members of our disclosure committee receive and provide reports on risks identified, and review material risks that could rise to level of public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100330</wp:posOffset>
            </wp:positionV>
            <wp:extent cx="4663440" cy="26860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183"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Director Compensation</w:t>
      </w:r>
    </w:p>
    <w:p>
      <w:pPr>
        <w:spacing w:after="0" w:line="282" w:lineRule="exact"/>
        <w:rPr>
          <w:sz w:val="20"/>
          <w:szCs w:val="20"/>
          <w:color w:val="auto"/>
        </w:rPr>
      </w:pPr>
    </w:p>
    <w:p>
      <w:pPr>
        <w:ind w:left="1980" w:right="879"/>
        <w:spacing w:after="0" w:line="278" w:lineRule="auto"/>
        <w:rPr>
          <w:sz w:val="20"/>
          <w:szCs w:val="20"/>
          <w:color w:val="auto"/>
        </w:rPr>
      </w:pPr>
      <w:r>
        <w:rPr>
          <w:rFonts w:ascii="Arial" w:cs="Arial" w:eastAsia="Arial" w:hAnsi="Arial"/>
          <w:sz w:val="10"/>
          <w:szCs w:val="10"/>
          <w:color w:val="auto"/>
        </w:rPr>
        <w:t>The following table sets forth information concerning compensation of the Company’s directors for fiscal 2022. Mr. Cocks, the Company’s Chief Executive Officer, and Mr. Stoddart, the Company’s interim CEO from October 2021 to February 2022, served on the Board during fiscal 2022. However, neither Mr. Cocks nor Mr. Stoddart received any compensation for their Board service in fiscal 2022 while performing duties as officers of the Company.</w:t>
      </w:r>
    </w:p>
    <w:p>
      <w:pPr>
        <w:spacing w:after="0" w:line="139" w:lineRule="exact"/>
        <w:rPr>
          <w:sz w:val="20"/>
          <w:szCs w:val="20"/>
          <w:color w:val="auto"/>
        </w:rPr>
      </w:pPr>
    </w:p>
    <w:tbl>
      <w:tblPr>
        <w:tblLayout w:type="fixed"/>
        <w:tblInd w:w="1980" w:type="dxa"/>
        <w:tblCellMar>
          <w:top w:w="0" w:type="dxa"/>
          <w:left w:w="0" w:type="dxa"/>
          <w:bottom w:w="0" w:type="dxa"/>
          <w:right w:w="0" w:type="dxa"/>
        </w:tblCellMar>
      </w:tblPr>
      <w:tr>
        <w:trPr>
          <w:trHeight w:val="160"/>
        </w:trPr>
        <w:tc>
          <w:tcPr>
            <w:tcW w:w="1980" w:type="dxa"/>
            <w:vAlign w:val="bottom"/>
            <w:shd w:val="clear" w:color="auto" w:fill="CCEBF8"/>
          </w:tcPr>
          <w:p>
            <w:pPr>
              <w:spacing w:after="0"/>
              <w:rPr>
                <w:sz w:val="13"/>
                <w:szCs w:val="13"/>
                <w:color w:val="auto"/>
              </w:rPr>
            </w:pPr>
          </w:p>
        </w:tc>
        <w:tc>
          <w:tcPr>
            <w:tcW w:w="180" w:type="dxa"/>
            <w:vAlign w:val="bottom"/>
            <w:shd w:val="clear" w:color="auto" w:fill="CCEBF8"/>
          </w:tcPr>
          <w:p>
            <w:pPr>
              <w:spacing w:after="0"/>
              <w:rPr>
                <w:sz w:val="13"/>
                <w:szCs w:val="13"/>
                <w:color w:val="auto"/>
              </w:rPr>
            </w:pPr>
          </w:p>
        </w:tc>
        <w:tc>
          <w:tcPr>
            <w:tcW w:w="600" w:type="dxa"/>
            <w:vAlign w:val="bottom"/>
            <w:shd w:val="clear" w:color="auto" w:fill="CCEBF8"/>
          </w:tcPr>
          <w:p>
            <w:pPr>
              <w:spacing w:after="0"/>
              <w:rPr>
                <w:sz w:val="13"/>
                <w:szCs w:val="13"/>
                <w:color w:val="auto"/>
              </w:rPr>
            </w:pPr>
          </w:p>
        </w:tc>
        <w:tc>
          <w:tcPr>
            <w:tcW w:w="780" w:type="dxa"/>
            <w:vAlign w:val="bottom"/>
            <w:shd w:val="clear" w:color="auto" w:fill="CCEBF8"/>
          </w:tcPr>
          <w:p>
            <w:pPr>
              <w:spacing w:after="0"/>
              <w:rPr>
                <w:sz w:val="13"/>
                <w:szCs w:val="13"/>
                <w:color w:val="auto"/>
              </w:rPr>
            </w:pPr>
          </w:p>
        </w:tc>
        <w:tc>
          <w:tcPr>
            <w:tcW w:w="240" w:type="dxa"/>
            <w:vAlign w:val="bottom"/>
            <w:shd w:val="clear" w:color="auto" w:fill="CCEBF8"/>
          </w:tcPr>
          <w:p>
            <w:pPr>
              <w:spacing w:after="0"/>
              <w:rPr>
                <w:sz w:val="13"/>
                <w:szCs w:val="13"/>
                <w:color w:val="auto"/>
              </w:rPr>
            </w:pPr>
          </w:p>
        </w:tc>
        <w:tc>
          <w:tcPr>
            <w:tcW w:w="500" w:type="dxa"/>
            <w:vAlign w:val="bottom"/>
            <w:shd w:val="clear" w:color="auto" w:fill="CCEBF8"/>
          </w:tcPr>
          <w:p>
            <w:pPr>
              <w:spacing w:after="0"/>
              <w:rPr>
                <w:sz w:val="13"/>
                <w:szCs w:val="13"/>
                <w:color w:val="auto"/>
              </w:rPr>
            </w:pPr>
          </w:p>
        </w:tc>
        <w:tc>
          <w:tcPr>
            <w:tcW w:w="112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7"/>
              </w:rPr>
              <w:t>Change in</w:t>
            </w:r>
          </w:p>
        </w:tc>
        <w:tc>
          <w:tcPr>
            <w:tcW w:w="280" w:type="dxa"/>
            <w:vAlign w:val="bottom"/>
            <w:shd w:val="clear" w:color="auto" w:fill="CCEBF8"/>
          </w:tcPr>
          <w:p>
            <w:pPr>
              <w:spacing w:after="0"/>
              <w:rPr>
                <w:sz w:val="13"/>
                <w:szCs w:val="13"/>
                <w:color w:val="auto"/>
              </w:rPr>
            </w:pPr>
          </w:p>
        </w:tc>
        <w:tc>
          <w:tcPr>
            <w:tcW w:w="840" w:type="dxa"/>
            <w:vAlign w:val="bottom"/>
            <w:shd w:val="clear" w:color="auto" w:fill="CCEBF8"/>
          </w:tcPr>
          <w:p>
            <w:pPr>
              <w:spacing w:after="0"/>
              <w:rPr>
                <w:sz w:val="13"/>
                <w:szCs w:val="13"/>
                <w:color w:val="auto"/>
              </w:rPr>
            </w:pPr>
          </w:p>
        </w:tc>
        <w:tc>
          <w:tcPr>
            <w:tcW w:w="820" w:type="dxa"/>
            <w:vAlign w:val="bottom"/>
            <w:shd w:val="clear" w:color="auto" w:fill="CCEBF8"/>
          </w:tcPr>
          <w:p>
            <w:pPr>
              <w:spacing w:after="0"/>
              <w:rPr>
                <w:sz w:val="13"/>
                <w:szCs w:val="13"/>
                <w:color w:val="auto"/>
              </w:rPr>
            </w:pPr>
          </w:p>
        </w:tc>
      </w:tr>
      <w:tr>
        <w:trPr>
          <w:trHeight w:val="126"/>
        </w:trPr>
        <w:tc>
          <w:tcPr>
            <w:tcW w:w="1980" w:type="dxa"/>
            <w:vAlign w:val="bottom"/>
            <w:shd w:val="clear" w:color="auto" w:fill="CCEBF8"/>
          </w:tcPr>
          <w:p>
            <w:pPr>
              <w:spacing w:after="0"/>
              <w:rPr>
                <w:sz w:val="10"/>
                <w:szCs w:val="10"/>
                <w:color w:val="auto"/>
              </w:rPr>
            </w:pPr>
          </w:p>
        </w:tc>
        <w:tc>
          <w:tcPr>
            <w:tcW w:w="180" w:type="dxa"/>
            <w:vAlign w:val="bottom"/>
            <w:shd w:val="clear" w:color="auto" w:fill="CCEBF8"/>
          </w:tcPr>
          <w:p>
            <w:pPr>
              <w:spacing w:after="0"/>
              <w:rPr>
                <w:sz w:val="10"/>
                <w:szCs w:val="10"/>
                <w:color w:val="auto"/>
              </w:rPr>
            </w:pPr>
          </w:p>
        </w:tc>
        <w:tc>
          <w:tcPr>
            <w:tcW w:w="600" w:type="dxa"/>
            <w:vAlign w:val="bottom"/>
            <w:shd w:val="clear" w:color="auto" w:fill="CCEBF8"/>
          </w:tcPr>
          <w:p>
            <w:pPr>
              <w:spacing w:after="0"/>
              <w:rPr>
                <w:sz w:val="10"/>
                <w:szCs w:val="10"/>
                <w:color w:val="auto"/>
              </w:rPr>
            </w:pPr>
          </w:p>
        </w:tc>
        <w:tc>
          <w:tcPr>
            <w:tcW w:w="780" w:type="dxa"/>
            <w:vAlign w:val="bottom"/>
            <w:shd w:val="clear" w:color="auto" w:fill="CCEBF8"/>
          </w:tcPr>
          <w:p>
            <w:pPr>
              <w:spacing w:after="0"/>
              <w:rPr>
                <w:sz w:val="10"/>
                <w:szCs w:val="10"/>
                <w:color w:val="auto"/>
              </w:rPr>
            </w:pPr>
          </w:p>
        </w:tc>
        <w:tc>
          <w:tcPr>
            <w:tcW w:w="240" w:type="dxa"/>
            <w:vAlign w:val="bottom"/>
            <w:shd w:val="clear" w:color="auto" w:fill="CCEBF8"/>
          </w:tcPr>
          <w:p>
            <w:pPr>
              <w:spacing w:after="0"/>
              <w:rPr>
                <w:sz w:val="10"/>
                <w:szCs w:val="10"/>
                <w:color w:val="auto"/>
              </w:rPr>
            </w:pPr>
          </w:p>
        </w:tc>
        <w:tc>
          <w:tcPr>
            <w:tcW w:w="500" w:type="dxa"/>
            <w:vAlign w:val="bottom"/>
            <w:shd w:val="clear" w:color="auto" w:fill="CCEBF8"/>
          </w:tcPr>
          <w:p>
            <w:pPr>
              <w:spacing w:after="0"/>
              <w:rPr>
                <w:sz w:val="10"/>
                <w:szCs w:val="10"/>
                <w:color w:val="auto"/>
              </w:rPr>
            </w:pPr>
          </w:p>
        </w:tc>
        <w:tc>
          <w:tcPr>
            <w:tcW w:w="112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8"/>
              </w:rPr>
              <w:t>Pension</w:t>
            </w:r>
          </w:p>
        </w:tc>
        <w:tc>
          <w:tcPr>
            <w:tcW w:w="280" w:type="dxa"/>
            <w:vAlign w:val="bottom"/>
            <w:shd w:val="clear" w:color="auto" w:fill="CCEBF8"/>
          </w:tcPr>
          <w:p>
            <w:pPr>
              <w:spacing w:after="0"/>
              <w:rPr>
                <w:sz w:val="10"/>
                <w:szCs w:val="10"/>
                <w:color w:val="auto"/>
              </w:rPr>
            </w:pPr>
          </w:p>
        </w:tc>
        <w:tc>
          <w:tcPr>
            <w:tcW w:w="840" w:type="dxa"/>
            <w:vAlign w:val="bottom"/>
            <w:shd w:val="clear" w:color="auto" w:fill="CCEBF8"/>
          </w:tcPr>
          <w:p>
            <w:pPr>
              <w:spacing w:after="0"/>
              <w:rPr>
                <w:sz w:val="10"/>
                <w:szCs w:val="10"/>
                <w:color w:val="auto"/>
              </w:rPr>
            </w:pPr>
          </w:p>
        </w:tc>
        <w:tc>
          <w:tcPr>
            <w:tcW w:w="820" w:type="dxa"/>
            <w:vAlign w:val="bottom"/>
            <w:shd w:val="clear" w:color="auto" w:fill="CCEBF8"/>
          </w:tcPr>
          <w:p>
            <w:pPr>
              <w:spacing w:after="0"/>
              <w:rPr>
                <w:sz w:val="10"/>
                <w:szCs w:val="10"/>
                <w:color w:val="auto"/>
              </w:rPr>
            </w:pPr>
          </w:p>
        </w:tc>
      </w:tr>
      <w:tr>
        <w:trPr>
          <w:trHeight w:val="126"/>
        </w:trPr>
        <w:tc>
          <w:tcPr>
            <w:tcW w:w="1980" w:type="dxa"/>
            <w:vAlign w:val="bottom"/>
            <w:shd w:val="clear" w:color="auto" w:fill="CCEBF8"/>
          </w:tcPr>
          <w:p>
            <w:pPr>
              <w:spacing w:after="0"/>
              <w:rPr>
                <w:sz w:val="10"/>
                <w:szCs w:val="10"/>
                <w:color w:val="auto"/>
              </w:rPr>
            </w:pPr>
          </w:p>
        </w:tc>
        <w:tc>
          <w:tcPr>
            <w:tcW w:w="180" w:type="dxa"/>
            <w:vAlign w:val="bottom"/>
            <w:shd w:val="clear" w:color="auto" w:fill="CCEBF8"/>
          </w:tcPr>
          <w:p>
            <w:pPr>
              <w:spacing w:after="0"/>
              <w:rPr>
                <w:sz w:val="10"/>
                <w:szCs w:val="10"/>
                <w:color w:val="auto"/>
              </w:rPr>
            </w:pPr>
          </w:p>
        </w:tc>
        <w:tc>
          <w:tcPr>
            <w:tcW w:w="600" w:type="dxa"/>
            <w:vAlign w:val="bottom"/>
            <w:shd w:val="clear" w:color="auto" w:fill="CCEBF8"/>
          </w:tcPr>
          <w:p>
            <w:pPr>
              <w:spacing w:after="0"/>
              <w:rPr>
                <w:sz w:val="10"/>
                <w:szCs w:val="10"/>
                <w:color w:val="auto"/>
              </w:rPr>
            </w:pPr>
          </w:p>
        </w:tc>
        <w:tc>
          <w:tcPr>
            <w:tcW w:w="780" w:type="dxa"/>
            <w:vAlign w:val="bottom"/>
            <w:shd w:val="clear" w:color="auto" w:fill="CCEBF8"/>
          </w:tcPr>
          <w:p>
            <w:pPr>
              <w:spacing w:after="0"/>
              <w:rPr>
                <w:sz w:val="10"/>
                <w:szCs w:val="10"/>
                <w:color w:val="auto"/>
              </w:rPr>
            </w:pPr>
          </w:p>
        </w:tc>
        <w:tc>
          <w:tcPr>
            <w:tcW w:w="240" w:type="dxa"/>
            <w:vAlign w:val="bottom"/>
            <w:shd w:val="clear" w:color="auto" w:fill="CCEBF8"/>
          </w:tcPr>
          <w:p>
            <w:pPr>
              <w:spacing w:after="0"/>
              <w:rPr>
                <w:sz w:val="10"/>
                <w:szCs w:val="10"/>
                <w:color w:val="auto"/>
              </w:rPr>
            </w:pPr>
          </w:p>
        </w:tc>
        <w:tc>
          <w:tcPr>
            <w:tcW w:w="500" w:type="dxa"/>
            <w:vAlign w:val="bottom"/>
            <w:shd w:val="clear" w:color="auto" w:fill="CCEBF8"/>
          </w:tcPr>
          <w:p>
            <w:pPr>
              <w:spacing w:after="0"/>
              <w:rPr>
                <w:sz w:val="10"/>
                <w:szCs w:val="10"/>
                <w:color w:val="auto"/>
              </w:rPr>
            </w:pPr>
          </w:p>
        </w:tc>
        <w:tc>
          <w:tcPr>
            <w:tcW w:w="112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6"/>
              </w:rPr>
              <w:t>Value and</w:t>
            </w:r>
          </w:p>
        </w:tc>
        <w:tc>
          <w:tcPr>
            <w:tcW w:w="280" w:type="dxa"/>
            <w:vAlign w:val="bottom"/>
            <w:shd w:val="clear" w:color="auto" w:fill="CCEBF8"/>
          </w:tcPr>
          <w:p>
            <w:pPr>
              <w:spacing w:after="0"/>
              <w:rPr>
                <w:sz w:val="10"/>
                <w:szCs w:val="10"/>
                <w:color w:val="auto"/>
              </w:rPr>
            </w:pPr>
          </w:p>
        </w:tc>
        <w:tc>
          <w:tcPr>
            <w:tcW w:w="840" w:type="dxa"/>
            <w:vAlign w:val="bottom"/>
            <w:shd w:val="clear" w:color="auto" w:fill="CCEBF8"/>
          </w:tcPr>
          <w:p>
            <w:pPr>
              <w:spacing w:after="0"/>
              <w:rPr>
                <w:sz w:val="10"/>
                <w:szCs w:val="10"/>
                <w:color w:val="auto"/>
              </w:rPr>
            </w:pPr>
          </w:p>
        </w:tc>
        <w:tc>
          <w:tcPr>
            <w:tcW w:w="820" w:type="dxa"/>
            <w:vAlign w:val="bottom"/>
            <w:shd w:val="clear" w:color="auto" w:fill="CCEBF8"/>
          </w:tcPr>
          <w:p>
            <w:pPr>
              <w:spacing w:after="0"/>
              <w:rPr>
                <w:sz w:val="10"/>
                <w:szCs w:val="10"/>
                <w:color w:val="auto"/>
              </w:rPr>
            </w:pPr>
          </w:p>
        </w:tc>
      </w:tr>
      <w:tr>
        <w:trPr>
          <w:trHeight w:val="126"/>
        </w:trPr>
        <w:tc>
          <w:tcPr>
            <w:tcW w:w="1980" w:type="dxa"/>
            <w:vAlign w:val="bottom"/>
            <w:shd w:val="clear" w:color="auto" w:fill="CCEBF8"/>
          </w:tcPr>
          <w:p>
            <w:pPr>
              <w:spacing w:after="0"/>
              <w:rPr>
                <w:sz w:val="10"/>
                <w:szCs w:val="10"/>
                <w:color w:val="auto"/>
              </w:rPr>
            </w:pPr>
          </w:p>
        </w:tc>
        <w:tc>
          <w:tcPr>
            <w:tcW w:w="180" w:type="dxa"/>
            <w:vAlign w:val="bottom"/>
            <w:shd w:val="clear" w:color="auto" w:fill="CCEBF8"/>
          </w:tcPr>
          <w:p>
            <w:pPr>
              <w:spacing w:after="0"/>
              <w:rPr>
                <w:sz w:val="10"/>
                <w:szCs w:val="10"/>
                <w:color w:val="auto"/>
              </w:rPr>
            </w:pPr>
          </w:p>
        </w:tc>
        <w:tc>
          <w:tcPr>
            <w:tcW w:w="600" w:type="dxa"/>
            <w:vAlign w:val="bottom"/>
            <w:shd w:val="clear" w:color="auto" w:fill="CCEBF8"/>
          </w:tcPr>
          <w:p>
            <w:pPr>
              <w:jc w:val="center"/>
              <w:ind w:right="146"/>
              <w:spacing w:after="0"/>
              <w:rPr>
                <w:sz w:val="20"/>
                <w:szCs w:val="20"/>
                <w:color w:val="auto"/>
              </w:rPr>
            </w:pPr>
            <w:r>
              <w:rPr>
                <w:rFonts w:ascii="Arial" w:cs="Arial" w:eastAsia="Arial" w:hAnsi="Arial"/>
                <w:sz w:val="11"/>
                <w:szCs w:val="11"/>
                <w:b w:val="1"/>
                <w:bCs w:val="1"/>
                <w:color w:val="009BDE"/>
                <w:w w:val="95"/>
              </w:rPr>
              <w:t>Fees</w:t>
            </w:r>
          </w:p>
        </w:tc>
        <w:tc>
          <w:tcPr>
            <w:tcW w:w="780" w:type="dxa"/>
            <w:vAlign w:val="bottom"/>
            <w:shd w:val="clear" w:color="auto" w:fill="CCEBF8"/>
          </w:tcPr>
          <w:p>
            <w:pPr>
              <w:spacing w:after="0"/>
              <w:rPr>
                <w:sz w:val="10"/>
                <w:szCs w:val="10"/>
                <w:color w:val="auto"/>
              </w:rPr>
            </w:pPr>
          </w:p>
        </w:tc>
        <w:tc>
          <w:tcPr>
            <w:tcW w:w="240" w:type="dxa"/>
            <w:vAlign w:val="bottom"/>
            <w:shd w:val="clear" w:color="auto" w:fill="CCEBF8"/>
          </w:tcPr>
          <w:p>
            <w:pPr>
              <w:spacing w:after="0"/>
              <w:rPr>
                <w:sz w:val="10"/>
                <w:szCs w:val="10"/>
                <w:color w:val="auto"/>
              </w:rPr>
            </w:pPr>
          </w:p>
        </w:tc>
        <w:tc>
          <w:tcPr>
            <w:tcW w:w="500" w:type="dxa"/>
            <w:vAlign w:val="bottom"/>
            <w:shd w:val="clear" w:color="auto" w:fill="CCEBF8"/>
          </w:tcPr>
          <w:p>
            <w:pPr>
              <w:spacing w:after="0"/>
              <w:rPr>
                <w:sz w:val="10"/>
                <w:szCs w:val="10"/>
                <w:color w:val="auto"/>
              </w:rPr>
            </w:pPr>
          </w:p>
        </w:tc>
        <w:tc>
          <w:tcPr>
            <w:tcW w:w="112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6"/>
              </w:rPr>
              <w:t>Non-qualified</w:t>
            </w:r>
          </w:p>
        </w:tc>
        <w:tc>
          <w:tcPr>
            <w:tcW w:w="280" w:type="dxa"/>
            <w:vAlign w:val="bottom"/>
            <w:shd w:val="clear" w:color="auto" w:fill="CCEBF8"/>
          </w:tcPr>
          <w:p>
            <w:pPr>
              <w:spacing w:after="0"/>
              <w:rPr>
                <w:sz w:val="10"/>
                <w:szCs w:val="10"/>
                <w:color w:val="auto"/>
              </w:rPr>
            </w:pPr>
          </w:p>
        </w:tc>
        <w:tc>
          <w:tcPr>
            <w:tcW w:w="840" w:type="dxa"/>
            <w:vAlign w:val="bottom"/>
            <w:shd w:val="clear" w:color="auto" w:fill="CCEBF8"/>
          </w:tcPr>
          <w:p>
            <w:pPr>
              <w:spacing w:after="0"/>
              <w:rPr>
                <w:sz w:val="10"/>
                <w:szCs w:val="10"/>
                <w:color w:val="auto"/>
              </w:rPr>
            </w:pPr>
          </w:p>
        </w:tc>
        <w:tc>
          <w:tcPr>
            <w:tcW w:w="820" w:type="dxa"/>
            <w:vAlign w:val="bottom"/>
            <w:shd w:val="clear" w:color="auto" w:fill="CCEBF8"/>
          </w:tcPr>
          <w:p>
            <w:pPr>
              <w:spacing w:after="0"/>
              <w:rPr>
                <w:sz w:val="10"/>
                <w:szCs w:val="10"/>
                <w:color w:val="auto"/>
              </w:rPr>
            </w:pPr>
          </w:p>
        </w:tc>
      </w:tr>
      <w:tr>
        <w:trPr>
          <w:trHeight w:val="126"/>
        </w:trPr>
        <w:tc>
          <w:tcPr>
            <w:tcW w:w="1980" w:type="dxa"/>
            <w:vAlign w:val="bottom"/>
            <w:shd w:val="clear" w:color="auto" w:fill="CCEBF8"/>
          </w:tcPr>
          <w:p>
            <w:pPr>
              <w:spacing w:after="0"/>
              <w:rPr>
                <w:sz w:val="10"/>
                <w:szCs w:val="10"/>
                <w:color w:val="auto"/>
              </w:rPr>
            </w:pPr>
          </w:p>
        </w:tc>
        <w:tc>
          <w:tcPr>
            <w:tcW w:w="180" w:type="dxa"/>
            <w:vAlign w:val="bottom"/>
            <w:shd w:val="clear" w:color="auto" w:fill="CCEBF8"/>
          </w:tcPr>
          <w:p>
            <w:pPr>
              <w:spacing w:after="0"/>
              <w:rPr>
                <w:sz w:val="10"/>
                <w:szCs w:val="10"/>
                <w:color w:val="auto"/>
              </w:rPr>
            </w:pPr>
          </w:p>
        </w:tc>
        <w:tc>
          <w:tcPr>
            <w:tcW w:w="600" w:type="dxa"/>
            <w:vAlign w:val="bottom"/>
            <w:shd w:val="clear" w:color="auto" w:fill="CCEBF8"/>
          </w:tcPr>
          <w:p>
            <w:pPr>
              <w:jc w:val="center"/>
              <w:ind w:right="146"/>
              <w:spacing w:after="0"/>
              <w:rPr>
                <w:sz w:val="20"/>
                <w:szCs w:val="20"/>
                <w:color w:val="auto"/>
              </w:rPr>
            </w:pPr>
            <w:r>
              <w:rPr>
                <w:rFonts w:ascii="Arial" w:cs="Arial" w:eastAsia="Arial" w:hAnsi="Arial"/>
                <w:sz w:val="11"/>
                <w:szCs w:val="11"/>
                <w:b w:val="1"/>
                <w:bCs w:val="1"/>
                <w:color w:val="009BDE"/>
                <w:w w:val="96"/>
              </w:rPr>
              <w:t>Earned</w:t>
            </w:r>
          </w:p>
        </w:tc>
        <w:tc>
          <w:tcPr>
            <w:tcW w:w="78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9"/>
              </w:rPr>
              <w:t>Stock</w:t>
            </w:r>
          </w:p>
        </w:tc>
        <w:tc>
          <w:tcPr>
            <w:tcW w:w="740" w:type="dxa"/>
            <w:vAlign w:val="bottom"/>
            <w:gridSpan w:val="2"/>
            <w:shd w:val="clear" w:color="auto" w:fill="CCEBF8"/>
          </w:tcPr>
          <w:p>
            <w:pPr>
              <w:ind w:left="200"/>
              <w:spacing w:after="0"/>
              <w:rPr>
                <w:sz w:val="20"/>
                <w:szCs w:val="20"/>
                <w:color w:val="auto"/>
              </w:rPr>
            </w:pPr>
            <w:r>
              <w:rPr>
                <w:rFonts w:ascii="Arial" w:cs="Arial" w:eastAsia="Arial" w:hAnsi="Arial"/>
                <w:sz w:val="11"/>
                <w:szCs w:val="11"/>
                <w:b w:val="1"/>
                <w:bCs w:val="1"/>
                <w:color w:val="009BDE"/>
              </w:rPr>
              <w:t>Option</w:t>
            </w:r>
          </w:p>
        </w:tc>
        <w:tc>
          <w:tcPr>
            <w:tcW w:w="112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7"/>
              </w:rPr>
              <w:t>Deferred</w:t>
            </w:r>
          </w:p>
        </w:tc>
        <w:tc>
          <w:tcPr>
            <w:tcW w:w="280" w:type="dxa"/>
            <w:vAlign w:val="bottom"/>
            <w:shd w:val="clear" w:color="auto" w:fill="CCEBF8"/>
          </w:tcPr>
          <w:p>
            <w:pPr>
              <w:spacing w:after="0"/>
              <w:rPr>
                <w:sz w:val="10"/>
                <w:szCs w:val="10"/>
                <w:color w:val="auto"/>
              </w:rPr>
            </w:pPr>
          </w:p>
        </w:tc>
        <w:tc>
          <w:tcPr>
            <w:tcW w:w="840" w:type="dxa"/>
            <w:vAlign w:val="bottom"/>
            <w:shd w:val="clear" w:color="auto" w:fill="CCEBF8"/>
          </w:tcPr>
          <w:p>
            <w:pPr>
              <w:jc w:val="right"/>
              <w:ind w:right="286"/>
              <w:spacing w:after="0"/>
              <w:rPr>
                <w:sz w:val="20"/>
                <w:szCs w:val="20"/>
                <w:color w:val="auto"/>
              </w:rPr>
            </w:pPr>
            <w:r>
              <w:rPr>
                <w:rFonts w:ascii="Arial" w:cs="Arial" w:eastAsia="Arial" w:hAnsi="Arial"/>
                <w:sz w:val="11"/>
                <w:szCs w:val="11"/>
                <w:b w:val="1"/>
                <w:bCs w:val="1"/>
                <w:color w:val="009BDE"/>
              </w:rPr>
              <w:t>All Other</w:t>
            </w:r>
          </w:p>
        </w:tc>
        <w:tc>
          <w:tcPr>
            <w:tcW w:w="820" w:type="dxa"/>
            <w:vAlign w:val="bottom"/>
            <w:shd w:val="clear" w:color="auto" w:fill="CCEBF8"/>
          </w:tcPr>
          <w:p>
            <w:pPr>
              <w:spacing w:after="0"/>
              <w:rPr>
                <w:sz w:val="10"/>
                <w:szCs w:val="10"/>
                <w:color w:val="auto"/>
              </w:rPr>
            </w:pPr>
          </w:p>
        </w:tc>
      </w:tr>
      <w:tr>
        <w:trPr>
          <w:trHeight w:val="126"/>
        </w:trPr>
        <w:tc>
          <w:tcPr>
            <w:tcW w:w="1980" w:type="dxa"/>
            <w:vAlign w:val="bottom"/>
            <w:shd w:val="clear" w:color="auto" w:fill="CCEBF8"/>
          </w:tcPr>
          <w:p>
            <w:pPr>
              <w:spacing w:after="0"/>
              <w:rPr>
                <w:sz w:val="10"/>
                <w:szCs w:val="10"/>
                <w:color w:val="auto"/>
              </w:rPr>
            </w:pPr>
          </w:p>
        </w:tc>
        <w:tc>
          <w:tcPr>
            <w:tcW w:w="780" w:type="dxa"/>
            <w:vAlign w:val="bottom"/>
            <w:gridSpan w:val="2"/>
            <w:shd w:val="clear" w:color="auto" w:fill="CCEBF8"/>
          </w:tcPr>
          <w:p>
            <w:pPr>
              <w:ind w:left="120"/>
              <w:spacing w:after="0"/>
              <w:rPr>
                <w:sz w:val="20"/>
                <w:szCs w:val="20"/>
                <w:color w:val="auto"/>
              </w:rPr>
            </w:pPr>
            <w:r>
              <w:rPr>
                <w:rFonts w:ascii="Arial" w:cs="Arial" w:eastAsia="Arial" w:hAnsi="Arial"/>
                <w:sz w:val="11"/>
                <w:szCs w:val="11"/>
                <w:b w:val="1"/>
                <w:bCs w:val="1"/>
                <w:color w:val="009BDE"/>
              </w:rPr>
              <w:t>or Paid in</w:t>
            </w:r>
          </w:p>
        </w:tc>
        <w:tc>
          <w:tcPr>
            <w:tcW w:w="78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5"/>
              </w:rPr>
              <w:t>Awards</w:t>
            </w:r>
          </w:p>
        </w:tc>
        <w:tc>
          <w:tcPr>
            <w:tcW w:w="740" w:type="dxa"/>
            <w:vAlign w:val="bottom"/>
            <w:gridSpan w:val="2"/>
            <w:shd w:val="clear" w:color="auto" w:fill="CCEBF8"/>
          </w:tcPr>
          <w:p>
            <w:pPr>
              <w:ind w:left="180"/>
              <w:spacing w:after="0"/>
              <w:rPr>
                <w:sz w:val="20"/>
                <w:szCs w:val="20"/>
                <w:color w:val="auto"/>
              </w:rPr>
            </w:pPr>
            <w:r>
              <w:rPr>
                <w:rFonts w:ascii="Arial" w:cs="Arial" w:eastAsia="Arial" w:hAnsi="Arial"/>
                <w:sz w:val="11"/>
                <w:szCs w:val="11"/>
                <w:b w:val="1"/>
                <w:bCs w:val="1"/>
                <w:color w:val="009BDE"/>
              </w:rPr>
              <w:t>Awards</w:t>
            </w:r>
          </w:p>
        </w:tc>
        <w:tc>
          <w:tcPr>
            <w:tcW w:w="1120" w:type="dxa"/>
            <w:vAlign w:val="bottom"/>
            <w:shd w:val="clear" w:color="auto" w:fill="CCEBF8"/>
          </w:tcPr>
          <w:p>
            <w:pPr>
              <w:jc w:val="right"/>
              <w:ind w:right="126"/>
              <w:spacing w:after="0"/>
              <w:rPr>
                <w:sz w:val="20"/>
                <w:szCs w:val="20"/>
                <w:color w:val="auto"/>
              </w:rPr>
            </w:pPr>
            <w:r>
              <w:rPr>
                <w:rFonts w:ascii="Arial" w:cs="Arial" w:eastAsia="Arial" w:hAnsi="Arial"/>
                <w:sz w:val="11"/>
                <w:szCs w:val="11"/>
                <w:b w:val="1"/>
                <w:bCs w:val="1"/>
                <w:color w:val="009BDE"/>
              </w:rPr>
              <w:t>Compensation</w:t>
            </w:r>
          </w:p>
        </w:tc>
        <w:tc>
          <w:tcPr>
            <w:tcW w:w="1120" w:type="dxa"/>
            <w:vAlign w:val="bottom"/>
            <w:gridSpan w:val="2"/>
            <w:shd w:val="clear" w:color="auto" w:fill="CCEBF8"/>
          </w:tcPr>
          <w:p>
            <w:pPr>
              <w:ind w:left="180"/>
              <w:spacing w:after="0"/>
              <w:rPr>
                <w:sz w:val="20"/>
                <w:szCs w:val="20"/>
                <w:color w:val="auto"/>
              </w:rPr>
            </w:pPr>
            <w:r>
              <w:rPr>
                <w:rFonts w:ascii="Arial" w:cs="Arial" w:eastAsia="Arial" w:hAnsi="Arial"/>
                <w:sz w:val="11"/>
                <w:szCs w:val="11"/>
                <w:b w:val="1"/>
                <w:bCs w:val="1"/>
                <w:color w:val="009BDE"/>
              </w:rPr>
              <w:t>Compensation</w:t>
            </w:r>
          </w:p>
        </w:tc>
        <w:tc>
          <w:tcPr>
            <w:tcW w:w="820" w:type="dxa"/>
            <w:vAlign w:val="bottom"/>
            <w:shd w:val="clear" w:color="auto" w:fill="CCEBF8"/>
          </w:tcPr>
          <w:p>
            <w:pPr>
              <w:spacing w:after="0"/>
              <w:rPr>
                <w:sz w:val="10"/>
                <w:szCs w:val="10"/>
                <w:color w:val="auto"/>
              </w:rPr>
            </w:pPr>
          </w:p>
        </w:tc>
      </w:tr>
      <w:tr>
        <w:trPr>
          <w:trHeight w:val="151"/>
        </w:trPr>
        <w:tc>
          <w:tcPr>
            <w:tcW w:w="1980" w:type="dxa"/>
            <w:vAlign w:val="bottom"/>
            <w:shd w:val="clear" w:color="auto" w:fill="CCEBF8"/>
          </w:tcPr>
          <w:p>
            <w:pPr>
              <w:spacing w:after="0"/>
              <w:rPr>
                <w:sz w:val="20"/>
                <w:szCs w:val="20"/>
                <w:color w:val="auto"/>
              </w:rPr>
            </w:pPr>
            <w:r>
              <w:rPr>
                <w:rFonts w:ascii="Arial" w:cs="Arial" w:eastAsia="Arial" w:hAnsi="Arial"/>
                <w:sz w:val="11"/>
                <w:szCs w:val="11"/>
                <w:b w:val="1"/>
                <w:bCs w:val="1"/>
                <w:color w:val="009BDE"/>
              </w:rPr>
              <w:t>Name</w:t>
            </w:r>
          </w:p>
        </w:tc>
        <w:tc>
          <w:tcPr>
            <w:tcW w:w="780" w:type="dxa"/>
            <w:vAlign w:val="bottom"/>
            <w:gridSpan w:val="2"/>
            <w:shd w:val="clear" w:color="auto" w:fill="CCEBF8"/>
          </w:tcPr>
          <w:p>
            <w:pPr>
              <w:jc w:val="center"/>
              <w:spacing w:after="0"/>
              <w:rPr>
                <w:sz w:val="20"/>
                <w:szCs w:val="20"/>
                <w:color w:val="auto"/>
              </w:rPr>
            </w:pPr>
            <w:r>
              <w:rPr>
                <w:rFonts w:ascii="Arial" w:cs="Arial" w:eastAsia="Arial" w:hAnsi="Arial"/>
                <w:sz w:val="11"/>
                <w:szCs w:val="11"/>
                <w:b w:val="1"/>
                <w:bCs w:val="1"/>
                <w:color w:val="009BDE"/>
                <w:w w:val="99"/>
              </w:rPr>
              <w:t>Cash(a)</w:t>
            </w:r>
          </w:p>
        </w:tc>
        <w:tc>
          <w:tcPr>
            <w:tcW w:w="78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4"/>
              </w:rPr>
              <w:t>(b)(c)</w:t>
            </w:r>
          </w:p>
        </w:tc>
        <w:tc>
          <w:tcPr>
            <w:tcW w:w="240" w:type="dxa"/>
            <w:vAlign w:val="bottom"/>
            <w:shd w:val="clear" w:color="auto" w:fill="CCEBF8"/>
          </w:tcPr>
          <w:p>
            <w:pPr>
              <w:spacing w:after="0"/>
              <w:rPr>
                <w:sz w:val="13"/>
                <w:szCs w:val="13"/>
                <w:color w:val="auto"/>
              </w:rPr>
            </w:pPr>
          </w:p>
        </w:tc>
        <w:tc>
          <w:tcPr>
            <w:tcW w:w="500" w:type="dxa"/>
            <w:vAlign w:val="bottom"/>
            <w:shd w:val="clear" w:color="auto" w:fill="CCEBF8"/>
          </w:tcPr>
          <w:p>
            <w:pPr>
              <w:jc w:val="right"/>
              <w:ind w:right="186"/>
              <w:spacing w:after="0"/>
              <w:rPr>
                <w:sz w:val="20"/>
                <w:szCs w:val="20"/>
                <w:color w:val="auto"/>
              </w:rPr>
            </w:pPr>
            <w:r>
              <w:rPr>
                <w:rFonts w:ascii="Arial" w:cs="Arial" w:eastAsia="Arial" w:hAnsi="Arial"/>
                <w:sz w:val="11"/>
                <w:szCs w:val="11"/>
                <w:b w:val="1"/>
                <w:bCs w:val="1"/>
                <w:color w:val="009BDE"/>
                <w:w w:val="87"/>
              </w:rPr>
              <w:t>(b)(c)</w:t>
            </w:r>
          </w:p>
        </w:tc>
        <w:tc>
          <w:tcPr>
            <w:tcW w:w="112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7"/>
              </w:rPr>
              <w:t>Earnings</w:t>
            </w:r>
          </w:p>
        </w:tc>
        <w:tc>
          <w:tcPr>
            <w:tcW w:w="280" w:type="dxa"/>
            <w:vAlign w:val="bottom"/>
            <w:shd w:val="clear" w:color="auto" w:fill="CCEBF8"/>
          </w:tcPr>
          <w:p>
            <w:pPr>
              <w:spacing w:after="0"/>
              <w:rPr>
                <w:sz w:val="13"/>
                <w:szCs w:val="13"/>
                <w:color w:val="auto"/>
              </w:rPr>
            </w:pPr>
          </w:p>
        </w:tc>
        <w:tc>
          <w:tcPr>
            <w:tcW w:w="840" w:type="dxa"/>
            <w:vAlign w:val="bottom"/>
            <w:shd w:val="clear" w:color="auto" w:fill="CCEBF8"/>
          </w:tcPr>
          <w:p>
            <w:pPr>
              <w:jc w:val="right"/>
              <w:ind w:right="446"/>
              <w:spacing w:after="0"/>
              <w:rPr>
                <w:sz w:val="20"/>
                <w:szCs w:val="20"/>
                <w:color w:val="auto"/>
              </w:rPr>
            </w:pPr>
            <w:r>
              <w:rPr>
                <w:rFonts w:ascii="Arial" w:cs="Arial" w:eastAsia="Arial" w:hAnsi="Arial"/>
                <w:sz w:val="11"/>
                <w:szCs w:val="11"/>
                <w:b w:val="1"/>
                <w:bCs w:val="1"/>
                <w:color w:val="009BDE"/>
              </w:rPr>
              <w:t>(d)</w:t>
            </w:r>
          </w:p>
        </w:tc>
        <w:tc>
          <w:tcPr>
            <w:tcW w:w="82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5"/>
              </w:rPr>
              <w:t>Total(e)</w:t>
            </w:r>
          </w:p>
        </w:tc>
      </w:tr>
      <w:tr>
        <w:trPr>
          <w:trHeight w:val="85"/>
        </w:trPr>
        <w:tc>
          <w:tcPr>
            <w:tcW w:w="1980" w:type="dxa"/>
            <w:vAlign w:val="bottom"/>
            <w:tcBorders>
              <w:bottom w:val="single" w:sz="8" w:color="009BDE"/>
            </w:tcBorders>
            <w:shd w:val="clear" w:color="auto" w:fill="CCEBF8"/>
          </w:tcPr>
          <w:p>
            <w:pPr>
              <w:spacing w:after="0"/>
              <w:rPr>
                <w:sz w:val="7"/>
                <w:szCs w:val="7"/>
                <w:color w:val="auto"/>
              </w:rPr>
            </w:pPr>
          </w:p>
        </w:tc>
        <w:tc>
          <w:tcPr>
            <w:tcW w:w="180" w:type="dxa"/>
            <w:vAlign w:val="bottom"/>
            <w:tcBorders>
              <w:bottom w:val="single" w:sz="8" w:color="009BDE"/>
            </w:tcBorders>
            <w:shd w:val="clear" w:color="auto" w:fill="CCEBF8"/>
          </w:tcPr>
          <w:p>
            <w:pPr>
              <w:spacing w:after="0"/>
              <w:rPr>
                <w:sz w:val="7"/>
                <w:szCs w:val="7"/>
                <w:color w:val="auto"/>
              </w:rPr>
            </w:pPr>
          </w:p>
        </w:tc>
        <w:tc>
          <w:tcPr>
            <w:tcW w:w="600" w:type="dxa"/>
            <w:vAlign w:val="bottom"/>
            <w:tcBorders>
              <w:bottom w:val="single" w:sz="8" w:color="009BDE"/>
            </w:tcBorders>
            <w:shd w:val="clear" w:color="auto" w:fill="CCEBF8"/>
          </w:tcPr>
          <w:p>
            <w:pPr>
              <w:spacing w:after="0"/>
              <w:rPr>
                <w:sz w:val="7"/>
                <w:szCs w:val="7"/>
                <w:color w:val="auto"/>
              </w:rPr>
            </w:pPr>
          </w:p>
        </w:tc>
        <w:tc>
          <w:tcPr>
            <w:tcW w:w="780" w:type="dxa"/>
            <w:vAlign w:val="bottom"/>
            <w:tcBorders>
              <w:bottom w:val="single" w:sz="8" w:color="009BDE"/>
            </w:tcBorders>
            <w:shd w:val="clear" w:color="auto" w:fill="CCEBF8"/>
          </w:tcPr>
          <w:p>
            <w:pPr>
              <w:spacing w:after="0"/>
              <w:rPr>
                <w:sz w:val="7"/>
                <w:szCs w:val="7"/>
                <w:color w:val="auto"/>
              </w:rPr>
            </w:pPr>
          </w:p>
        </w:tc>
        <w:tc>
          <w:tcPr>
            <w:tcW w:w="240" w:type="dxa"/>
            <w:vAlign w:val="bottom"/>
            <w:tcBorders>
              <w:bottom w:val="single" w:sz="8" w:color="009BDE"/>
            </w:tcBorders>
            <w:shd w:val="clear" w:color="auto" w:fill="CCEBF8"/>
          </w:tcPr>
          <w:p>
            <w:pPr>
              <w:spacing w:after="0"/>
              <w:rPr>
                <w:sz w:val="7"/>
                <w:szCs w:val="7"/>
                <w:color w:val="auto"/>
              </w:rPr>
            </w:pPr>
          </w:p>
        </w:tc>
        <w:tc>
          <w:tcPr>
            <w:tcW w:w="500" w:type="dxa"/>
            <w:vAlign w:val="bottom"/>
            <w:tcBorders>
              <w:bottom w:val="single" w:sz="8" w:color="009BDE"/>
            </w:tcBorders>
            <w:shd w:val="clear" w:color="auto" w:fill="CCEBF8"/>
          </w:tcPr>
          <w:p>
            <w:pPr>
              <w:spacing w:after="0"/>
              <w:rPr>
                <w:sz w:val="7"/>
                <w:szCs w:val="7"/>
                <w:color w:val="auto"/>
              </w:rPr>
            </w:pPr>
          </w:p>
        </w:tc>
        <w:tc>
          <w:tcPr>
            <w:tcW w:w="1120" w:type="dxa"/>
            <w:vAlign w:val="bottom"/>
            <w:tcBorders>
              <w:bottom w:val="single" w:sz="8" w:color="009BDE"/>
            </w:tcBorders>
            <w:shd w:val="clear" w:color="auto" w:fill="CCEBF8"/>
          </w:tcPr>
          <w:p>
            <w:pPr>
              <w:spacing w:after="0"/>
              <w:rPr>
                <w:sz w:val="7"/>
                <w:szCs w:val="7"/>
                <w:color w:val="auto"/>
              </w:rPr>
            </w:pPr>
          </w:p>
        </w:tc>
        <w:tc>
          <w:tcPr>
            <w:tcW w:w="280" w:type="dxa"/>
            <w:vAlign w:val="bottom"/>
            <w:tcBorders>
              <w:bottom w:val="single" w:sz="8" w:color="009BDE"/>
            </w:tcBorders>
            <w:shd w:val="clear" w:color="auto" w:fill="CCEBF8"/>
          </w:tcPr>
          <w:p>
            <w:pPr>
              <w:spacing w:after="0"/>
              <w:rPr>
                <w:sz w:val="7"/>
                <w:szCs w:val="7"/>
                <w:color w:val="auto"/>
              </w:rPr>
            </w:pPr>
          </w:p>
        </w:tc>
        <w:tc>
          <w:tcPr>
            <w:tcW w:w="840" w:type="dxa"/>
            <w:vAlign w:val="bottom"/>
            <w:tcBorders>
              <w:bottom w:val="single" w:sz="8" w:color="009BDE"/>
            </w:tcBorders>
            <w:shd w:val="clear" w:color="auto" w:fill="CCEBF8"/>
          </w:tcPr>
          <w:p>
            <w:pPr>
              <w:spacing w:after="0"/>
              <w:rPr>
                <w:sz w:val="7"/>
                <w:szCs w:val="7"/>
                <w:color w:val="auto"/>
              </w:rPr>
            </w:pPr>
          </w:p>
        </w:tc>
        <w:tc>
          <w:tcPr>
            <w:tcW w:w="820" w:type="dxa"/>
            <w:vAlign w:val="bottom"/>
            <w:tcBorders>
              <w:bottom w:val="single" w:sz="8" w:color="009BDE"/>
            </w:tcBorders>
            <w:shd w:val="clear" w:color="auto" w:fill="CCEBF8"/>
          </w:tcPr>
          <w:p>
            <w:pPr>
              <w:spacing w:after="0"/>
              <w:rPr>
                <w:sz w:val="7"/>
                <w:szCs w:val="7"/>
                <w:color w:val="auto"/>
              </w:rPr>
            </w:pPr>
          </w:p>
        </w:tc>
      </w:tr>
      <w:tr>
        <w:trPr>
          <w:trHeight w:val="183"/>
        </w:trPr>
        <w:tc>
          <w:tcPr>
            <w:tcW w:w="1980" w:type="dxa"/>
            <w:vAlign w:val="bottom"/>
          </w:tcPr>
          <w:p>
            <w:pPr>
              <w:ind w:left="40"/>
              <w:spacing w:after="0"/>
              <w:rPr>
                <w:sz w:val="20"/>
                <w:szCs w:val="20"/>
                <w:color w:val="auto"/>
              </w:rPr>
            </w:pPr>
            <w:r>
              <w:rPr>
                <w:rFonts w:ascii="Arial" w:cs="Arial" w:eastAsia="Arial" w:hAnsi="Arial"/>
                <w:sz w:val="11"/>
                <w:szCs w:val="11"/>
                <w:color w:val="auto"/>
              </w:rPr>
              <w:t>Kenneth A. Bronfin</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142,574</w:t>
            </w:r>
          </w:p>
        </w:tc>
        <w:tc>
          <w:tcPr>
            <w:tcW w:w="780" w:type="dxa"/>
            <w:vAlign w:val="bottom"/>
          </w:tcPr>
          <w:p>
            <w:pPr>
              <w:jc w:val="center"/>
              <w:spacing w:after="0"/>
              <w:rPr>
                <w:sz w:val="20"/>
                <w:szCs w:val="20"/>
                <w:color w:val="auto"/>
              </w:rPr>
            </w:pPr>
            <w:r>
              <w:rPr>
                <w:rFonts w:ascii="Arial" w:cs="Arial" w:eastAsia="Arial" w:hAnsi="Arial"/>
                <w:sz w:val="11"/>
                <w:szCs w:val="11"/>
                <w:color w:val="auto"/>
              </w:rPr>
              <w:t>$175,000</w:t>
            </w:r>
          </w:p>
        </w:tc>
        <w:tc>
          <w:tcPr>
            <w:tcW w:w="240" w:type="dxa"/>
            <w:vAlign w:val="bottom"/>
          </w:tcPr>
          <w:p>
            <w:pPr>
              <w:ind w:left="160"/>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1120" w:type="dxa"/>
            <w:vAlign w:val="bottom"/>
          </w:tcPr>
          <w:p>
            <w:pPr>
              <w:jc w:val="right"/>
              <w:ind w:right="126"/>
              <w:spacing w:after="0"/>
              <w:rPr>
                <w:sz w:val="20"/>
                <w:szCs w:val="20"/>
                <w:color w:val="auto"/>
              </w:rPr>
            </w:pPr>
            <w:r>
              <w:rPr>
                <w:rFonts w:ascii="Arial" w:cs="Arial" w:eastAsia="Arial" w:hAnsi="Arial"/>
                <w:sz w:val="11"/>
                <w:szCs w:val="11"/>
                <w:color w:val="auto"/>
              </w:rPr>
              <w:t>N/A</w:t>
            </w:r>
          </w:p>
        </w:tc>
        <w:tc>
          <w:tcPr>
            <w:tcW w:w="280" w:type="dxa"/>
            <w:vAlign w:val="bottom"/>
          </w:tcPr>
          <w:p>
            <w:pPr>
              <w:ind w:left="18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26"/>
              <w:spacing w:after="0"/>
              <w:rPr>
                <w:sz w:val="20"/>
                <w:szCs w:val="20"/>
                <w:color w:val="auto"/>
              </w:rPr>
            </w:pPr>
            <w:r>
              <w:rPr>
                <w:rFonts w:ascii="Arial" w:cs="Arial" w:eastAsia="Arial" w:hAnsi="Arial"/>
                <w:sz w:val="11"/>
                <w:szCs w:val="11"/>
                <w:color w:val="auto"/>
              </w:rPr>
              <w:t>5,000</w:t>
            </w:r>
          </w:p>
        </w:tc>
        <w:tc>
          <w:tcPr>
            <w:tcW w:w="820" w:type="dxa"/>
            <w:vAlign w:val="bottom"/>
          </w:tcPr>
          <w:p>
            <w:pPr>
              <w:jc w:val="center"/>
              <w:spacing w:after="0"/>
              <w:rPr>
                <w:sz w:val="20"/>
                <w:szCs w:val="20"/>
                <w:color w:val="auto"/>
              </w:rPr>
            </w:pPr>
            <w:r>
              <w:rPr>
                <w:rFonts w:ascii="Arial" w:cs="Arial" w:eastAsia="Arial" w:hAnsi="Arial"/>
                <w:sz w:val="11"/>
                <w:szCs w:val="11"/>
                <w:color w:val="auto"/>
              </w:rPr>
              <w:t>$322,574</w:t>
            </w:r>
          </w:p>
        </w:tc>
      </w:tr>
      <w:tr>
        <w:trPr>
          <w:trHeight w:val="67"/>
        </w:trPr>
        <w:tc>
          <w:tcPr>
            <w:tcW w:w="19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12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r>
      <w:tr>
        <w:trPr>
          <w:trHeight w:val="183"/>
        </w:trPr>
        <w:tc>
          <w:tcPr>
            <w:tcW w:w="1980" w:type="dxa"/>
            <w:vAlign w:val="bottom"/>
          </w:tcPr>
          <w:p>
            <w:pPr>
              <w:ind w:left="40"/>
              <w:spacing w:after="0"/>
              <w:rPr>
                <w:sz w:val="20"/>
                <w:szCs w:val="20"/>
                <w:color w:val="auto"/>
              </w:rPr>
            </w:pPr>
            <w:r>
              <w:rPr>
                <w:rFonts w:ascii="Arial" w:cs="Arial" w:eastAsia="Arial" w:hAnsi="Arial"/>
                <w:sz w:val="11"/>
                <w:szCs w:val="11"/>
                <w:color w:val="auto"/>
              </w:rPr>
              <w:t>Michael R. Burns</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120,074</w:t>
            </w:r>
          </w:p>
        </w:tc>
        <w:tc>
          <w:tcPr>
            <w:tcW w:w="780" w:type="dxa"/>
            <w:vAlign w:val="bottom"/>
          </w:tcPr>
          <w:p>
            <w:pPr>
              <w:jc w:val="center"/>
              <w:spacing w:after="0"/>
              <w:rPr>
                <w:sz w:val="20"/>
                <w:szCs w:val="20"/>
                <w:color w:val="auto"/>
              </w:rPr>
            </w:pPr>
            <w:r>
              <w:rPr>
                <w:rFonts w:ascii="Arial" w:cs="Arial" w:eastAsia="Arial" w:hAnsi="Arial"/>
                <w:sz w:val="11"/>
                <w:szCs w:val="11"/>
                <w:color w:val="auto"/>
              </w:rPr>
              <w:t>$175,000</w:t>
            </w:r>
          </w:p>
        </w:tc>
        <w:tc>
          <w:tcPr>
            <w:tcW w:w="240" w:type="dxa"/>
            <w:vAlign w:val="bottom"/>
          </w:tcPr>
          <w:p>
            <w:pPr>
              <w:ind w:left="160"/>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1120" w:type="dxa"/>
            <w:vAlign w:val="bottom"/>
          </w:tcPr>
          <w:p>
            <w:pPr>
              <w:jc w:val="right"/>
              <w:ind w:right="126"/>
              <w:spacing w:after="0"/>
              <w:rPr>
                <w:sz w:val="20"/>
                <w:szCs w:val="20"/>
                <w:color w:val="auto"/>
              </w:rPr>
            </w:pPr>
            <w:r>
              <w:rPr>
                <w:rFonts w:ascii="Arial" w:cs="Arial" w:eastAsia="Arial" w:hAnsi="Arial"/>
                <w:sz w:val="11"/>
                <w:szCs w:val="11"/>
                <w:color w:val="auto"/>
              </w:rPr>
              <w:t>N/A</w:t>
            </w:r>
          </w:p>
        </w:tc>
        <w:tc>
          <w:tcPr>
            <w:tcW w:w="280" w:type="dxa"/>
            <w:vAlign w:val="bottom"/>
          </w:tcPr>
          <w:p>
            <w:pPr>
              <w:ind w:left="18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820" w:type="dxa"/>
            <w:vAlign w:val="bottom"/>
          </w:tcPr>
          <w:p>
            <w:pPr>
              <w:jc w:val="center"/>
              <w:spacing w:after="0"/>
              <w:rPr>
                <w:sz w:val="20"/>
                <w:szCs w:val="20"/>
                <w:color w:val="auto"/>
              </w:rPr>
            </w:pPr>
            <w:r>
              <w:rPr>
                <w:rFonts w:ascii="Arial" w:cs="Arial" w:eastAsia="Arial" w:hAnsi="Arial"/>
                <w:sz w:val="11"/>
                <w:szCs w:val="11"/>
                <w:color w:val="auto"/>
              </w:rPr>
              <w:t>$295,074</w:t>
            </w:r>
          </w:p>
        </w:tc>
      </w:tr>
      <w:tr>
        <w:trPr>
          <w:trHeight w:val="67"/>
        </w:trPr>
        <w:tc>
          <w:tcPr>
            <w:tcW w:w="19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12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r>
      <w:tr>
        <w:trPr>
          <w:trHeight w:val="183"/>
        </w:trPr>
        <w:tc>
          <w:tcPr>
            <w:tcW w:w="1980" w:type="dxa"/>
            <w:vAlign w:val="bottom"/>
          </w:tcPr>
          <w:p>
            <w:pPr>
              <w:ind w:left="40"/>
              <w:spacing w:after="0"/>
              <w:rPr>
                <w:sz w:val="20"/>
                <w:szCs w:val="20"/>
                <w:color w:val="auto"/>
              </w:rPr>
            </w:pPr>
            <w:r>
              <w:rPr>
                <w:rFonts w:ascii="Arial" w:cs="Arial" w:eastAsia="Arial" w:hAnsi="Arial"/>
                <w:sz w:val="11"/>
                <w:szCs w:val="11"/>
                <w:color w:val="auto"/>
              </w:rPr>
              <w:t>Hope F. Cochran</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160,074</w:t>
            </w:r>
          </w:p>
        </w:tc>
        <w:tc>
          <w:tcPr>
            <w:tcW w:w="780" w:type="dxa"/>
            <w:vAlign w:val="bottom"/>
          </w:tcPr>
          <w:p>
            <w:pPr>
              <w:jc w:val="center"/>
              <w:spacing w:after="0"/>
              <w:rPr>
                <w:sz w:val="20"/>
                <w:szCs w:val="20"/>
                <w:color w:val="auto"/>
              </w:rPr>
            </w:pPr>
            <w:r>
              <w:rPr>
                <w:rFonts w:ascii="Arial" w:cs="Arial" w:eastAsia="Arial" w:hAnsi="Arial"/>
                <w:sz w:val="11"/>
                <w:szCs w:val="11"/>
                <w:color w:val="auto"/>
              </w:rPr>
              <w:t>$175,000</w:t>
            </w:r>
          </w:p>
        </w:tc>
        <w:tc>
          <w:tcPr>
            <w:tcW w:w="240" w:type="dxa"/>
            <w:vAlign w:val="bottom"/>
          </w:tcPr>
          <w:p>
            <w:pPr>
              <w:ind w:left="160"/>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1120" w:type="dxa"/>
            <w:vAlign w:val="bottom"/>
          </w:tcPr>
          <w:p>
            <w:pPr>
              <w:jc w:val="right"/>
              <w:ind w:right="126"/>
              <w:spacing w:after="0"/>
              <w:rPr>
                <w:sz w:val="20"/>
                <w:szCs w:val="20"/>
                <w:color w:val="auto"/>
              </w:rPr>
            </w:pPr>
            <w:r>
              <w:rPr>
                <w:rFonts w:ascii="Arial" w:cs="Arial" w:eastAsia="Arial" w:hAnsi="Arial"/>
                <w:sz w:val="11"/>
                <w:szCs w:val="11"/>
                <w:color w:val="auto"/>
              </w:rPr>
              <w:t>N/A</w:t>
            </w:r>
          </w:p>
        </w:tc>
        <w:tc>
          <w:tcPr>
            <w:tcW w:w="280" w:type="dxa"/>
            <w:vAlign w:val="bottom"/>
          </w:tcPr>
          <w:p>
            <w:pPr>
              <w:ind w:left="18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820" w:type="dxa"/>
            <w:vAlign w:val="bottom"/>
          </w:tcPr>
          <w:p>
            <w:pPr>
              <w:jc w:val="center"/>
              <w:spacing w:after="0"/>
              <w:rPr>
                <w:sz w:val="20"/>
                <w:szCs w:val="20"/>
                <w:color w:val="auto"/>
              </w:rPr>
            </w:pPr>
            <w:r>
              <w:rPr>
                <w:rFonts w:ascii="Arial" w:cs="Arial" w:eastAsia="Arial" w:hAnsi="Arial"/>
                <w:sz w:val="11"/>
                <w:szCs w:val="11"/>
                <w:color w:val="auto"/>
              </w:rPr>
              <w:t>$335,074</w:t>
            </w:r>
          </w:p>
        </w:tc>
      </w:tr>
      <w:tr>
        <w:trPr>
          <w:trHeight w:val="67"/>
        </w:trPr>
        <w:tc>
          <w:tcPr>
            <w:tcW w:w="19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12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r>
      <w:tr>
        <w:trPr>
          <w:trHeight w:val="183"/>
        </w:trPr>
        <w:tc>
          <w:tcPr>
            <w:tcW w:w="1980" w:type="dxa"/>
            <w:vAlign w:val="bottom"/>
          </w:tcPr>
          <w:p>
            <w:pPr>
              <w:ind w:left="40"/>
              <w:spacing w:after="0"/>
              <w:rPr>
                <w:sz w:val="20"/>
                <w:szCs w:val="20"/>
                <w:color w:val="auto"/>
              </w:rPr>
            </w:pPr>
            <w:r>
              <w:rPr>
                <w:rFonts w:ascii="Arial" w:cs="Arial" w:eastAsia="Arial" w:hAnsi="Arial"/>
                <w:sz w:val="11"/>
                <w:szCs w:val="11"/>
                <w:color w:val="auto"/>
              </w:rPr>
              <w:t>Lisa Gersh</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0</w:t>
            </w:r>
          </w:p>
        </w:tc>
        <w:tc>
          <w:tcPr>
            <w:tcW w:w="780" w:type="dxa"/>
            <w:vAlign w:val="bottom"/>
          </w:tcPr>
          <w:p>
            <w:pPr>
              <w:jc w:val="center"/>
              <w:spacing w:after="0"/>
              <w:rPr>
                <w:sz w:val="20"/>
                <w:szCs w:val="20"/>
                <w:color w:val="auto"/>
              </w:rPr>
            </w:pPr>
            <w:r>
              <w:rPr>
                <w:rFonts w:ascii="Arial" w:cs="Arial" w:eastAsia="Arial" w:hAnsi="Arial"/>
                <w:sz w:val="11"/>
                <w:szCs w:val="11"/>
                <w:color w:val="auto"/>
              </w:rPr>
              <w:t>$340,082</w:t>
            </w:r>
          </w:p>
        </w:tc>
        <w:tc>
          <w:tcPr>
            <w:tcW w:w="240" w:type="dxa"/>
            <w:vAlign w:val="bottom"/>
          </w:tcPr>
          <w:p>
            <w:pPr>
              <w:ind w:left="160"/>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1120" w:type="dxa"/>
            <w:vAlign w:val="bottom"/>
          </w:tcPr>
          <w:p>
            <w:pPr>
              <w:jc w:val="right"/>
              <w:ind w:right="126"/>
              <w:spacing w:after="0"/>
              <w:rPr>
                <w:sz w:val="20"/>
                <w:szCs w:val="20"/>
                <w:color w:val="auto"/>
              </w:rPr>
            </w:pPr>
            <w:r>
              <w:rPr>
                <w:rFonts w:ascii="Arial" w:cs="Arial" w:eastAsia="Arial" w:hAnsi="Arial"/>
                <w:sz w:val="11"/>
                <w:szCs w:val="11"/>
                <w:color w:val="auto"/>
              </w:rPr>
              <w:t>N/A</w:t>
            </w:r>
          </w:p>
        </w:tc>
        <w:tc>
          <w:tcPr>
            <w:tcW w:w="280" w:type="dxa"/>
            <w:vAlign w:val="bottom"/>
          </w:tcPr>
          <w:p>
            <w:pPr>
              <w:ind w:left="18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820" w:type="dxa"/>
            <w:vAlign w:val="bottom"/>
          </w:tcPr>
          <w:p>
            <w:pPr>
              <w:jc w:val="center"/>
              <w:spacing w:after="0"/>
              <w:rPr>
                <w:sz w:val="20"/>
                <w:szCs w:val="20"/>
                <w:color w:val="auto"/>
              </w:rPr>
            </w:pPr>
            <w:r>
              <w:rPr>
                <w:rFonts w:ascii="Arial" w:cs="Arial" w:eastAsia="Arial" w:hAnsi="Arial"/>
                <w:sz w:val="11"/>
                <w:szCs w:val="11"/>
                <w:color w:val="auto"/>
              </w:rPr>
              <w:t>$340,082</w:t>
            </w:r>
          </w:p>
        </w:tc>
      </w:tr>
      <w:tr>
        <w:trPr>
          <w:trHeight w:val="67"/>
        </w:trPr>
        <w:tc>
          <w:tcPr>
            <w:tcW w:w="19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12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r>
      <w:tr>
        <w:trPr>
          <w:trHeight w:val="183"/>
        </w:trPr>
        <w:tc>
          <w:tcPr>
            <w:tcW w:w="1980" w:type="dxa"/>
            <w:vAlign w:val="bottom"/>
          </w:tcPr>
          <w:p>
            <w:pPr>
              <w:ind w:left="40"/>
              <w:spacing w:after="0"/>
              <w:rPr>
                <w:sz w:val="20"/>
                <w:szCs w:val="20"/>
                <w:color w:val="auto"/>
              </w:rPr>
            </w:pPr>
            <w:r>
              <w:rPr>
                <w:rFonts w:ascii="Arial" w:cs="Arial" w:eastAsia="Arial" w:hAnsi="Arial"/>
                <w:sz w:val="11"/>
                <w:szCs w:val="11"/>
                <w:color w:val="auto"/>
              </w:rPr>
              <w:t>Elizabeth Hamren</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92,005</w:t>
            </w:r>
          </w:p>
        </w:tc>
        <w:tc>
          <w:tcPr>
            <w:tcW w:w="780" w:type="dxa"/>
            <w:vAlign w:val="bottom"/>
          </w:tcPr>
          <w:p>
            <w:pPr>
              <w:jc w:val="center"/>
              <w:spacing w:after="0"/>
              <w:rPr>
                <w:sz w:val="20"/>
                <w:szCs w:val="20"/>
                <w:color w:val="auto"/>
              </w:rPr>
            </w:pPr>
            <w:r>
              <w:rPr>
                <w:rFonts w:ascii="Arial" w:cs="Arial" w:eastAsia="Arial" w:hAnsi="Arial"/>
                <w:sz w:val="11"/>
                <w:szCs w:val="11"/>
                <w:color w:val="auto"/>
              </w:rPr>
              <w:t>$199,086</w:t>
            </w:r>
          </w:p>
        </w:tc>
        <w:tc>
          <w:tcPr>
            <w:tcW w:w="240" w:type="dxa"/>
            <w:vAlign w:val="bottom"/>
          </w:tcPr>
          <w:p>
            <w:pPr>
              <w:ind w:left="160"/>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1120" w:type="dxa"/>
            <w:vAlign w:val="bottom"/>
          </w:tcPr>
          <w:p>
            <w:pPr>
              <w:jc w:val="right"/>
              <w:ind w:right="126"/>
              <w:spacing w:after="0"/>
              <w:rPr>
                <w:sz w:val="20"/>
                <w:szCs w:val="20"/>
                <w:color w:val="auto"/>
              </w:rPr>
            </w:pPr>
            <w:r>
              <w:rPr>
                <w:rFonts w:ascii="Arial" w:cs="Arial" w:eastAsia="Arial" w:hAnsi="Arial"/>
                <w:sz w:val="11"/>
                <w:szCs w:val="11"/>
                <w:color w:val="auto"/>
              </w:rPr>
              <w:t>N/A</w:t>
            </w:r>
          </w:p>
        </w:tc>
        <w:tc>
          <w:tcPr>
            <w:tcW w:w="280" w:type="dxa"/>
            <w:vAlign w:val="bottom"/>
          </w:tcPr>
          <w:p>
            <w:pPr>
              <w:ind w:left="18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820" w:type="dxa"/>
            <w:vAlign w:val="bottom"/>
          </w:tcPr>
          <w:p>
            <w:pPr>
              <w:jc w:val="center"/>
              <w:spacing w:after="0"/>
              <w:rPr>
                <w:sz w:val="20"/>
                <w:szCs w:val="20"/>
                <w:color w:val="auto"/>
              </w:rPr>
            </w:pPr>
            <w:r>
              <w:rPr>
                <w:rFonts w:ascii="Arial" w:cs="Arial" w:eastAsia="Arial" w:hAnsi="Arial"/>
                <w:sz w:val="11"/>
                <w:szCs w:val="11"/>
                <w:color w:val="auto"/>
              </w:rPr>
              <w:t>$291,091</w:t>
            </w:r>
          </w:p>
        </w:tc>
      </w:tr>
      <w:tr>
        <w:trPr>
          <w:trHeight w:val="67"/>
        </w:trPr>
        <w:tc>
          <w:tcPr>
            <w:tcW w:w="19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12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r>
      <w:tr>
        <w:trPr>
          <w:trHeight w:val="183"/>
        </w:trPr>
        <w:tc>
          <w:tcPr>
            <w:tcW w:w="1980" w:type="dxa"/>
            <w:vAlign w:val="bottom"/>
          </w:tcPr>
          <w:p>
            <w:pPr>
              <w:ind w:left="40"/>
              <w:spacing w:after="0"/>
              <w:rPr>
                <w:sz w:val="20"/>
                <w:szCs w:val="20"/>
                <w:color w:val="auto"/>
              </w:rPr>
            </w:pPr>
            <w:r>
              <w:rPr>
                <w:rFonts w:ascii="Arial" w:cs="Arial" w:eastAsia="Arial" w:hAnsi="Arial"/>
                <w:sz w:val="11"/>
                <w:szCs w:val="11"/>
                <w:color w:val="auto"/>
              </w:rPr>
              <w:t>Blake Jorgensen</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95,755</w:t>
            </w:r>
          </w:p>
        </w:tc>
        <w:tc>
          <w:tcPr>
            <w:tcW w:w="780" w:type="dxa"/>
            <w:vAlign w:val="bottom"/>
          </w:tcPr>
          <w:p>
            <w:pPr>
              <w:jc w:val="center"/>
              <w:spacing w:after="0"/>
              <w:rPr>
                <w:sz w:val="20"/>
                <w:szCs w:val="20"/>
                <w:color w:val="auto"/>
              </w:rPr>
            </w:pPr>
            <w:r>
              <w:rPr>
                <w:rFonts w:ascii="Arial" w:cs="Arial" w:eastAsia="Arial" w:hAnsi="Arial"/>
                <w:sz w:val="11"/>
                <w:szCs w:val="11"/>
                <w:color w:val="auto"/>
              </w:rPr>
              <w:t>$199,086</w:t>
            </w:r>
          </w:p>
        </w:tc>
        <w:tc>
          <w:tcPr>
            <w:tcW w:w="240" w:type="dxa"/>
            <w:vAlign w:val="bottom"/>
          </w:tcPr>
          <w:p>
            <w:pPr>
              <w:ind w:left="160"/>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1120" w:type="dxa"/>
            <w:vAlign w:val="bottom"/>
          </w:tcPr>
          <w:p>
            <w:pPr>
              <w:jc w:val="right"/>
              <w:ind w:right="126"/>
              <w:spacing w:after="0"/>
              <w:rPr>
                <w:sz w:val="20"/>
                <w:szCs w:val="20"/>
                <w:color w:val="auto"/>
              </w:rPr>
            </w:pPr>
            <w:r>
              <w:rPr>
                <w:rFonts w:ascii="Arial" w:cs="Arial" w:eastAsia="Arial" w:hAnsi="Arial"/>
                <w:sz w:val="11"/>
                <w:szCs w:val="11"/>
                <w:color w:val="auto"/>
              </w:rPr>
              <w:t>N/A</w:t>
            </w:r>
          </w:p>
        </w:tc>
        <w:tc>
          <w:tcPr>
            <w:tcW w:w="280" w:type="dxa"/>
            <w:vAlign w:val="bottom"/>
          </w:tcPr>
          <w:p>
            <w:pPr>
              <w:ind w:left="18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820" w:type="dxa"/>
            <w:vAlign w:val="bottom"/>
          </w:tcPr>
          <w:p>
            <w:pPr>
              <w:jc w:val="center"/>
              <w:spacing w:after="0"/>
              <w:rPr>
                <w:sz w:val="20"/>
                <w:szCs w:val="20"/>
                <w:color w:val="auto"/>
              </w:rPr>
            </w:pPr>
            <w:r>
              <w:rPr>
                <w:rFonts w:ascii="Arial" w:cs="Arial" w:eastAsia="Arial" w:hAnsi="Arial"/>
                <w:sz w:val="11"/>
                <w:szCs w:val="11"/>
                <w:color w:val="auto"/>
              </w:rPr>
              <w:t>$294,841</w:t>
            </w:r>
          </w:p>
        </w:tc>
      </w:tr>
      <w:tr>
        <w:trPr>
          <w:trHeight w:val="67"/>
        </w:trPr>
        <w:tc>
          <w:tcPr>
            <w:tcW w:w="19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12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r>
      <w:tr>
        <w:trPr>
          <w:trHeight w:val="183"/>
        </w:trPr>
        <w:tc>
          <w:tcPr>
            <w:tcW w:w="1980" w:type="dxa"/>
            <w:vAlign w:val="bottom"/>
          </w:tcPr>
          <w:p>
            <w:pPr>
              <w:ind w:left="40"/>
              <w:spacing w:after="0"/>
              <w:rPr>
                <w:sz w:val="20"/>
                <w:szCs w:val="20"/>
                <w:color w:val="auto"/>
              </w:rPr>
            </w:pPr>
            <w:r>
              <w:rPr>
                <w:rFonts w:ascii="Arial" w:cs="Arial" w:eastAsia="Arial" w:hAnsi="Arial"/>
                <w:sz w:val="11"/>
                <w:szCs w:val="11"/>
                <w:color w:val="auto"/>
              </w:rPr>
              <w:t>Tracy A. Leinbach</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156,087</w:t>
            </w:r>
          </w:p>
        </w:tc>
        <w:tc>
          <w:tcPr>
            <w:tcW w:w="780" w:type="dxa"/>
            <w:vAlign w:val="bottom"/>
          </w:tcPr>
          <w:p>
            <w:pPr>
              <w:jc w:val="center"/>
              <w:spacing w:after="0"/>
              <w:rPr>
                <w:sz w:val="20"/>
                <w:szCs w:val="20"/>
                <w:color w:val="auto"/>
              </w:rPr>
            </w:pPr>
            <w:r>
              <w:rPr>
                <w:rFonts w:ascii="Arial" w:cs="Arial" w:eastAsia="Arial" w:hAnsi="Arial"/>
                <w:sz w:val="11"/>
                <w:szCs w:val="11"/>
                <w:color w:val="auto"/>
              </w:rPr>
              <w:t>$175,000</w:t>
            </w:r>
          </w:p>
        </w:tc>
        <w:tc>
          <w:tcPr>
            <w:tcW w:w="240" w:type="dxa"/>
            <w:vAlign w:val="bottom"/>
          </w:tcPr>
          <w:p>
            <w:pPr>
              <w:ind w:left="160"/>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1120" w:type="dxa"/>
            <w:vAlign w:val="bottom"/>
          </w:tcPr>
          <w:p>
            <w:pPr>
              <w:jc w:val="right"/>
              <w:ind w:right="126"/>
              <w:spacing w:after="0"/>
              <w:rPr>
                <w:sz w:val="20"/>
                <w:szCs w:val="20"/>
                <w:color w:val="auto"/>
              </w:rPr>
            </w:pPr>
            <w:r>
              <w:rPr>
                <w:rFonts w:ascii="Arial" w:cs="Arial" w:eastAsia="Arial" w:hAnsi="Arial"/>
                <w:sz w:val="11"/>
                <w:szCs w:val="11"/>
                <w:color w:val="auto"/>
              </w:rPr>
              <w:t>N/A</w:t>
            </w:r>
          </w:p>
        </w:tc>
        <w:tc>
          <w:tcPr>
            <w:tcW w:w="280" w:type="dxa"/>
            <w:vAlign w:val="bottom"/>
          </w:tcPr>
          <w:p>
            <w:pPr>
              <w:ind w:left="18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820" w:type="dxa"/>
            <w:vAlign w:val="bottom"/>
          </w:tcPr>
          <w:p>
            <w:pPr>
              <w:jc w:val="center"/>
              <w:spacing w:after="0"/>
              <w:rPr>
                <w:sz w:val="20"/>
                <w:szCs w:val="20"/>
                <w:color w:val="auto"/>
              </w:rPr>
            </w:pPr>
            <w:r>
              <w:rPr>
                <w:rFonts w:ascii="Arial" w:cs="Arial" w:eastAsia="Arial" w:hAnsi="Arial"/>
                <w:sz w:val="11"/>
                <w:szCs w:val="11"/>
                <w:color w:val="auto"/>
              </w:rPr>
              <w:t>$331,087</w:t>
            </w:r>
          </w:p>
        </w:tc>
      </w:tr>
      <w:tr>
        <w:trPr>
          <w:trHeight w:val="67"/>
        </w:trPr>
        <w:tc>
          <w:tcPr>
            <w:tcW w:w="19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12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r>
      <w:tr>
        <w:trPr>
          <w:trHeight w:val="183"/>
        </w:trPr>
        <w:tc>
          <w:tcPr>
            <w:tcW w:w="1980" w:type="dxa"/>
            <w:vAlign w:val="bottom"/>
          </w:tcPr>
          <w:p>
            <w:pPr>
              <w:ind w:left="40"/>
              <w:spacing w:after="0"/>
              <w:rPr>
                <w:sz w:val="20"/>
                <w:szCs w:val="20"/>
                <w:color w:val="auto"/>
              </w:rPr>
            </w:pPr>
            <w:r>
              <w:rPr>
                <w:rFonts w:ascii="Arial" w:cs="Arial" w:eastAsia="Arial" w:hAnsi="Arial"/>
                <w:sz w:val="11"/>
                <w:szCs w:val="11"/>
                <w:color w:val="auto"/>
              </w:rPr>
              <w:t>Edward M. Philip</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130,074</w:t>
            </w:r>
          </w:p>
        </w:tc>
        <w:tc>
          <w:tcPr>
            <w:tcW w:w="780" w:type="dxa"/>
            <w:vAlign w:val="bottom"/>
          </w:tcPr>
          <w:p>
            <w:pPr>
              <w:jc w:val="center"/>
              <w:spacing w:after="0"/>
              <w:rPr>
                <w:sz w:val="20"/>
                <w:szCs w:val="20"/>
                <w:color w:val="auto"/>
              </w:rPr>
            </w:pPr>
            <w:r>
              <w:rPr>
                <w:rFonts w:ascii="Arial" w:cs="Arial" w:eastAsia="Arial" w:hAnsi="Arial"/>
                <w:sz w:val="11"/>
                <w:szCs w:val="11"/>
                <w:color w:val="auto"/>
              </w:rPr>
              <w:t>$175,000</w:t>
            </w:r>
          </w:p>
        </w:tc>
        <w:tc>
          <w:tcPr>
            <w:tcW w:w="240" w:type="dxa"/>
            <w:vAlign w:val="bottom"/>
          </w:tcPr>
          <w:p>
            <w:pPr>
              <w:ind w:left="160"/>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1120" w:type="dxa"/>
            <w:vAlign w:val="bottom"/>
          </w:tcPr>
          <w:p>
            <w:pPr>
              <w:jc w:val="right"/>
              <w:ind w:right="126"/>
              <w:spacing w:after="0"/>
              <w:rPr>
                <w:sz w:val="20"/>
                <w:szCs w:val="20"/>
                <w:color w:val="auto"/>
              </w:rPr>
            </w:pPr>
            <w:r>
              <w:rPr>
                <w:rFonts w:ascii="Arial" w:cs="Arial" w:eastAsia="Arial" w:hAnsi="Arial"/>
                <w:sz w:val="11"/>
                <w:szCs w:val="11"/>
                <w:color w:val="auto"/>
              </w:rPr>
              <w:t>N/A</w:t>
            </w:r>
          </w:p>
        </w:tc>
        <w:tc>
          <w:tcPr>
            <w:tcW w:w="280" w:type="dxa"/>
            <w:vAlign w:val="bottom"/>
          </w:tcPr>
          <w:p>
            <w:pPr>
              <w:ind w:left="18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820" w:type="dxa"/>
            <w:vAlign w:val="bottom"/>
          </w:tcPr>
          <w:p>
            <w:pPr>
              <w:jc w:val="center"/>
              <w:spacing w:after="0"/>
              <w:rPr>
                <w:sz w:val="20"/>
                <w:szCs w:val="20"/>
                <w:color w:val="auto"/>
              </w:rPr>
            </w:pPr>
            <w:r>
              <w:rPr>
                <w:rFonts w:ascii="Arial" w:cs="Arial" w:eastAsia="Arial" w:hAnsi="Arial"/>
                <w:sz w:val="11"/>
                <w:szCs w:val="11"/>
                <w:color w:val="auto"/>
              </w:rPr>
              <w:t>$305,074</w:t>
            </w:r>
          </w:p>
        </w:tc>
      </w:tr>
      <w:tr>
        <w:trPr>
          <w:trHeight w:val="67"/>
        </w:trPr>
        <w:tc>
          <w:tcPr>
            <w:tcW w:w="19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12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r>
      <w:tr>
        <w:trPr>
          <w:trHeight w:val="183"/>
        </w:trPr>
        <w:tc>
          <w:tcPr>
            <w:tcW w:w="1980" w:type="dxa"/>
            <w:vAlign w:val="bottom"/>
          </w:tcPr>
          <w:p>
            <w:pPr>
              <w:ind w:left="40"/>
              <w:spacing w:after="0"/>
              <w:rPr>
                <w:sz w:val="20"/>
                <w:szCs w:val="20"/>
                <w:color w:val="auto"/>
              </w:rPr>
            </w:pPr>
            <w:r>
              <w:rPr>
                <w:rFonts w:ascii="Arial" w:cs="Arial" w:eastAsia="Arial" w:hAnsi="Arial"/>
                <w:sz w:val="11"/>
                <w:szCs w:val="11"/>
                <w:color w:val="auto"/>
              </w:rPr>
              <w:t>Laurel J. Richie</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122,574</w:t>
            </w:r>
          </w:p>
        </w:tc>
        <w:tc>
          <w:tcPr>
            <w:tcW w:w="780" w:type="dxa"/>
            <w:vAlign w:val="bottom"/>
          </w:tcPr>
          <w:p>
            <w:pPr>
              <w:jc w:val="center"/>
              <w:spacing w:after="0"/>
              <w:rPr>
                <w:sz w:val="20"/>
                <w:szCs w:val="20"/>
                <w:color w:val="auto"/>
              </w:rPr>
            </w:pPr>
            <w:r>
              <w:rPr>
                <w:rFonts w:ascii="Arial" w:cs="Arial" w:eastAsia="Arial" w:hAnsi="Arial"/>
                <w:sz w:val="11"/>
                <w:szCs w:val="11"/>
                <w:color w:val="auto"/>
              </w:rPr>
              <w:t>$175,000</w:t>
            </w:r>
          </w:p>
        </w:tc>
        <w:tc>
          <w:tcPr>
            <w:tcW w:w="240" w:type="dxa"/>
            <w:vAlign w:val="bottom"/>
          </w:tcPr>
          <w:p>
            <w:pPr>
              <w:ind w:left="160"/>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1120" w:type="dxa"/>
            <w:vAlign w:val="bottom"/>
          </w:tcPr>
          <w:p>
            <w:pPr>
              <w:jc w:val="right"/>
              <w:ind w:right="126"/>
              <w:spacing w:after="0"/>
              <w:rPr>
                <w:sz w:val="20"/>
                <w:szCs w:val="20"/>
                <w:color w:val="auto"/>
              </w:rPr>
            </w:pPr>
            <w:r>
              <w:rPr>
                <w:rFonts w:ascii="Arial" w:cs="Arial" w:eastAsia="Arial" w:hAnsi="Arial"/>
                <w:sz w:val="11"/>
                <w:szCs w:val="11"/>
                <w:color w:val="auto"/>
              </w:rPr>
              <w:t>N/A</w:t>
            </w:r>
          </w:p>
        </w:tc>
        <w:tc>
          <w:tcPr>
            <w:tcW w:w="280" w:type="dxa"/>
            <w:vAlign w:val="bottom"/>
          </w:tcPr>
          <w:p>
            <w:pPr>
              <w:ind w:left="18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820" w:type="dxa"/>
            <w:vAlign w:val="bottom"/>
          </w:tcPr>
          <w:p>
            <w:pPr>
              <w:jc w:val="center"/>
              <w:spacing w:after="0"/>
              <w:rPr>
                <w:sz w:val="20"/>
                <w:szCs w:val="20"/>
                <w:color w:val="auto"/>
              </w:rPr>
            </w:pPr>
            <w:r>
              <w:rPr>
                <w:rFonts w:ascii="Arial" w:cs="Arial" w:eastAsia="Arial" w:hAnsi="Arial"/>
                <w:sz w:val="11"/>
                <w:szCs w:val="11"/>
                <w:color w:val="auto"/>
              </w:rPr>
              <w:t>$297,574</w:t>
            </w:r>
          </w:p>
        </w:tc>
      </w:tr>
      <w:tr>
        <w:trPr>
          <w:trHeight w:val="67"/>
        </w:trPr>
        <w:tc>
          <w:tcPr>
            <w:tcW w:w="19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12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r>
      <w:tr>
        <w:trPr>
          <w:trHeight w:val="183"/>
        </w:trPr>
        <w:tc>
          <w:tcPr>
            <w:tcW w:w="1980" w:type="dxa"/>
            <w:vAlign w:val="bottom"/>
          </w:tcPr>
          <w:p>
            <w:pPr>
              <w:ind w:left="40"/>
              <w:spacing w:after="0"/>
              <w:rPr>
                <w:sz w:val="20"/>
                <w:szCs w:val="20"/>
                <w:color w:val="auto"/>
              </w:rPr>
            </w:pPr>
            <w:r>
              <w:rPr>
                <w:rFonts w:ascii="Arial" w:cs="Arial" w:eastAsia="Arial" w:hAnsi="Arial"/>
                <w:sz w:val="11"/>
                <w:szCs w:val="11"/>
                <w:color w:val="auto"/>
              </w:rPr>
              <w:t>Richard Stoddart</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0</w:t>
            </w:r>
          </w:p>
        </w:tc>
        <w:tc>
          <w:tcPr>
            <w:tcW w:w="780" w:type="dxa"/>
            <w:vAlign w:val="bottom"/>
          </w:tcPr>
          <w:p>
            <w:pPr>
              <w:jc w:val="center"/>
              <w:spacing w:after="0"/>
              <w:rPr>
                <w:sz w:val="20"/>
                <w:szCs w:val="20"/>
                <w:color w:val="auto"/>
              </w:rPr>
            </w:pPr>
            <w:r>
              <w:rPr>
                <w:rFonts w:ascii="Arial" w:cs="Arial" w:eastAsia="Arial" w:hAnsi="Arial"/>
                <w:sz w:val="11"/>
                <w:szCs w:val="11"/>
                <w:color w:val="auto"/>
              </w:rPr>
              <w:t>$403,483</w:t>
            </w:r>
          </w:p>
        </w:tc>
        <w:tc>
          <w:tcPr>
            <w:tcW w:w="240" w:type="dxa"/>
            <w:vAlign w:val="bottom"/>
          </w:tcPr>
          <w:p>
            <w:pPr>
              <w:ind w:left="160"/>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1120" w:type="dxa"/>
            <w:vAlign w:val="bottom"/>
          </w:tcPr>
          <w:p>
            <w:pPr>
              <w:jc w:val="right"/>
              <w:ind w:right="126"/>
              <w:spacing w:after="0"/>
              <w:rPr>
                <w:sz w:val="20"/>
                <w:szCs w:val="20"/>
                <w:color w:val="auto"/>
              </w:rPr>
            </w:pPr>
            <w:r>
              <w:rPr>
                <w:rFonts w:ascii="Arial" w:cs="Arial" w:eastAsia="Arial" w:hAnsi="Arial"/>
                <w:sz w:val="11"/>
                <w:szCs w:val="11"/>
                <w:color w:val="auto"/>
              </w:rPr>
              <w:t>N/A</w:t>
            </w:r>
          </w:p>
        </w:tc>
        <w:tc>
          <w:tcPr>
            <w:tcW w:w="280" w:type="dxa"/>
            <w:vAlign w:val="bottom"/>
          </w:tcPr>
          <w:p>
            <w:pPr>
              <w:ind w:left="18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26"/>
              <w:spacing w:after="0"/>
              <w:rPr>
                <w:sz w:val="20"/>
                <w:szCs w:val="20"/>
                <w:color w:val="auto"/>
              </w:rPr>
            </w:pPr>
            <w:r>
              <w:rPr>
                <w:rFonts w:ascii="Arial" w:cs="Arial" w:eastAsia="Arial" w:hAnsi="Arial"/>
                <w:sz w:val="11"/>
                <w:szCs w:val="11"/>
                <w:color w:val="auto"/>
              </w:rPr>
              <w:t>5,000</w:t>
            </w:r>
          </w:p>
        </w:tc>
        <w:tc>
          <w:tcPr>
            <w:tcW w:w="820" w:type="dxa"/>
            <w:vAlign w:val="bottom"/>
          </w:tcPr>
          <w:p>
            <w:pPr>
              <w:jc w:val="center"/>
              <w:spacing w:after="0"/>
              <w:rPr>
                <w:sz w:val="20"/>
                <w:szCs w:val="20"/>
                <w:color w:val="auto"/>
              </w:rPr>
            </w:pPr>
            <w:r>
              <w:rPr>
                <w:rFonts w:ascii="Arial" w:cs="Arial" w:eastAsia="Arial" w:hAnsi="Arial"/>
                <w:sz w:val="11"/>
                <w:szCs w:val="11"/>
                <w:color w:val="auto"/>
              </w:rPr>
              <w:t>$408,483</w:t>
            </w:r>
          </w:p>
        </w:tc>
      </w:tr>
      <w:tr>
        <w:trPr>
          <w:trHeight w:val="67"/>
        </w:trPr>
        <w:tc>
          <w:tcPr>
            <w:tcW w:w="19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12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r>
      <w:tr>
        <w:trPr>
          <w:trHeight w:val="183"/>
        </w:trPr>
        <w:tc>
          <w:tcPr>
            <w:tcW w:w="1980" w:type="dxa"/>
            <w:vAlign w:val="bottom"/>
          </w:tcPr>
          <w:p>
            <w:pPr>
              <w:ind w:left="40"/>
              <w:spacing w:after="0"/>
              <w:rPr>
                <w:sz w:val="20"/>
                <w:szCs w:val="20"/>
                <w:color w:val="auto"/>
              </w:rPr>
            </w:pPr>
            <w:r>
              <w:rPr>
                <w:rFonts w:ascii="Arial" w:cs="Arial" w:eastAsia="Arial" w:hAnsi="Arial"/>
                <w:sz w:val="11"/>
                <w:szCs w:val="11"/>
                <w:color w:val="auto"/>
              </w:rPr>
              <w:t>Mary Beth West</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137,574</w:t>
            </w:r>
          </w:p>
        </w:tc>
        <w:tc>
          <w:tcPr>
            <w:tcW w:w="780" w:type="dxa"/>
            <w:vAlign w:val="bottom"/>
          </w:tcPr>
          <w:p>
            <w:pPr>
              <w:jc w:val="center"/>
              <w:spacing w:after="0"/>
              <w:rPr>
                <w:sz w:val="20"/>
                <w:szCs w:val="20"/>
                <w:color w:val="auto"/>
              </w:rPr>
            </w:pPr>
            <w:r>
              <w:rPr>
                <w:rFonts w:ascii="Arial" w:cs="Arial" w:eastAsia="Arial" w:hAnsi="Arial"/>
                <w:sz w:val="11"/>
                <w:szCs w:val="11"/>
                <w:color w:val="auto"/>
              </w:rPr>
              <w:t>$175,000</w:t>
            </w:r>
          </w:p>
        </w:tc>
        <w:tc>
          <w:tcPr>
            <w:tcW w:w="240" w:type="dxa"/>
            <w:vAlign w:val="bottom"/>
          </w:tcPr>
          <w:p>
            <w:pPr>
              <w:ind w:left="160"/>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1120" w:type="dxa"/>
            <w:vAlign w:val="bottom"/>
          </w:tcPr>
          <w:p>
            <w:pPr>
              <w:jc w:val="right"/>
              <w:ind w:right="126"/>
              <w:spacing w:after="0"/>
              <w:rPr>
                <w:sz w:val="20"/>
                <w:szCs w:val="20"/>
                <w:color w:val="auto"/>
              </w:rPr>
            </w:pPr>
            <w:r>
              <w:rPr>
                <w:rFonts w:ascii="Arial" w:cs="Arial" w:eastAsia="Arial" w:hAnsi="Arial"/>
                <w:sz w:val="11"/>
                <w:szCs w:val="11"/>
                <w:color w:val="auto"/>
              </w:rPr>
              <w:t>N/A</w:t>
            </w:r>
          </w:p>
        </w:tc>
        <w:tc>
          <w:tcPr>
            <w:tcW w:w="280" w:type="dxa"/>
            <w:vAlign w:val="bottom"/>
          </w:tcPr>
          <w:p>
            <w:pPr>
              <w:ind w:left="18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820" w:type="dxa"/>
            <w:vAlign w:val="bottom"/>
          </w:tcPr>
          <w:p>
            <w:pPr>
              <w:jc w:val="center"/>
              <w:spacing w:after="0"/>
              <w:rPr>
                <w:sz w:val="20"/>
                <w:szCs w:val="20"/>
                <w:color w:val="auto"/>
              </w:rPr>
            </w:pPr>
            <w:r>
              <w:rPr>
                <w:rFonts w:ascii="Arial" w:cs="Arial" w:eastAsia="Arial" w:hAnsi="Arial"/>
                <w:sz w:val="11"/>
                <w:szCs w:val="11"/>
                <w:color w:val="auto"/>
              </w:rPr>
              <w:t>$312,574</w:t>
            </w:r>
          </w:p>
        </w:tc>
      </w:tr>
      <w:tr>
        <w:trPr>
          <w:trHeight w:val="67"/>
        </w:trPr>
        <w:tc>
          <w:tcPr>
            <w:tcW w:w="19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12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r>
      <w:tr>
        <w:trPr>
          <w:trHeight w:val="183"/>
        </w:trPr>
        <w:tc>
          <w:tcPr>
            <w:tcW w:w="1980" w:type="dxa"/>
            <w:vAlign w:val="bottom"/>
          </w:tcPr>
          <w:p>
            <w:pPr>
              <w:ind w:left="40"/>
              <w:spacing w:after="0"/>
              <w:rPr>
                <w:sz w:val="20"/>
                <w:szCs w:val="20"/>
                <w:color w:val="auto"/>
              </w:rPr>
            </w:pPr>
            <w:r>
              <w:rPr>
                <w:rFonts w:ascii="Arial" w:cs="Arial" w:eastAsia="Arial" w:hAnsi="Arial"/>
                <w:sz w:val="11"/>
                <w:szCs w:val="11"/>
                <w:color w:val="auto"/>
              </w:rPr>
              <w:t>Linda Zecher Higgins</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135,074</w:t>
            </w:r>
          </w:p>
        </w:tc>
        <w:tc>
          <w:tcPr>
            <w:tcW w:w="780" w:type="dxa"/>
            <w:vAlign w:val="bottom"/>
          </w:tcPr>
          <w:p>
            <w:pPr>
              <w:jc w:val="center"/>
              <w:spacing w:after="0"/>
              <w:rPr>
                <w:sz w:val="20"/>
                <w:szCs w:val="20"/>
                <w:color w:val="auto"/>
              </w:rPr>
            </w:pPr>
            <w:r>
              <w:rPr>
                <w:rFonts w:ascii="Arial" w:cs="Arial" w:eastAsia="Arial" w:hAnsi="Arial"/>
                <w:sz w:val="11"/>
                <w:szCs w:val="11"/>
                <w:color w:val="auto"/>
              </w:rPr>
              <w:t>$175,000</w:t>
            </w:r>
          </w:p>
        </w:tc>
        <w:tc>
          <w:tcPr>
            <w:tcW w:w="240" w:type="dxa"/>
            <w:vAlign w:val="bottom"/>
          </w:tcPr>
          <w:p>
            <w:pPr>
              <w:ind w:left="160"/>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1120" w:type="dxa"/>
            <w:vAlign w:val="bottom"/>
          </w:tcPr>
          <w:p>
            <w:pPr>
              <w:jc w:val="right"/>
              <w:ind w:right="126"/>
              <w:spacing w:after="0"/>
              <w:rPr>
                <w:sz w:val="20"/>
                <w:szCs w:val="20"/>
                <w:color w:val="auto"/>
              </w:rPr>
            </w:pPr>
            <w:r>
              <w:rPr>
                <w:rFonts w:ascii="Arial" w:cs="Arial" w:eastAsia="Arial" w:hAnsi="Arial"/>
                <w:sz w:val="11"/>
                <w:szCs w:val="11"/>
                <w:color w:val="auto"/>
              </w:rPr>
              <w:t>N/A</w:t>
            </w:r>
          </w:p>
        </w:tc>
        <w:tc>
          <w:tcPr>
            <w:tcW w:w="280" w:type="dxa"/>
            <w:vAlign w:val="bottom"/>
          </w:tcPr>
          <w:p>
            <w:pPr>
              <w:ind w:left="18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820" w:type="dxa"/>
            <w:vAlign w:val="bottom"/>
          </w:tcPr>
          <w:p>
            <w:pPr>
              <w:jc w:val="center"/>
              <w:spacing w:after="0"/>
              <w:rPr>
                <w:sz w:val="20"/>
                <w:szCs w:val="20"/>
                <w:color w:val="auto"/>
              </w:rPr>
            </w:pPr>
            <w:r>
              <w:rPr>
                <w:rFonts w:ascii="Arial" w:cs="Arial" w:eastAsia="Arial" w:hAnsi="Arial"/>
                <w:sz w:val="11"/>
                <w:szCs w:val="11"/>
                <w:color w:val="auto"/>
              </w:rPr>
              <w:t>$310,074</w:t>
            </w:r>
          </w:p>
        </w:tc>
      </w:tr>
      <w:tr>
        <w:trPr>
          <w:trHeight w:val="67"/>
        </w:trPr>
        <w:tc>
          <w:tcPr>
            <w:tcW w:w="19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12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3971925" cy="21717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6"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14</w:t>
      </w:r>
    </w:p>
    <w:p>
      <w:pPr>
        <w:sectPr>
          <w:pgSz w:w="11900" w:h="16838" w:orient="portrait"/>
          <w:cols w:equalWidth="0" w:num="1">
            <w:col w:w="10159"/>
          </w:cols>
          <w:pgMar w:left="300" w:top="372" w:right="1440"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8" w:lineRule="exact"/>
        <w:rPr>
          <w:sz w:val="20"/>
          <w:szCs w:val="20"/>
          <w:color w:val="auto"/>
        </w:rPr>
      </w:pPr>
    </w:p>
    <w:p>
      <w:pPr>
        <w:jc w:val="both"/>
        <w:ind w:left="2260" w:right="1019" w:hanging="288"/>
        <w:spacing w:after="0" w:line="230" w:lineRule="auto"/>
        <w:tabs>
          <w:tab w:leader="none" w:pos="2260" w:val="left"/>
        </w:tabs>
        <w:numPr>
          <w:ilvl w:val="0"/>
          <w:numId w:val="24"/>
        </w:numPr>
        <w:rPr>
          <w:rFonts w:ascii="Arial" w:cs="Arial" w:eastAsia="Arial" w:hAnsi="Arial"/>
          <w:sz w:val="10"/>
          <w:szCs w:val="10"/>
          <w:color w:val="auto"/>
        </w:rPr>
      </w:pPr>
      <w:r>
        <w:rPr>
          <w:rFonts w:ascii="Arial" w:cs="Arial" w:eastAsia="Arial" w:hAnsi="Arial"/>
          <w:sz w:val="10"/>
          <w:szCs w:val="10"/>
          <w:color w:val="auto"/>
        </w:rPr>
        <w:t>Includes amounts which are deferred by directors into the interest account under the Deferred Compensation Plan for Non-Employee Directors, as well as interest earned by directors on existing balances in the interest account. Does not include the amount of cash retainer payments deferred by the director into the stock unit account under the Deferred Compensation Plan for Non-Employee Directors, which amounts are reflected in the Stock Awards column.</w:t>
      </w:r>
    </w:p>
    <w:p>
      <w:pPr>
        <w:spacing w:after="0" w:line="47" w:lineRule="exact"/>
        <w:rPr>
          <w:rFonts w:ascii="Arial" w:cs="Arial" w:eastAsia="Arial" w:hAnsi="Arial"/>
          <w:sz w:val="10"/>
          <w:szCs w:val="10"/>
          <w:color w:val="auto"/>
        </w:rPr>
      </w:pPr>
    </w:p>
    <w:p>
      <w:pPr>
        <w:ind w:left="2260" w:right="1219" w:hanging="288"/>
        <w:spacing w:after="0" w:line="232" w:lineRule="auto"/>
        <w:tabs>
          <w:tab w:leader="none" w:pos="2260" w:val="left"/>
        </w:tabs>
        <w:numPr>
          <w:ilvl w:val="0"/>
          <w:numId w:val="24"/>
        </w:numPr>
        <w:rPr>
          <w:rFonts w:ascii="Arial" w:cs="Arial" w:eastAsia="Arial" w:hAnsi="Arial"/>
          <w:sz w:val="10"/>
          <w:szCs w:val="10"/>
          <w:color w:val="auto"/>
        </w:rPr>
      </w:pPr>
      <w:r>
        <w:rPr>
          <w:rFonts w:ascii="Arial" w:cs="Arial" w:eastAsia="Arial" w:hAnsi="Arial"/>
          <w:sz w:val="10"/>
          <w:szCs w:val="10"/>
          <w:color w:val="auto"/>
        </w:rPr>
        <w:t>Please see note 15 to the financial statements included in the Company’s Annual Report on Form 10-K, for the year ended December 25, 2022, for a detailed discussion of the assumptions used in valuing stock and option awards.</w:t>
      </w:r>
    </w:p>
    <w:p>
      <w:pPr>
        <w:spacing w:after="0" w:line="47" w:lineRule="exact"/>
        <w:rPr>
          <w:rFonts w:ascii="Arial" w:cs="Arial" w:eastAsia="Arial" w:hAnsi="Arial"/>
          <w:sz w:val="10"/>
          <w:szCs w:val="10"/>
          <w:color w:val="auto"/>
        </w:rPr>
      </w:pPr>
    </w:p>
    <w:p>
      <w:pPr>
        <w:ind w:left="2260" w:right="859"/>
        <w:spacing w:after="0" w:line="228" w:lineRule="auto"/>
        <w:rPr>
          <w:rFonts w:ascii="Arial" w:cs="Arial" w:eastAsia="Arial" w:hAnsi="Arial"/>
          <w:sz w:val="10"/>
          <w:szCs w:val="10"/>
          <w:color w:val="auto"/>
        </w:rPr>
      </w:pPr>
      <w:r>
        <w:rPr>
          <w:rFonts w:ascii="Arial" w:cs="Arial" w:eastAsia="Arial" w:hAnsi="Arial"/>
          <w:sz w:val="10"/>
          <w:szCs w:val="10"/>
          <w:color w:val="auto"/>
        </w:rPr>
        <w:t>In addition to reflecting the grant date fair value for stock awards made to the directors (this expense for the director stock award in 2022 was $175,000 per director continuing service on the Board), the stock awards column also includes, to the extent applicable, the (i) amount of cash retainer payments deferred by the director into the stock unit account under the Deferred Compensation Plan for Non-Employee Directors and (ii) a 10% matching contribution which the Company makes to a director’s account under the Deferred Compensation Plan for Non-Employee Directors on all amounts deferred by such director into the Company’s stock unit account under that plan.</w:t>
      </w:r>
    </w:p>
    <w:p>
      <w:pPr>
        <w:spacing w:after="0" w:line="47" w:lineRule="exact"/>
        <w:rPr>
          <w:rFonts w:ascii="Arial" w:cs="Arial" w:eastAsia="Arial" w:hAnsi="Arial"/>
          <w:sz w:val="10"/>
          <w:szCs w:val="10"/>
          <w:color w:val="auto"/>
        </w:rPr>
      </w:pPr>
    </w:p>
    <w:p>
      <w:pPr>
        <w:ind w:left="2260"/>
        <w:spacing w:after="0"/>
        <w:rPr>
          <w:rFonts w:ascii="Arial" w:cs="Arial" w:eastAsia="Arial" w:hAnsi="Arial"/>
          <w:sz w:val="10"/>
          <w:szCs w:val="10"/>
          <w:color w:val="auto"/>
        </w:rPr>
      </w:pPr>
      <w:r>
        <w:rPr>
          <w:rFonts w:ascii="Arial" w:cs="Arial" w:eastAsia="Arial" w:hAnsi="Arial"/>
          <w:sz w:val="10"/>
          <w:szCs w:val="10"/>
          <w:color w:val="auto"/>
        </w:rPr>
        <w:t>No options were granted to any of the non-employee directors in 2022.</w:t>
      </w:r>
    </w:p>
    <w:p>
      <w:pPr>
        <w:spacing w:after="0" w:line="47" w:lineRule="exact"/>
        <w:rPr>
          <w:rFonts w:ascii="Arial" w:cs="Arial" w:eastAsia="Arial" w:hAnsi="Arial"/>
          <w:sz w:val="10"/>
          <w:szCs w:val="10"/>
          <w:color w:val="auto"/>
        </w:rPr>
      </w:pPr>
    </w:p>
    <w:p>
      <w:pPr>
        <w:ind w:left="2260" w:right="959" w:hanging="288"/>
        <w:spacing w:after="0" w:line="232" w:lineRule="auto"/>
        <w:tabs>
          <w:tab w:leader="none" w:pos="2260" w:val="left"/>
        </w:tabs>
        <w:numPr>
          <w:ilvl w:val="0"/>
          <w:numId w:val="24"/>
        </w:numPr>
        <w:rPr>
          <w:rFonts w:ascii="Arial" w:cs="Arial" w:eastAsia="Arial" w:hAnsi="Arial"/>
          <w:sz w:val="10"/>
          <w:szCs w:val="10"/>
          <w:color w:val="auto"/>
        </w:rPr>
      </w:pPr>
      <w:r>
        <w:rPr>
          <w:rFonts w:ascii="Arial" w:cs="Arial" w:eastAsia="Arial" w:hAnsi="Arial"/>
          <w:sz w:val="10"/>
          <w:szCs w:val="10"/>
          <w:color w:val="auto"/>
        </w:rPr>
        <w:t>The non-employee directors who were serving on the Board at that time held the following outstanding stock awards and stock units outstanding under the Deferred Plan as of December 25, 2022.</w:t>
      </w:r>
    </w:p>
    <w:p>
      <w:pPr>
        <w:spacing w:after="0" w:line="153" w:lineRule="exact"/>
        <w:rPr>
          <w:sz w:val="20"/>
          <w:szCs w:val="20"/>
          <w:color w:val="auto"/>
        </w:rPr>
      </w:pPr>
    </w:p>
    <w:tbl>
      <w:tblPr>
        <w:tblLayout w:type="fixed"/>
        <w:tblInd w:w="1980" w:type="dxa"/>
        <w:tblCellMar>
          <w:top w:w="0" w:type="dxa"/>
          <w:left w:w="0" w:type="dxa"/>
          <w:bottom w:w="0" w:type="dxa"/>
          <w:right w:w="0" w:type="dxa"/>
        </w:tblCellMar>
      </w:tblPr>
      <w:tr>
        <w:trPr>
          <w:trHeight w:val="160"/>
        </w:trPr>
        <w:tc>
          <w:tcPr>
            <w:tcW w:w="5000" w:type="dxa"/>
            <w:vAlign w:val="bottom"/>
            <w:shd w:val="clear" w:color="auto" w:fill="CCEBF8"/>
          </w:tcPr>
          <w:p>
            <w:pPr>
              <w:spacing w:after="0"/>
              <w:rPr>
                <w:sz w:val="13"/>
                <w:szCs w:val="13"/>
                <w:color w:val="auto"/>
              </w:rPr>
            </w:pPr>
          </w:p>
        </w:tc>
        <w:tc>
          <w:tcPr>
            <w:tcW w:w="1340" w:type="dxa"/>
            <w:vAlign w:val="bottom"/>
            <w:shd w:val="clear" w:color="auto" w:fill="CCEBF8"/>
          </w:tcPr>
          <w:p>
            <w:pPr>
              <w:jc w:val="right"/>
              <w:ind w:right="146"/>
              <w:spacing w:after="0"/>
              <w:rPr>
                <w:sz w:val="20"/>
                <w:szCs w:val="20"/>
                <w:color w:val="auto"/>
              </w:rPr>
            </w:pPr>
            <w:r>
              <w:rPr>
                <w:rFonts w:ascii="Arial" w:cs="Arial" w:eastAsia="Arial" w:hAnsi="Arial"/>
                <w:sz w:val="11"/>
                <w:szCs w:val="11"/>
                <w:b w:val="1"/>
                <w:bCs w:val="1"/>
                <w:color w:val="009BDE"/>
              </w:rPr>
              <w:t>Outstanding</w:t>
            </w:r>
          </w:p>
        </w:tc>
        <w:tc>
          <w:tcPr>
            <w:tcW w:w="1000" w:type="dxa"/>
            <w:vAlign w:val="bottom"/>
            <w:shd w:val="clear" w:color="auto" w:fill="CCEBF8"/>
          </w:tcPr>
          <w:p>
            <w:pPr>
              <w:jc w:val="right"/>
              <w:ind w:right="166"/>
              <w:spacing w:after="0"/>
              <w:rPr>
                <w:sz w:val="20"/>
                <w:szCs w:val="20"/>
                <w:color w:val="auto"/>
              </w:rPr>
            </w:pPr>
            <w:r>
              <w:rPr>
                <w:rFonts w:ascii="Arial" w:cs="Arial" w:eastAsia="Arial" w:hAnsi="Arial"/>
                <w:sz w:val="11"/>
                <w:szCs w:val="11"/>
                <w:b w:val="1"/>
                <w:bCs w:val="1"/>
                <w:color w:val="009BDE"/>
              </w:rPr>
              <w:t>Outstanding</w:t>
            </w:r>
          </w:p>
        </w:tc>
      </w:tr>
      <w:tr>
        <w:trPr>
          <w:trHeight w:val="151"/>
        </w:trPr>
        <w:tc>
          <w:tcPr>
            <w:tcW w:w="5000" w:type="dxa"/>
            <w:vAlign w:val="bottom"/>
            <w:shd w:val="clear" w:color="auto" w:fill="CCEBF8"/>
          </w:tcPr>
          <w:p>
            <w:pPr>
              <w:ind w:left="60"/>
              <w:spacing w:after="0"/>
              <w:rPr>
                <w:sz w:val="20"/>
                <w:szCs w:val="20"/>
                <w:color w:val="auto"/>
              </w:rPr>
            </w:pPr>
            <w:r>
              <w:rPr>
                <w:rFonts w:ascii="Arial" w:cs="Arial" w:eastAsia="Arial" w:hAnsi="Arial"/>
                <w:sz w:val="11"/>
                <w:szCs w:val="11"/>
                <w:b w:val="1"/>
                <w:bCs w:val="1"/>
                <w:color w:val="009BDE"/>
              </w:rPr>
              <w:t>Name</w:t>
            </w:r>
          </w:p>
        </w:tc>
        <w:tc>
          <w:tcPr>
            <w:tcW w:w="1340" w:type="dxa"/>
            <w:vAlign w:val="bottom"/>
            <w:shd w:val="clear" w:color="auto" w:fill="CCEBF8"/>
          </w:tcPr>
          <w:p>
            <w:pPr>
              <w:jc w:val="right"/>
              <w:ind w:right="106"/>
              <w:spacing w:after="0"/>
              <w:rPr>
                <w:sz w:val="20"/>
                <w:szCs w:val="20"/>
                <w:color w:val="auto"/>
              </w:rPr>
            </w:pPr>
            <w:r>
              <w:rPr>
                <w:rFonts w:ascii="Arial" w:cs="Arial" w:eastAsia="Arial" w:hAnsi="Arial"/>
                <w:sz w:val="11"/>
                <w:szCs w:val="11"/>
                <w:b w:val="1"/>
                <w:bCs w:val="1"/>
                <w:color w:val="009BDE"/>
              </w:rPr>
              <w:t>Stock Awards</w:t>
            </w:r>
          </w:p>
        </w:tc>
        <w:tc>
          <w:tcPr>
            <w:tcW w:w="1000" w:type="dxa"/>
            <w:vAlign w:val="bottom"/>
            <w:shd w:val="clear" w:color="auto" w:fill="CCEBF8"/>
          </w:tcPr>
          <w:p>
            <w:pPr>
              <w:jc w:val="right"/>
              <w:ind w:right="186"/>
              <w:spacing w:after="0"/>
              <w:rPr>
                <w:sz w:val="20"/>
                <w:szCs w:val="20"/>
                <w:color w:val="auto"/>
              </w:rPr>
            </w:pPr>
            <w:r>
              <w:rPr>
                <w:rFonts w:ascii="Arial" w:cs="Arial" w:eastAsia="Arial" w:hAnsi="Arial"/>
                <w:sz w:val="11"/>
                <w:szCs w:val="11"/>
                <w:b w:val="1"/>
                <w:bCs w:val="1"/>
                <w:color w:val="009BDE"/>
              </w:rPr>
              <w:t>Stock Units</w:t>
            </w:r>
          </w:p>
        </w:tc>
      </w:tr>
      <w:tr>
        <w:trPr>
          <w:trHeight w:val="85"/>
        </w:trPr>
        <w:tc>
          <w:tcPr>
            <w:tcW w:w="5000" w:type="dxa"/>
            <w:vAlign w:val="bottom"/>
            <w:tcBorders>
              <w:bottom w:val="single" w:sz="8" w:color="009BDE"/>
            </w:tcBorders>
            <w:shd w:val="clear" w:color="auto" w:fill="CCEBF8"/>
          </w:tcPr>
          <w:p>
            <w:pPr>
              <w:spacing w:after="0"/>
              <w:rPr>
                <w:sz w:val="7"/>
                <w:szCs w:val="7"/>
                <w:color w:val="auto"/>
              </w:rPr>
            </w:pPr>
          </w:p>
        </w:tc>
        <w:tc>
          <w:tcPr>
            <w:tcW w:w="1340" w:type="dxa"/>
            <w:vAlign w:val="bottom"/>
            <w:tcBorders>
              <w:bottom w:val="single" w:sz="8" w:color="009BDE"/>
            </w:tcBorders>
            <w:shd w:val="clear" w:color="auto" w:fill="CCEBF8"/>
          </w:tcPr>
          <w:p>
            <w:pPr>
              <w:spacing w:after="0"/>
              <w:rPr>
                <w:sz w:val="7"/>
                <w:szCs w:val="7"/>
                <w:color w:val="auto"/>
              </w:rPr>
            </w:pPr>
          </w:p>
        </w:tc>
        <w:tc>
          <w:tcPr>
            <w:tcW w:w="1000" w:type="dxa"/>
            <w:vAlign w:val="bottom"/>
            <w:tcBorders>
              <w:bottom w:val="single" w:sz="8" w:color="009BDE"/>
            </w:tcBorders>
            <w:shd w:val="clear" w:color="auto" w:fill="CCEBF8"/>
          </w:tcPr>
          <w:p>
            <w:pPr>
              <w:spacing w:after="0"/>
              <w:rPr>
                <w:sz w:val="7"/>
                <w:szCs w:val="7"/>
                <w:color w:val="auto"/>
              </w:rPr>
            </w:pPr>
          </w:p>
        </w:tc>
      </w:tr>
      <w:tr>
        <w:trPr>
          <w:trHeight w:val="183"/>
        </w:trPr>
        <w:tc>
          <w:tcPr>
            <w:tcW w:w="5000" w:type="dxa"/>
            <w:vAlign w:val="bottom"/>
          </w:tcPr>
          <w:p>
            <w:pPr>
              <w:ind w:left="40"/>
              <w:spacing w:after="0"/>
              <w:rPr>
                <w:sz w:val="20"/>
                <w:szCs w:val="20"/>
                <w:color w:val="auto"/>
              </w:rPr>
            </w:pPr>
            <w:r>
              <w:rPr>
                <w:rFonts w:ascii="Arial" w:cs="Arial" w:eastAsia="Arial" w:hAnsi="Arial"/>
                <w:sz w:val="11"/>
                <w:szCs w:val="11"/>
                <w:color w:val="auto"/>
              </w:rPr>
              <w:t>Kenneth A. Bronfin</w:t>
            </w:r>
          </w:p>
        </w:tc>
        <w:tc>
          <w:tcPr>
            <w:tcW w:w="1340" w:type="dxa"/>
            <w:vAlign w:val="bottom"/>
          </w:tcPr>
          <w:p>
            <w:pPr>
              <w:jc w:val="right"/>
              <w:ind w:right="106"/>
              <w:spacing w:after="0"/>
              <w:rPr>
                <w:sz w:val="20"/>
                <w:szCs w:val="20"/>
                <w:color w:val="auto"/>
              </w:rPr>
            </w:pPr>
            <w:r>
              <w:rPr>
                <w:rFonts w:ascii="Arial" w:cs="Arial" w:eastAsia="Arial" w:hAnsi="Arial"/>
                <w:sz w:val="11"/>
                <w:szCs w:val="11"/>
                <w:color w:val="auto"/>
              </w:rPr>
              <w:t>29,379</w:t>
            </w:r>
          </w:p>
        </w:tc>
        <w:tc>
          <w:tcPr>
            <w:tcW w:w="1000" w:type="dxa"/>
            <w:vAlign w:val="bottom"/>
          </w:tcPr>
          <w:p>
            <w:pPr>
              <w:jc w:val="right"/>
              <w:ind w:right="166"/>
              <w:spacing w:after="0"/>
              <w:rPr>
                <w:sz w:val="20"/>
                <w:szCs w:val="20"/>
                <w:color w:val="auto"/>
              </w:rPr>
            </w:pPr>
            <w:r>
              <w:rPr>
                <w:rFonts w:ascii="Arial" w:cs="Arial" w:eastAsia="Arial" w:hAnsi="Arial"/>
                <w:sz w:val="11"/>
                <w:szCs w:val="11"/>
                <w:color w:val="auto"/>
              </w:rPr>
              <w:t>5,184</w:t>
            </w:r>
          </w:p>
        </w:tc>
      </w:tr>
      <w:tr>
        <w:trPr>
          <w:trHeight w:val="67"/>
        </w:trPr>
        <w:tc>
          <w:tcPr>
            <w:tcW w:w="5000" w:type="dxa"/>
            <w:vAlign w:val="bottom"/>
            <w:tcBorders>
              <w:bottom w:val="single" w:sz="8" w:color="009BDE"/>
            </w:tcBorders>
          </w:tcPr>
          <w:p>
            <w:pPr>
              <w:spacing w:after="0"/>
              <w:rPr>
                <w:sz w:val="5"/>
                <w:szCs w:val="5"/>
                <w:color w:val="auto"/>
              </w:rPr>
            </w:pPr>
          </w:p>
        </w:tc>
        <w:tc>
          <w:tcPr>
            <w:tcW w:w="1340" w:type="dxa"/>
            <w:vAlign w:val="bottom"/>
            <w:tcBorders>
              <w:bottom w:val="single" w:sz="8" w:color="009BDE"/>
            </w:tcBorders>
          </w:tcPr>
          <w:p>
            <w:pPr>
              <w:spacing w:after="0"/>
              <w:rPr>
                <w:sz w:val="5"/>
                <w:szCs w:val="5"/>
                <w:color w:val="auto"/>
              </w:rPr>
            </w:pPr>
          </w:p>
        </w:tc>
        <w:tc>
          <w:tcPr>
            <w:tcW w:w="1000" w:type="dxa"/>
            <w:vAlign w:val="bottom"/>
            <w:tcBorders>
              <w:bottom w:val="single" w:sz="8" w:color="009BDE"/>
            </w:tcBorders>
          </w:tcPr>
          <w:p>
            <w:pPr>
              <w:spacing w:after="0"/>
              <w:rPr>
                <w:sz w:val="5"/>
                <w:szCs w:val="5"/>
                <w:color w:val="auto"/>
              </w:rPr>
            </w:pPr>
          </w:p>
        </w:tc>
      </w:tr>
      <w:tr>
        <w:trPr>
          <w:trHeight w:val="183"/>
        </w:trPr>
        <w:tc>
          <w:tcPr>
            <w:tcW w:w="5000" w:type="dxa"/>
            <w:vAlign w:val="bottom"/>
          </w:tcPr>
          <w:p>
            <w:pPr>
              <w:ind w:left="40"/>
              <w:spacing w:after="0"/>
              <w:rPr>
                <w:sz w:val="20"/>
                <w:szCs w:val="20"/>
                <w:color w:val="auto"/>
              </w:rPr>
            </w:pPr>
            <w:r>
              <w:rPr>
                <w:rFonts w:ascii="Arial" w:cs="Arial" w:eastAsia="Arial" w:hAnsi="Arial"/>
                <w:sz w:val="11"/>
                <w:szCs w:val="11"/>
                <w:color w:val="auto"/>
              </w:rPr>
              <w:t>Michael R. Burns</w:t>
            </w:r>
          </w:p>
        </w:tc>
        <w:tc>
          <w:tcPr>
            <w:tcW w:w="1340" w:type="dxa"/>
            <w:vAlign w:val="bottom"/>
          </w:tcPr>
          <w:p>
            <w:pPr>
              <w:jc w:val="right"/>
              <w:ind w:right="106"/>
              <w:spacing w:after="0"/>
              <w:rPr>
                <w:sz w:val="20"/>
                <w:szCs w:val="20"/>
                <w:color w:val="auto"/>
              </w:rPr>
            </w:pPr>
            <w:r>
              <w:rPr>
                <w:rFonts w:ascii="Arial" w:cs="Arial" w:eastAsia="Arial" w:hAnsi="Arial"/>
                <w:sz w:val="11"/>
                <w:szCs w:val="11"/>
                <w:color w:val="auto"/>
              </w:rPr>
              <w:t>0</w:t>
            </w:r>
          </w:p>
        </w:tc>
        <w:tc>
          <w:tcPr>
            <w:tcW w:w="1000" w:type="dxa"/>
            <w:vAlign w:val="bottom"/>
          </w:tcPr>
          <w:p>
            <w:pPr>
              <w:jc w:val="right"/>
              <w:ind w:right="166"/>
              <w:spacing w:after="0"/>
              <w:rPr>
                <w:sz w:val="20"/>
                <w:szCs w:val="20"/>
                <w:color w:val="auto"/>
              </w:rPr>
            </w:pPr>
            <w:r>
              <w:rPr>
                <w:rFonts w:ascii="Arial" w:cs="Arial" w:eastAsia="Arial" w:hAnsi="Arial"/>
                <w:sz w:val="11"/>
                <w:szCs w:val="11"/>
                <w:color w:val="auto"/>
              </w:rPr>
              <w:t>0</w:t>
            </w:r>
          </w:p>
        </w:tc>
      </w:tr>
      <w:tr>
        <w:trPr>
          <w:trHeight w:val="67"/>
        </w:trPr>
        <w:tc>
          <w:tcPr>
            <w:tcW w:w="5000" w:type="dxa"/>
            <w:vAlign w:val="bottom"/>
            <w:tcBorders>
              <w:bottom w:val="single" w:sz="8" w:color="009BDE"/>
            </w:tcBorders>
          </w:tcPr>
          <w:p>
            <w:pPr>
              <w:spacing w:after="0"/>
              <w:rPr>
                <w:sz w:val="5"/>
                <w:szCs w:val="5"/>
                <w:color w:val="auto"/>
              </w:rPr>
            </w:pPr>
          </w:p>
        </w:tc>
        <w:tc>
          <w:tcPr>
            <w:tcW w:w="1340" w:type="dxa"/>
            <w:vAlign w:val="bottom"/>
            <w:tcBorders>
              <w:bottom w:val="single" w:sz="8" w:color="009BDE"/>
            </w:tcBorders>
          </w:tcPr>
          <w:p>
            <w:pPr>
              <w:spacing w:after="0"/>
              <w:rPr>
                <w:sz w:val="5"/>
                <w:szCs w:val="5"/>
                <w:color w:val="auto"/>
              </w:rPr>
            </w:pPr>
          </w:p>
        </w:tc>
        <w:tc>
          <w:tcPr>
            <w:tcW w:w="1000" w:type="dxa"/>
            <w:vAlign w:val="bottom"/>
            <w:tcBorders>
              <w:bottom w:val="single" w:sz="8" w:color="009BDE"/>
            </w:tcBorders>
          </w:tcPr>
          <w:p>
            <w:pPr>
              <w:spacing w:after="0"/>
              <w:rPr>
                <w:sz w:val="5"/>
                <w:szCs w:val="5"/>
                <w:color w:val="auto"/>
              </w:rPr>
            </w:pPr>
          </w:p>
        </w:tc>
      </w:tr>
      <w:tr>
        <w:trPr>
          <w:trHeight w:val="183"/>
        </w:trPr>
        <w:tc>
          <w:tcPr>
            <w:tcW w:w="5000" w:type="dxa"/>
            <w:vAlign w:val="bottom"/>
          </w:tcPr>
          <w:p>
            <w:pPr>
              <w:ind w:left="40"/>
              <w:spacing w:after="0"/>
              <w:rPr>
                <w:sz w:val="20"/>
                <w:szCs w:val="20"/>
                <w:color w:val="auto"/>
              </w:rPr>
            </w:pPr>
            <w:r>
              <w:rPr>
                <w:rFonts w:ascii="Arial" w:cs="Arial" w:eastAsia="Arial" w:hAnsi="Arial"/>
                <w:sz w:val="11"/>
                <w:szCs w:val="11"/>
                <w:color w:val="auto"/>
              </w:rPr>
              <w:t>Hope F. Cochran</w:t>
            </w:r>
          </w:p>
        </w:tc>
        <w:tc>
          <w:tcPr>
            <w:tcW w:w="1340" w:type="dxa"/>
            <w:vAlign w:val="bottom"/>
          </w:tcPr>
          <w:p>
            <w:pPr>
              <w:jc w:val="right"/>
              <w:ind w:right="106"/>
              <w:spacing w:after="0"/>
              <w:rPr>
                <w:sz w:val="20"/>
                <w:szCs w:val="20"/>
                <w:color w:val="auto"/>
              </w:rPr>
            </w:pPr>
            <w:r>
              <w:rPr>
                <w:rFonts w:ascii="Arial" w:cs="Arial" w:eastAsia="Arial" w:hAnsi="Arial"/>
                <w:sz w:val="11"/>
                <w:szCs w:val="11"/>
                <w:color w:val="auto"/>
              </w:rPr>
              <w:t>0</w:t>
            </w:r>
          </w:p>
        </w:tc>
        <w:tc>
          <w:tcPr>
            <w:tcW w:w="1000" w:type="dxa"/>
            <w:vAlign w:val="bottom"/>
          </w:tcPr>
          <w:p>
            <w:pPr>
              <w:jc w:val="right"/>
              <w:ind w:right="166"/>
              <w:spacing w:after="0"/>
              <w:rPr>
                <w:sz w:val="20"/>
                <w:szCs w:val="20"/>
                <w:color w:val="auto"/>
              </w:rPr>
            </w:pPr>
            <w:r>
              <w:rPr>
                <w:rFonts w:ascii="Arial" w:cs="Arial" w:eastAsia="Arial" w:hAnsi="Arial"/>
                <w:sz w:val="11"/>
                <w:szCs w:val="11"/>
                <w:color w:val="auto"/>
              </w:rPr>
              <w:t>0</w:t>
            </w:r>
          </w:p>
        </w:tc>
      </w:tr>
      <w:tr>
        <w:trPr>
          <w:trHeight w:val="67"/>
        </w:trPr>
        <w:tc>
          <w:tcPr>
            <w:tcW w:w="5000" w:type="dxa"/>
            <w:vAlign w:val="bottom"/>
            <w:tcBorders>
              <w:bottom w:val="single" w:sz="8" w:color="009BDE"/>
            </w:tcBorders>
          </w:tcPr>
          <w:p>
            <w:pPr>
              <w:spacing w:after="0"/>
              <w:rPr>
                <w:sz w:val="5"/>
                <w:szCs w:val="5"/>
                <w:color w:val="auto"/>
              </w:rPr>
            </w:pPr>
          </w:p>
        </w:tc>
        <w:tc>
          <w:tcPr>
            <w:tcW w:w="1340" w:type="dxa"/>
            <w:vAlign w:val="bottom"/>
            <w:tcBorders>
              <w:bottom w:val="single" w:sz="8" w:color="009BDE"/>
            </w:tcBorders>
          </w:tcPr>
          <w:p>
            <w:pPr>
              <w:spacing w:after="0"/>
              <w:rPr>
                <w:sz w:val="5"/>
                <w:szCs w:val="5"/>
                <w:color w:val="auto"/>
              </w:rPr>
            </w:pPr>
          </w:p>
        </w:tc>
        <w:tc>
          <w:tcPr>
            <w:tcW w:w="1000" w:type="dxa"/>
            <w:vAlign w:val="bottom"/>
            <w:tcBorders>
              <w:bottom w:val="single" w:sz="8" w:color="009BDE"/>
            </w:tcBorders>
          </w:tcPr>
          <w:p>
            <w:pPr>
              <w:spacing w:after="0"/>
              <w:rPr>
                <w:sz w:val="5"/>
                <w:szCs w:val="5"/>
                <w:color w:val="auto"/>
              </w:rPr>
            </w:pPr>
          </w:p>
        </w:tc>
      </w:tr>
      <w:tr>
        <w:trPr>
          <w:trHeight w:val="183"/>
        </w:trPr>
        <w:tc>
          <w:tcPr>
            <w:tcW w:w="5000" w:type="dxa"/>
            <w:vAlign w:val="bottom"/>
          </w:tcPr>
          <w:p>
            <w:pPr>
              <w:ind w:left="40"/>
              <w:spacing w:after="0"/>
              <w:rPr>
                <w:sz w:val="20"/>
                <w:szCs w:val="20"/>
                <w:color w:val="auto"/>
              </w:rPr>
            </w:pPr>
            <w:r>
              <w:rPr>
                <w:rFonts w:ascii="Arial" w:cs="Arial" w:eastAsia="Arial" w:hAnsi="Arial"/>
                <w:sz w:val="11"/>
                <w:szCs w:val="11"/>
                <w:color w:val="auto"/>
              </w:rPr>
              <w:t>Lisa Gersh</w:t>
            </w:r>
          </w:p>
        </w:tc>
        <w:tc>
          <w:tcPr>
            <w:tcW w:w="1340" w:type="dxa"/>
            <w:vAlign w:val="bottom"/>
          </w:tcPr>
          <w:p>
            <w:pPr>
              <w:jc w:val="right"/>
              <w:ind w:right="106"/>
              <w:spacing w:after="0"/>
              <w:rPr>
                <w:sz w:val="20"/>
                <w:szCs w:val="20"/>
                <w:color w:val="auto"/>
              </w:rPr>
            </w:pPr>
            <w:r>
              <w:rPr>
                <w:rFonts w:ascii="Arial" w:cs="Arial" w:eastAsia="Arial" w:hAnsi="Arial"/>
                <w:sz w:val="11"/>
                <w:szCs w:val="11"/>
                <w:color w:val="auto"/>
              </w:rPr>
              <w:t>29,349</w:t>
            </w:r>
          </w:p>
        </w:tc>
        <w:tc>
          <w:tcPr>
            <w:tcW w:w="1000" w:type="dxa"/>
            <w:vAlign w:val="bottom"/>
          </w:tcPr>
          <w:p>
            <w:pPr>
              <w:jc w:val="right"/>
              <w:ind w:right="166"/>
              <w:spacing w:after="0"/>
              <w:rPr>
                <w:sz w:val="20"/>
                <w:szCs w:val="20"/>
                <w:color w:val="auto"/>
              </w:rPr>
            </w:pPr>
            <w:r>
              <w:rPr>
                <w:rFonts w:ascii="Arial" w:cs="Arial" w:eastAsia="Arial" w:hAnsi="Arial"/>
                <w:sz w:val="11"/>
                <w:szCs w:val="11"/>
                <w:color w:val="auto"/>
              </w:rPr>
              <w:t>32,194</w:t>
            </w:r>
          </w:p>
        </w:tc>
      </w:tr>
      <w:tr>
        <w:trPr>
          <w:trHeight w:val="67"/>
        </w:trPr>
        <w:tc>
          <w:tcPr>
            <w:tcW w:w="5000" w:type="dxa"/>
            <w:vAlign w:val="bottom"/>
            <w:tcBorders>
              <w:bottom w:val="single" w:sz="8" w:color="009BDE"/>
            </w:tcBorders>
          </w:tcPr>
          <w:p>
            <w:pPr>
              <w:spacing w:after="0"/>
              <w:rPr>
                <w:sz w:val="5"/>
                <w:szCs w:val="5"/>
                <w:color w:val="auto"/>
              </w:rPr>
            </w:pPr>
          </w:p>
        </w:tc>
        <w:tc>
          <w:tcPr>
            <w:tcW w:w="1340" w:type="dxa"/>
            <w:vAlign w:val="bottom"/>
            <w:tcBorders>
              <w:bottom w:val="single" w:sz="8" w:color="009BDE"/>
            </w:tcBorders>
          </w:tcPr>
          <w:p>
            <w:pPr>
              <w:spacing w:after="0"/>
              <w:rPr>
                <w:sz w:val="5"/>
                <w:szCs w:val="5"/>
                <w:color w:val="auto"/>
              </w:rPr>
            </w:pPr>
          </w:p>
        </w:tc>
        <w:tc>
          <w:tcPr>
            <w:tcW w:w="1000" w:type="dxa"/>
            <w:vAlign w:val="bottom"/>
            <w:tcBorders>
              <w:bottom w:val="single" w:sz="8" w:color="009BDE"/>
            </w:tcBorders>
          </w:tcPr>
          <w:p>
            <w:pPr>
              <w:spacing w:after="0"/>
              <w:rPr>
                <w:sz w:val="5"/>
                <w:szCs w:val="5"/>
                <w:color w:val="auto"/>
              </w:rPr>
            </w:pPr>
          </w:p>
        </w:tc>
      </w:tr>
      <w:tr>
        <w:trPr>
          <w:trHeight w:val="183"/>
        </w:trPr>
        <w:tc>
          <w:tcPr>
            <w:tcW w:w="5000" w:type="dxa"/>
            <w:vAlign w:val="bottom"/>
          </w:tcPr>
          <w:p>
            <w:pPr>
              <w:ind w:left="40"/>
              <w:spacing w:after="0"/>
              <w:rPr>
                <w:sz w:val="20"/>
                <w:szCs w:val="20"/>
                <w:color w:val="auto"/>
              </w:rPr>
            </w:pPr>
            <w:r>
              <w:rPr>
                <w:rFonts w:ascii="Arial" w:cs="Arial" w:eastAsia="Arial" w:hAnsi="Arial"/>
                <w:sz w:val="11"/>
                <w:szCs w:val="11"/>
                <w:color w:val="auto"/>
              </w:rPr>
              <w:t>Elizabeth Hamren</w:t>
            </w:r>
          </w:p>
        </w:tc>
        <w:tc>
          <w:tcPr>
            <w:tcW w:w="1340" w:type="dxa"/>
            <w:vAlign w:val="bottom"/>
          </w:tcPr>
          <w:p>
            <w:pPr>
              <w:jc w:val="right"/>
              <w:ind w:right="106"/>
              <w:spacing w:after="0"/>
              <w:rPr>
                <w:sz w:val="20"/>
                <w:szCs w:val="20"/>
                <w:color w:val="auto"/>
              </w:rPr>
            </w:pPr>
            <w:r>
              <w:rPr>
                <w:rFonts w:ascii="Arial" w:cs="Arial" w:eastAsia="Arial" w:hAnsi="Arial"/>
                <w:sz w:val="11"/>
                <w:szCs w:val="11"/>
                <w:color w:val="auto"/>
              </w:rPr>
              <w:t>0</w:t>
            </w:r>
          </w:p>
        </w:tc>
        <w:tc>
          <w:tcPr>
            <w:tcW w:w="1000" w:type="dxa"/>
            <w:vAlign w:val="bottom"/>
          </w:tcPr>
          <w:p>
            <w:pPr>
              <w:jc w:val="right"/>
              <w:ind w:right="166"/>
              <w:spacing w:after="0"/>
              <w:rPr>
                <w:sz w:val="20"/>
                <w:szCs w:val="20"/>
                <w:color w:val="auto"/>
              </w:rPr>
            </w:pPr>
            <w:r>
              <w:rPr>
                <w:rFonts w:ascii="Arial" w:cs="Arial" w:eastAsia="Arial" w:hAnsi="Arial"/>
                <w:sz w:val="11"/>
                <w:szCs w:val="11"/>
                <w:color w:val="auto"/>
              </w:rPr>
              <w:t>0</w:t>
            </w:r>
          </w:p>
        </w:tc>
      </w:tr>
      <w:tr>
        <w:trPr>
          <w:trHeight w:val="67"/>
        </w:trPr>
        <w:tc>
          <w:tcPr>
            <w:tcW w:w="5000" w:type="dxa"/>
            <w:vAlign w:val="bottom"/>
            <w:tcBorders>
              <w:bottom w:val="single" w:sz="8" w:color="009BDE"/>
            </w:tcBorders>
          </w:tcPr>
          <w:p>
            <w:pPr>
              <w:spacing w:after="0"/>
              <w:rPr>
                <w:sz w:val="5"/>
                <w:szCs w:val="5"/>
                <w:color w:val="auto"/>
              </w:rPr>
            </w:pPr>
          </w:p>
        </w:tc>
        <w:tc>
          <w:tcPr>
            <w:tcW w:w="1340" w:type="dxa"/>
            <w:vAlign w:val="bottom"/>
            <w:tcBorders>
              <w:bottom w:val="single" w:sz="8" w:color="009BDE"/>
            </w:tcBorders>
          </w:tcPr>
          <w:p>
            <w:pPr>
              <w:spacing w:after="0"/>
              <w:rPr>
                <w:sz w:val="5"/>
                <w:szCs w:val="5"/>
                <w:color w:val="auto"/>
              </w:rPr>
            </w:pPr>
          </w:p>
        </w:tc>
        <w:tc>
          <w:tcPr>
            <w:tcW w:w="1000" w:type="dxa"/>
            <w:vAlign w:val="bottom"/>
            <w:tcBorders>
              <w:bottom w:val="single" w:sz="8" w:color="009BDE"/>
            </w:tcBorders>
          </w:tcPr>
          <w:p>
            <w:pPr>
              <w:spacing w:after="0"/>
              <w:rPr>
                <w:sz w:val="5"/>
                <w:szCs w:val="5"/>
                <w:color w:val="auto"/>
              </w:rPr>
            </w:pPr>
          </w:p>
        </w:tc>
      </w:tr>
      <w:tr>
        <w:trPr>
          <w:trHeight w:val="183"/>
        </w:trPr>
        <w:tc>
          <w:tcPr>
            <w:tcW w:w="5000" w:type="dxa"/>
            <w:vAlign w:val="bottom"/>
          </w:tcPr>
          <w:p>
            <w:pPr>
              <w:ind w:left="40"/>
              <w:spacing w:after="0"/>
              <w:rPr>
                <w:sz w:val="20"/>
                <w:szCs w:val="20"/>
                <w:color w:val="auto"/>
              </w:rPr>
            </w:pPr>
            <w:r>
              <w:rPr>
                <w:rFonts w:ascii="Arial" w:cs="Arial" w:eastAsia="Arial" w:hAnsi="Arial"/>
                <w:sz w:val="11"/>
                <w:szCs w:val="11"/>
                <w:color w:val="auto"/>
              </w:rPr>
              <w:t>Blake Jorgensen</w:t>
            </w:r>
          </w:p>
        </w:tc>
        <w:tc>
          <w:tcPr>
            <w:tcW w:w="1340" w:type="dxa"/>
            <w:vAlign w:val="bottom"/>
          </w:tcPr>
          <w:p>
            <w:pPr>
              <w:jc w:val="right"/>
              <w:ind w:right="106"/>
              <w:spacing w:after="0"/>
              <w:rPr>
                <w:sz w:val="20"/>
                <w:szCs w:val="20"/>
                <w:color w:val="auto"/>
              </w:rPr>
            </w:pPr>
            <w:r>
              <w:rPr>
                <w:rFonts w:ascii="Arial" w:cs="Arial" w:eastAsia="Arial" w:hAnsi="Arial"/>
                <w:sz w:val="11"/>
                <w:szCs w:val="11"/>
                <w:color w:val="auto"/>
              </w:rPr>
              <w:t>0</w:t>
            </w:r>
          </w:p>
        </w:tc>
        <w:tc>
          <w:tcPr>
            <w:tcW w:w="1000" w:type="dxa"/>
            <w:vAlign w:val="bottom"/>
          </w:tcPr>
          <w:p>
            <w:pPr>
              <w:jc w:val="right"/>
              <w:ind w:right="166"/>
              <w:spacing w:after="0"/>
              <w:rPr>
                <w:sz w:val="20"/>
                <w:szCs w:val="20"/>
                <w:color w:val="auto"/>
              </w:rPr>
            </w:pPr>
            <w:r>
              <w:rPr>
                <w:rFonts w:ascii="Arial" w:cs="Arial" w:eastAsia="Arial" w:hAnsi="Arial"/>
                <w:sz w:val="11"/>
                <w:szCs w:val="11"/>
                <w:color w:val="auto"/>
              </w:rPr>
              <w:t>0</w:t>
            </w:r>
          </w:p>
        </w:tc>
      </w:tr>
      <w:tr>
        <w:trPr>
          <w:trHeight w:val="67"/>
        </w:trPr>
        <w:tc>
          <w:tcPr>
            <w:tcW w:w="5000" w:type="dxa"/>
            <w:vAlign w:val="bottom"/>
            <w:tcBorders>
              <w:bottom w:val="single" w:sz="8" w:color="009BDE"/>
            </w:tcBorders>
          </w:tcPr>
          <w:p>
            <w:pPr>
              <w:spacing w:after="0"/>
              <w:rPr>
                <w:sz w:val="5"/>
                <w:szCs w:val="5"/>
                <w:color w:val="auto"/>
              </w:rPr>
            </w:pPr>
          </w:p>
        </w:tc>
        <w:tc>
          <w:tcPr>
            <w:tcW w:w="1340" w:type="dxa"/>
            <w:vAlign w:val="bottom"/>
            <w:tcBorders>
              <w:bottom w:val="single" w:sz="8" w:color="009BDE"/>
            </w:tcBorders>
          </w:tcPr>
          <w:p>
            <w:pPr>
              <w:spacing w:after="0"/>
              <w:rPr>
                <w:sz w:val="5"/>
                <w:szCs w:val="5"/>
                <w:color w:val="auto"/>
              </w:rPr>
            </w:pPr>
          </w:p>
        </w:tc>
        <w:tc>
          <w:tcPr>
            <w:tcW w:w="1000" w:type="dxa"/>
            <w:vAlign w:val="bottom"/>
            <w:tcBorders>
              <w:bottom w:val="single" w:sz="8" w:color="009BDE"/>
            </w:tcBorders>
          </w:tcPr>
          <w:p>
            <w:pPr>
              <w:spacing w:after="0"/>
              <w:rPr>
                <w:sz w:val="5"/>
                <w:szCs w:val="5"/>
                <w:color w:val="auto"/>
              </w:rPr>
            </w:pPr>
          </w:p>
        </w:tc>
      </w:tr>
      <w:tr>
        <w:trPr>
          <w:trHeight w:val="183"/>
        </w:trPr>
        <w:tc>
          <w:tcPr>
            <w:tcW w:w="5000" w:type="dxa"/>
            <w:vAlign w:val="bottom"/>
          </w:tcPr>
          <w:p>
            <w:pPr>
              <w:ind w:left="40"/>
              <w:spacing w:after="0"/>
              <w:rPr>
                <w:sz w:val="20"/>
                <w:szCs w:val="20"/>
                <w:color w:val="auto"/>
              </w:rPr>
            </w:pPr>
            <w:r>
              <w:rPr>
                <w:rFonts w:ascii="Arial" w:cs="Arial" w:eastAsia="Arial" w:hAnsi="Arial"/>
                <w:sz w:val="11"/>
                <w:szCs w:val="11"/>
                <w:color w:val="auto"/>
              </w:rPr>
              <w:t>Tracy A. Leinbach</w:t>
            </w:r>
          </w:p>
        </w:tc>
        <w:tc>
          <w:tcPr>
            <w:tcW w:w="1340" w:type="dxa"/>
            <w:vAlign w:val="bottom"/>
          </w:tcPr>
          <w:p>
            <w:pPr>
              <w:jc w:val="right"/>
              <w:ind w:right="106"/>
              <w:spacing w:after="0"/>
              <w:rPr>
                <w:sz w:val="20"/>
                <w:szCs w:val="20"/>
                <w:color w:val="auto"/>
              </w:rPr>
            </w:pPr>
            <w:r>
              <w:rPr>
                <w:rFonts w:ascii="Arial" w:cs="Arial" w:eastAsia="Arial" w:hAnsi="Arial"/>
                <w:sz w:val="11"/>
                <w:szCs w:val="11"/>
                <w:color w:val="auto"/>
              </w:rPr>
              <w:t>10,369</w:t>
            </w:r>
          </w:p>
        </w:tc>
        <w:tc>
          <w:tcPr>
            <w:tcW w:w="1000" w:type="dxa"/>
            <w:vAlign w:val="bottom"/>
          </w:tcPr>
          <w:p>
            <w:pPr>
              <w:jc w:val="right"/>
              <w:ind w:right="166"/>
              <w:spacing w:after="0"/>
              <w:rPr>
                <w:sz w:val="20"/>
                <w:szCs w:val="20"/>
                <w:color w:val="auto"/>
              </w:rPr>
            </w:pPr>
            <w:r>
              <w:rPr>
                <w:rFonts w:ascii="Arial" w:cs="Arial" w:eastAsia="Arial" w:hAnsi="Arial"/>
                <w:sz w:val="11"/>
                <w:szCs w:val="11"/>
                <w:color w:val="auto"/>
              </w:rPr>
              <w:t>0</w:t>
            </w:r>
          </w:p>
        </w:tc>
      </w:tr>
      <w:tr>
        <w:trPr>
          <w:trHeight w:val="67"/>
        </w:trPr>
        <w:tc>
          <w:tcPr>
            <w:tcW w:w="5000" w:type="dxa"/>
            <w:vAlign w:val="bottom"/>
            <w:tcBorders>
              <w:bottom w:val="single" w:sz="8" w:color="009BDE"/>
            </w:tcBorders>
          </w:tcPr>
          <w:p>
            <w:pPr>
              <w:spacing w:after="0"/>
              <w:rPr>
                <w:sz w:val="5"/>
                <w:szCs w:val="5"/>
                <w:color w:val="auto"/>
              </w:rPr>
            </w:pPr>
          </w:p>
        </w:tc>
        <w:tc>
          <w:tcPr>
            <w:tcW w:w="1340" w:type="dxa"/>
            <w:vAlign w:val="bottom"/>
            <w:tcBorders>
              <w:bottom w:val="single" w:sz="8" w:color="009BDE"/>
            </w:tcBorders>
          </w:tcPr>
          <w:p>
            <w:pPr>
              <w:spacing w:after="0"/>
              <w:rPr>
                <w:sz w:val="5"/>
                <w:szCs w:val="5"/>
                <w:color w:val="auto"/>
              </w:rPr>
            </w:pPr>
          </w:p>
        </w:tc>
        <w:tc>
          <w:tcPr>
            <w:tcW w:w="1000" w:type="dxa"/>
            <w:vAlign w:val="bottom"/>
            <w:tcBorders>
              <w:bottom w:val="single" w:sz="8" w:color="009BDE"/>
            </w:tcBorders>
          </w:tcPr>
          <w:p>
            <w:pPr>
              <w:spacing w:after="0"/>
              <w:rPr>
                <w:sz w:val="5"/>
                <w:szCs w:val="5"/>
                <w:color w:val="auto"/>
              </w:rPr>
            </w:pPr>
          </w:p>
        </w:tc>
      </w:tr>
      <w:tr>
        <w:trPr>
          <w:trHeight w:val="183"/>
        </w:trPr>
        <w:tc>
          <w:tcPr>
            <w:tcW w:w="5000" w:type="dxa"/>
            <w:vAlign w:val="bottom"/>
          </w:tcPr>
          <w:p>
            <w:pPr>
              <w:ind w:left="40"/>
              <w:spacing w:after="0"/>
              <w:rPr>
                <w:sz w:val="20"/>
                <w:szCs w:val="20"/>
                <w:color w:val="auto"/>
              </w:rPr>
            </w:pPr>
            <w:r>
              <w:rPr>
                <w:rFonts w:ascii="Arial" w:cs="Arial" w:eastAsia="Arial" w:hAnsi="Arial"/>
                <w:sz w:val="11"/>
                <w:szCs w:val="11"/>
                <w:color w:val="auto"/>
              </w:rPr>
              <w:t>Edward M. Philip</w:t>
            </w:r>
          </w:p>
        </w:tc>
        <w:tc>
          <w:tcPr>
            <w:tcW w:w="1340" w:type="dxa"/>
            <w:vAlign w:val="bottom"/>
          </w:tcPr>
          <w:p>
            <w:pPr>
              <w:jc w:val="right"/>
              <w:ind w:right="106"/>
              <w:spacing w:after="0"/>
              <w:rPr>
                <w:sz w:val="20"/>
                <w:szCs w:val="20"/>
                <w:color w:val="auto"/>
              </w:rPr>
            </w:pPr>
            <w:r>
              <w:rPr>
                <w:rFonts w:ascii="Arial" w:cs="Arial" w:eastAsia="Arial" w:hAnsi="Arial"/>
                <w:sz w:val="11"/>
                <w:szCs w:val="11"/>
                <w:color w:val="auto"/>
              </w:rPr>
              <w:t>44,623</w:t>
            </w:r>
          </w:p>
        </w:tc>
        <w:tc>
          <w:tcPr>
            <w:tcW w:w="1000" w:type="dxa"/>
            <w:vAlign w:val="bottom"/>
          </w:tcPr>
          <w:p>
            <w:pPr>
              <w:jc w:val="right"/>
              <w:ind w:right="166"/>
              <w:spacing w:after="0"/>
              <w:rPr>
                <w:sz w:val="20"/>
                <w:szCs w:val="20"/>
                <w:color w:val="auto"/>
              </w:rPr>
            </w:pPr>
            <w:r>
              <w:rPr>
                <w:rFonts w:ascii="Arial" w:cs="Arial" w:eastAsia="Arial" w:hAnsi="Arial"/>
                <w:sz w:val="11"/>
                <w:szCs w:val="11"/>
                <w:color w:val="auto"/>
              </w:rPr>
              <w:t>57,826</w:t>
            </w:r>
          </w:p>
        </w:tc>
      </w:tr>
      <w:tr>
        <w:trPr>
          <w:trHeight w:val="67"/>
        </w:trPr>
        <w:tc>
          <w:tcPr>
            <w:tcW w:w="5000" w:type="dxa"/>
            <w:vAlign w:val="bottom"/>
            <w:tcBorders>
              <w:bottom w:val="single" w:sz="8" w:color="009BDE"/>
            </w:tcBorders>
          </w:tcPr>
          <w:p>
            <w:pPr>
              <w:spacing w:after="0"/>
              <w:rPr>
                <w:sz w:val="5"/>
                <w:szCs w:val="5"/>
                <w:color w:val="auto"/>
              </w:rPr>
            </w:pPr>
          </w:p>
        </w:tc>
        <w:tc>
          <w:tcPr>
            <w:tcW w:w="1340" w:type="dxa"/>
            <w:vAlign w:val="bottom"/>
            <w:tcBorders>
              <w:bottom w:val="single" w:sz="8" w:color="009BDE"/>
            </w:tcBorders>
          </w:tcPr>
          <w:p>
            <w:pPr>
              <w:spacing w:after="0"/>
              <w:rPr>
                <w:sz w:val="5"/>
                <w:szCs w:val="5"/>
                <w:color w:val="auto"/>
              </w:rPr>
            </w:pPr>
          </w:p>
        </w:tc>
        <w:tc>
          <w:tcPr>
            <w:tcW w:w="1000" w:type="dxa"/>
            <w:vAlign w:val="bottom"/>
            <w:tcBorders>
              <w:bottom w:val="single" w:sz="8" w:color="009BDE"/>
            </w:tcBorders>
          </w:tcPr>
          <w:p>
            <w:pPr>
              <w:spacing w:after="0"/>
              <w:rPr>
                <w:sz w:val="5"/>
                <w:szCs w:val="5"/>
                <w:color w:val="auto"/>
              </w:rPr>
            </w:pPr>
          </w:p>
        </w:tc>
      </w:tr>
      <w:tr>
        <w:trPr>
          <w:trHeight w:val="183"/>
        </w:trPr>
        <w:tc>
          <w:tcPr>
            <w:tcW w:w="5000" w:type="dxa"/>
            <w:vAlign w:val="bottom"/>
          </w:tcPr>
          <w:p>
            <w:pPr>
              <w:ind w:left="40"/>
              <w:spacing w:after="0"/>
              <w:rPr>
                <w:sz w:val="20"/>
                <w:szCs w:val="20"/>
                <w:color w:val="auto"/>
              </w:rPr>
            </w:pPr>
            <w:r>
              <w:rPr>
                <w:rFonts w:ascii="Arial" w:cs="Arial" w:eastAsia="Arial" w:hAnsi="Arial"/>
                <w:sz w:val="11"/>
                <w:szCs w:val="11"/>
                <w:color w:val="auto"/>
              </w:rPr>
              <w:t>Laurel J. Richie</w:t>
            </w:r>
          </w:p>
        </w:tc>
        <w:tc>
          <w:tcPr>
            <w:tcW w:w="1340" w:type="dxa"/>
            <w:vAlign w:val="bottom"/>
          </w:tcPr>
          <w:p>
            <w:pPr>
              <w:jc w:val="right"/>
              <w:ind w:right="106"/>
              <w:spacing w:after="0"/>
              <w:rPr>
                <w:sz w:val="20"/>
                <w:szCs w:val="20"/>
                <w:color w:val="auto"/>
              </w:rPr>
            </w:pPr>
            <w:r>
              <w:rPr>
                <w:rFonts w:ascii="Arial" w:cs="Arial" w:eastAsia="Arial" w:hAnsi="Arial"/>
                <w:sz w:val="11"/>
                <w:szCs w:val="11"/>
                <w:color w:val="auto"/>
              </w:rPr>
              <w:t>4,715</w:t>
            </w:r>
          </w:p>
        </w:tc>
        <w:tc>
          <w:tcPr>
            <w:tcW w:w="1000" w:type="dxa"/>
            <w:vAlign w:val="bottom"/>
          </w:tcPr>
          <w:p>
            <w:pPr>
              <w:jc w:val="right"/>
              <w:ind w:right="166"/>
              <w:spacing w:after="0"/>
              <w:rPr>
                <w:sz w:val="20"/>
                <w:szCs w:val="20"/>
                <w:color w:val="auto"/>
              </w:rPr>
            </w:pPr>
            <w:r>
              <w:rPr>
                <w:rFonts w:ascii="Arial" w:cs="Arial" w:eastAsia="Arial" w:hAnsi="Arial"/>
                <w:sz w:val="11"/>
                <w:szCs w:val="11"/>
                <w:color w:val="auto"/>
              </w:rPr>
              <w:t>0</w:t>
            </w:r>
          </w:p>
        </w:tc>
      </w:tr>
      <w:tr>
        <w:trPr>
          <w:trHeight w:val="67"/>
        </w:trPr>
        <w:tc>
          <w:tcPr>
            <w:tcW w:w="5000" w:type="dxa"/>
            <w:vAlign w:val="bottom"/>
            <w:tcBorders>
              <w:bottom w:val="single" w:sz="8" w:color="009BDE"/>
            </w:tcBorders>
          </w:tcPr>
          <w:p>
            <w:pPr>
              <w:spacing w:after="0"/>
              <w:rPr>
                <w:sz w:val="5"/>
                <w:szCs w:val="5"/>
                <w:color w:val="auto"/>
              </w:rPr>
            </w:pPr>
          </w:p>
        </w:tc>
        <w:tc>
          <w:tcPr>
            <w:tcW w:w="1340" w:type="dxa"/>
            <w:vAlign w:val="bottom"/>
            <w:tcBorders>
              <w:bottom w:val="single" w:sz="8" w:color="009BDE"/>
            </w:tcBorders>
          </w:tcPr>
          <w:p>
            <w:pPr>
              <w:spacing w:after="0"/>
              <w:rPr>
                <w:sz w:val="5"/>
                <w:szCs w:val="5"/>
                <w:color w:val="auto"/>
              </w:rPr>
            </w:pPr>
          </w:p>
        </w:tc>
        <w:tc>
          <w:tcPr>
            <w:tcW w:w="1000" w:type="dxa"/>
            <w:vAlign w:val="bottom"/>
            <w:tcBorders>
              <w:bottom w:val="single" w:sz="8" w:color="009BDE"/>
            </w:tcBorders>
          </w:tcPr>
          <w:p>
            <w:pPr>
              <w:spacing w:after="0"/>
              <w:rPr>
                <w:sz w:val="5"/>
                <w:szCs w:val="5"/>
                <w:color w:val="auto"/>
              </w:rPr>
            </w:pPr>
          </w:p>
        </w:tc>
      </w:tr>
      <w:tr>
        <w:trPr>
          <w:trHeight w:val="183"/>
        </w:trPr>
        <w:tc>
          <w:tcPr>
            <w:tcW w:w="5000" w:type="dxa"/>
            <w:vAlign w:val="bottom"/>
          </w:tcPr>
          <w:p>
            <w:pPr>
              <w:ind w:left="40"/>
              <w:spacing w:after="0"/>
              <w:rPr>
                <w:sz w:val="20"/>
                <w:szCs w:val="20"/>
                <w:color w:val="auto"/>
              </w:rPr>
            </w:pPr>
            <w:r>
              <w:rPr>
                <w:rFonts w:ascii="Arial" w:cs="Arial" w:eastAsia="Arial" w:hAnsi="Arial"/>
                <w:sz w:val="11"/>
                <w:szCs w:val="11"/>
                <w:color w:val="auto"/>
              </w:rPr>
              <w:t>Richard S. Stoddart</w:t>
            </w:r>
          </w:p>
        </w:tc>
        <w:tc>
          <w:tcPr>
            <w:tcW w:w="1340" w:type="dxa"/>
            <w:vAlign w:val="bottom"/>
          </w:tcPr>
          <w:p>
            <w:pPr>
              <w:jc w:val="right"/>
              <w:ind w:right="106"/>
              <w:spacing w:after="0"/>
              <w:rPr>
                <w:sz w:val="20"/>
                <w:szCs w:val="20"/>
                <w:color w:val="auto"/>
              </w:rPr>
            </w:pPr>
            <w:r>
              <w:rPr>
                <w:rFonts w:ascii="Arial" w:cs="Arial" w:eastAsia="Arial" w:hAnsi="Arial"/>
                <w:sz w:val="11"/>
                <w:szCs w:val="11"/>
                <w:color w:val="auto"/>
              </w:rPr>
              <w:t>17,273</w:t>
            </w:r>
          </w:p>
        </w:tc>
        <w:tc>
          <w:tcPr>
            <w:tcW w:w="1000" w:type="dxa"/>
            <w:vAlign w:val="bottom"/>
          </w:tcPr>
          <w:p>
            <w:pPr>
              <w:jc w:val="right"/>
              <w:ind w:right="166"/>
              <w:spacing w:after="0"/>
              <w:rPr>
                <w:sz w:val="20"/>
                <w:szCs w:val="20"/>
                <w:color w:val="auto"/>
              </w:rPr>
            </w:pPr>
            <w:r>
              <w:rPr>
                <w:rFonts w:ascii="Arial" w:cs="Arial" w:eastAsia="Arial" w:hAnsi="Arial"/>
                <w:sz w:val="11"/>
                <w:szCs w:val="11"/>
                <w:color w:val="auto"/>
              </w:rPr>
              <w:t>14,697</w:t>
            </w:r>
          </w:p>
        </w:tc>
      </w:tr>
      <w:tr>
        <w:trPr>
          <w:trHeight w:val="67"/>
        </w:trPr>
        <w:tc>
          <w:tcPr>
            <w:tcW w:w="5000" w:type="dxa"/>
            <w:vAlign w:val="bottom"/>
            <w:tcBorders>
              <w:bottom w:val="single" w:sz="8" w:color="009BDE"/>
            </w:tcBorders>
          </w:tcPr>
          <w:p>
            <w:pPr>
              <w:spacing w:after="0"/>
              <w:rPr>
                <w:sz w:val="5"/>
                <w:szCs w:val="5"/>
                <w:color w:val="auto"/>
              </w:rPr>
            </w:pPr>
          </w:p>
        </w:tc>
        <w:tc>
          <w:tcPr>
            <w:tcW w:w="1340" w:type="dxa"/>
            <w:vAlign w:val="bottom"/>
            <w:tcBorders>
              <w:bottom w:val="single" w:sz="8" w:color="009BDE"/>
            </w:tcBorders>
          </w:tcPr>
          <w:p>
            <w:pPr>
              <w:spacing w:after="0"/>
              <w:rPr>
                <w:sz w:val="5"/>
                <w:szCs w:val="5"/>
                <w:color w:val="auto"/>
              </w:rPr>
            </w:pPr>
          </w:p>
        </w:tc>
        <w:tc>
          <w:tcPr>
            <w:tcW w:w="1000" w:type="dxa"/>
            <w:vAlign w:val="bottom"/>
            <w:tcBorders>
              <w:bottom w:val="single" w:sz="8" w:color="009BDE"/>
            </w:tcBorders>
          </w:tcPr>
          <w:p>
            <w:pPr>
              <w:spacing w:after="0"/>
              <w:rPr>
                <w:sz w:val="5"/>
                <w:szCs w:val="5"/>
                <w:color w:val="auto"/>
              </w:rPr>
            </w:pPr>
          </w:p>
        </w:tc>
      </w:tr>
      <w:tr>
        <w:trPr>
          <w:trHeight w:val="183"/>
        </w:trPr>
        <w:tc>
          <w:tcPr>
            <w:tcW w:w="5000" w:type="dxa"/>
            <w:vAlign w:val="bottom"/>
          </w:tcPr>
          <w:p>
            <w:pPr>
              <w:ind w:left="40"/>
              <w:spacing w:after="0"/>
              <w:rPr>
                <w:sz w:val="20"/>
                <w:szCs w:val="20"/>
                <w:color w:val="auto"/>
              </w:rPr>
            </w:pPr>
            <w:r>
              <w:rPr>
                <w:rFonts w:ascii="Arial" w:cs="Arial" w:eastAsia="Arial" w:hAnsi="Arial"/>
                <w:sz w:val="11"/>
                <w:szCs w:val="11"/>
                <w:color w:val="auto"/>
              </w:rPr>
              <w:t>Mary Beth West</w:t>
            </w:r>
          </w:p>
        </w:tc>
        <w:tc>
          <w:tcPr>
            <w:tcW w:w="1340" w:type="dxa"/>
            <w:vAlign w:val="bottom"/>
          </w:tcPr>
          <w:p>
            <w:pPr>
              <w:jc w:val="right"/>
              <w:ind w:right="106"/>
              <w:spacing w:after="0"/>
              <w:rPr>
                <w:sz w:val="20"/>
                <w:szCs w:val="20"/>
                <w:color w:val="auto"/>
              </w:rPr>
            </w:pPr>
            <w:r>
              <w:rPr>
                <w:rFonts w:ascii="Arial" w:cs="Arial" w:eastAsia="Arial" w:hAnsi="Arial"/>
                <w:sz w:val="11"/>
                <w:szCs w:val="11"/>
                <w:color w:val="auto"/>
              </w:rPr>
              <w:t>5,895</w:t>
            </w:r>
          </w:p>
        </w:tc>
        <w:tc>
          <w:tcPr>
            <w:tcW w:w="1000" w:type="dxa"/>
            <w:vAlign w:val="bottom"/>
          </w:tcPr>
          <w:p>
            <w:pPr>
              <w:jc w:val="right"/>
              <w:ind w:right="166"/>
              <w:spacing w:after="0"/>
              <w:rPr>
                <w:sz w:val="20"/>
                <w:szCs w:val="20"/>
                <w:color w:val="auto"/>
              </w:rPr>
            </w:pPr>
            <w:r>
              <w:rPr>
                <w:rFonts w:ascii="Arial" w:cs="Arial" w:eastAsia="Arial" w:hAnsi="Arial"/>
                <w:sz w:val="11"/>
                <w:szCs w:val="11"/>
                <w:color w:val="auto"/>
              </w:rPr>
              <w:t>0</w:t>
            </w:r>
          </w:p>
        </w:tc>
      </w:tr>
      <w:tr>
        <w:trPr>
          <w:trHeight w:val="67"/>
        </w:trPr>
        <w:tc>
          <w:tcPr>
            <w:tcW w:w="5000" w:type="dxa"/>
            <w:vAlign w:val="bottom"/>
            <w:tcBorders>
              <w:bottom w:val="single" w:sz="8" w:color="009BDE"/>
            </w:tcBorders>
          </w:tcPr>
          <w:p>
            <w:pPr>
              <w:spacing w:after="0"/>
              <w:rPr>
                <w:sz w:val="5"/>
                <w:szCs w:val="5"/>
                <w:color w:val="auto"/>
              </w:rPr>
            </w:pPr>
          </w:p>
        </w:tc>
        <w:tc>
          <w:tcPr>
            <w:tcW w:w="1340" w:type="dxa"/>
            <w:vAlign w:val="bottom"/>
            <w:tcBorders>
              <w:bottom w:val="single" w:sz="8" w:color="009BDE"/>
            </w:tcBorders>
          </w:tcPr>
          <w:p>
            <w:pPr>
              <w:spacing w:after="0"/>
              <w:rPr>
                <w:sz w:val="5"/>
                <w:szCs w:val="5"/>
                <w:color w:val="auto"/>
              </w:rPr>
            </w:pPr>
          </w:p>
        </w:tc>
        <w:tc>
          <w:tcPr>
            <w:tcW w:w="1000" w:type="dxa"/>
            <w:vAlign w:val="bottom"/>
            <w:tcBorders>
              <w:bottom w:val="single" w:sz="8" w:color="009BDE"/>
            </w:tcBorders>
          </w:tcPr>
          <w:p>
            <w:pPr>
              <w:spacing w:after="0"/>
              <w:rPr>
                <w:sz w:val="5"/>
                <w:szCs w:val="5"/>
                <w:color w:val="auto"/>
              </w:rPr>
            </w:pPr>
          </w:p>
        </w:tc>
      </w:tr>
      <w:tr>
        <w:trPr>
          <w:trHeight w:val="183"/>
        </w:trPr>
        <w:tc>
          <w:tcPr>
            <w:tcW w:w="5000" w:type="dxa"/>
            <w:vAlign w:val="bottom"/>
          </w:tcPr>
          <w:p>
            <w:pPr>
              <w:ind w:left="40"/>
              <w:spacing w:after="0"/>
              <w:rPr>
                <w:sz w:val="20"/>
                <w:szCs w:val="20"/>
                <w:color w:val="auto"/>
              </w:rPr>
            </w:pPr>
            <w:r>
              <w:rPr>
                <w:rFonts w:ascii="Arial" w:cs="Arial" w:eastAsia="Arial" w:hAnsi="Arial"/>
                <w:sz w:val="11"/>
                <w:szCs w:val="11"/>
                <w:color w:val="auto"/>
              </w:rPr>
              <w:t>Linda Zecher Higgins</w:t>
            </w:r>
          </w:p>
        </w:tc>
        <w:tc>
          <w:tcPr>
            <w:tcW w:w="1340" w:type="dxa"/>
            <w:vAlign w:val="bottom"/>
          </w:tcPr>
          <w:p>
            <w:pPr>
              <w:jc w:val="right"/>
              <w:ind w:right="106"/>
              <w:spacing w:after="0"/>
              <w:rPr>
                <w:sz w:val="20"/>
                <w:szCs w:val="20"/>
                <w:color w:val="auto"/>
              </w:rPr>
            </w:pPr>
            <w:r>
              <w:rPr>
                <w:rFonts w:ascii="Arial" w:cs="Arial" w:eastAsia="Arial" w:hAnsi="Arial"/>
                <w:sz w:val="11"/>
                <w:szCs w:val="11"/>
                <w:color w:val="auto"/>
              </w:rPr>
              <w:t>14,797</w:t>
            </w:r>
          </w:p>
        </w:tc>
        <w:tc>
          <w:tcPr>
            <w:tcW w:w="1000" w:type="dxa"/>
            <w:vAlign w:val="bottom"/>
          </w:tcPr>
          <w:p>
            <w:pPr>
              <w:jc w:val="right"/>
              <w:ind w:right="166"/>
              <w:spacing w:after="0"/>
              <w:rPr>
                <w:sz w:val="20"/>
                <w:szCs w:val="20"/>
                <w:color w:val="auto"/>
              </w:rPr>
            </w:pPr>
            <w:r>
              <w:rPr>
                <w:rFonts w:ascii="Arial" w:cs="Arial" w:eastAsia="Arial" w:hAnsi="Arial"/>
                <w:sz w:val="11"/>
                <w:szCs w:val="11"/>
                <w:color w:val="auto"/>
              </w:rPr>
              <w:t>8,961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42545</wp:posOffset>
            </wp:positionV>
            <wp:extent cx="4663440" cy="571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40" w:lineRule="exact"/>
        <w:rPr>
          <w:sz w:val="20"/>
          <w:szCs w:val="20"/>
          <w:color w:val="auto"/>
        </w:rPr>
      </w:pPr>
    </w:p>
    <w:p>
      <w:pPr>
        <w:ind w:left="2260" w:right="879"/>
        <w:spacing w:after="0" w:line="228" w:lineRule="auto"/>
        <w:rPr>
          <w:sz w:val="20"/>
          <w:szCs w:val="20"/>
          <w:color w:val="auto"/>
        </w:rPr>
      </w:pPr>
      <w:r>
        <w:rPr>
          <w:rFonts w:ascii="Arial" w:cs="Arial" w:eastAsia="Arial" w:hAnsi="Arial"/>
          <w:sz w:val="10"/>
          <w:szCs w:val="10"/>
          <w:color w:val="auto"/>
        </w:rPr>
        <w:t>The outstanding stock awards consist of the aggregate number of non-employee director stock grants that the director elected to defer the receipt of any such shares until his or her retirement from the Board. To the extent a director did not defer the stock award, it is not included in the table and the shares have already been issued to the director. Each director was given the option, prior to the beginning of the year of grant, to receive the shares subject to the upcoming annual grant either at the time of grant, or to defer receipt of the shares until the person retires from the Board.</w:t>
      </w:r>
    </w:p>
    <w:p>
      <w:pPr>
        <w:spacing w:after="0" w:line="76" w:lineRule="exact"/>
        <w:rPr>
          <w:sz w:val="20"/>
          <w:szCs w:val="20"/>
          <w:color w:val="auto"/>
        </w:rPr>
      </w:pPr>
    </w:p>
    <w:p>
      <w:pPr>
        <w:ind w:left="2260" w:right="879" w:hanging="288"/>
        <w:spacing w:after="0" w:line="228" w:lineRule="auto"/>
        <w:tabs>
          <w:tab w:leader="none" w:pos="2260" w:val="left"/>
        </w:tabs>
        <w:numPr>
          <w:ilvl w:val="0"/>
          <w:numId w:val="25"/>
        </w:numPr>
        <w:rPr>
          <w:rFonts w:ascii="Arial" w:cs="Arial" w:eastAsia="Arial" w:hAnsi="Arial"/>
          <w:sz w:val="10"/>
          <w:szCs w:val="10"/>
          <w:color w:val="auto"/>
        </w:rPr>
      </w:pPr>
      <w:r>
        <w:rPr>
          <w:rFonts w:ascii="Arial" w:cs="Arial" w:eastAsia="Arial" w:hAnsi="Arial"/>
          <w:sz w:val="10"/>
          <w:szCs w:val="10"/>
          <w:color w:val="auto"/>
        </w:rPr>
        <w:t>All Other Compensation reflects the Company’s matching charitable contribution of up to $5,000 per director per fiscal year. An aggregate of $10,000 was paid by the Company in fiscal 2022 in director matching contributions. All Other Compensation does not include interest and dividend equivalents earned on amounts deferred by directors under the Deferred Plan (defined and described below). These amounts are not required to be disclosed pursuant to SEC rules, as they are reflected in the value of the amounts at the time they are initially deferred and reported in this table. Therefore, such amounts have been excluded.</w:t>
      </w:r>
    </w:p>
    <w:p>
      <w:pPr>
        <w:spacing w:after="0" w:line="76" w:lineRule="exact"/>
        <w:rPr>
          <w:rFonts w:ascii="Arial" w:cs="Arial" w:eastAsia="Arial" w:hAnsi="Arial"/>
          <w:sz w:val="10"/>
          <w:szCs w:val="10"/>
          <w:color w:val="auto"/>
        </w:rPr>
      </w:pPr>
    </w:p>
    <w:p>
      <w:pPr>
        <w:ind w:left="2260" w:right="859" w:hanging="288"/>
        <w:spacing w:after="0" w:line="230" w:lineRule="auto"/>
        <w:tabs>
          <w:tab w:leader="none" w:pos="2260" w:val="left"/>
        </w:tabs>
        <w:numPr>
          <w:ilvl w:val="0"/>
          <w:numId w:val="25"/>
        </w:numPr>
        <w:rPr>
          <w:rFonts w:ascii="Arial" w:cs="Arial" w:eastAsia="Arial" w:hAnsi="Arial"/>
          <w:sz w:val="10"/>
          <w:szCs w:val="10"/>
          <w:color w:val="auto"/>
        </w:rPr>
      </w:pPr>
      <w:r>
        <w:rPr>
          <w:rFonts w:ascii="Arial" w:cs="Arial" w:eastAsia="Arial" w:hAnsi="Arial"/>
          <w:sz w:val="10"/>
          <w:szCs w:val="10"/>
          <w:color w:val="auto"/>
        </w:rPr>
        <w:t>The total amount provided in previous years included interest and dividend equivalents earned on amounts deferred by directors under the Deferred Plan (defined and described below). As described in footnote (d) above, these amounts are not required to be disclosed pursuant to SEC rules, as they are reflected in the value of the amounts at the time they are initially deferred and reported in this table. Therefore, such amounts have been excluded.</w:t>
      </w:r>
    </w:p>
    <w:p>
      <w:pPr>
        <w:spacing w:after="0" w:line="195"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Current Director Compensation Arrangements</w:t>
      </w:r>
    </w:p>
    <w:p>
      <w:pPr>
        <w:spacing w:after="0" w:line="84" w:lineRule="exact"/>
        <w:rPr>
          <w:sz w:val="20"/>
          <w:szCs w:val="20"/>
          <w:color w:val="auto"/>
        </w:rPr>
      </w:pPr>
    </w:p>
    <w:p>
      <w:pPr>
        <w:ind w:left="1980" w:right="1239"/>
        <w:spacing w:after="0" w:line="245" w:lineRule="auto"/>
        <w:rPr>
          <w:sz w:val="20"/>
          <w:szCs w:val="20"/>
          <w:color w:val="auto"/>
        </w:rPr>
      </w:pPr>
      <w:r>
        <w:rPr>
          <w:rFonts w:ascii="Arial" w:cs="Arial" w:eastAsia="Arial" w:hAnsi="Arial"/>
          <w:sz w:val="11"/>
          <w:szCs w:val="11"/>
          <w:color w:val="auto"/>
        </w:rPr>
        <w:t>In structuring the Company’s director compensation, the Nominating, Governance and Social Responsibility Committee seeks to attract and retain talented directors who will contribute significantly to the Company, fairly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57785</wp:posOffset>
            </wp:positionV>
            <wp:extent cx="3971925" cy="21717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8"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15</w:t>
      </w:r>
    </w:p>
    <w:p>
      <w:pPr>
        <w:sectPr>
          <w:pgSz w:w="11900" w:h="16838" w:orient="portrait"/>
          <w:cols w:equalWidth="0" w:num="1">
            <w:col w:w="10159"/>
          </w:cols>
          <w:pgMar w:left="300" w:top="372" w:right="1440"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jc w:val="both"/>
        <w:ind w:left="1980" w:right="1159"/>
        <w:spacing w:after="0" w:line="273" w:lineRule="auto"/>
        <w:rPr>
          <w:sz w:val="20"/>
          <w:szCs w:val="20"/>
          <w:color w:val="auto"/>
        </w:rPr>
      </w:pPr>
      <w:r>
        <w:rPr>
          <w:rFonts w:ascii="Arial" w:cs="Arial" w:eastAsia="Arial" w:hAnsi="Arial"/>
          <w:sz w:val="10"/>
          <w:szCs w:val="10"/>
          <w:color w:val="auto"/>
        </w:rPr>
        <w:t>compensate directors for their work on behalf of the Company and align the interests of directors with those of shareholders. As part of its review of director compensation, the Nominating, Governance and Social Responsibility Committee reviews external director compensation market studies to assure that director compensation is set at reasonable levels which are commensurate with those prevailing at other similar companies and that the structure of the Company’s non-employee director compensation programs is effective in attracting and retaining highly qualified directors.</w:t>
      </w:r>
    </w:p>
    <w:p>
      <w:pPr>
        <w:spacing w:after="0" w:line="80" w:lineRule="exact"/>
        <w:rPr>
          <w:sz w:val="20"/>
          <w:szCs w:val="20"/>
          <w:color w:val="auto"/>
        </w:rPr>
      </w:pPr>
    </w:p>
    <w:p>
      <w:pPr>
        <w:ind w:left="1980" w:right="959"/>
        <w:spacing w:after="0" w:line="245" w:lineRule="auto"/>
        <w:rPr>
          <w:sz w:val="20"/>
          <w:szCs w:val="20"/>
          <w:color w:val="auto"/>
        </w:rPr>
      </w:pPr>
      <w:r>
        <w:rPr>
          <w:rFonts w:ascii="Arial" w:cs="Arial" w:eastAsia="Arial" w:hAnsi="Arial"/>
          <w:sz w:val="11"/>
          <w:szCs w:val="11"/>
          <w:color w:val="auto"/>
        </w:rPr>
        <w:t>All members of the Board who are not otherwise employed by the Company (“non-employee directors”) receive annual cash retainers for service on the Board and its committees. Below is a summary of the cash retainers for service in 2022.</w:t>
      </w:r>
    </w:p>
    <w:p>
      <w:pPr>
        <w:spacing w:after="0" w:line="155" w:lineRule="exact"/>
        <w:rPr>
          <w:sz w:val="20"/>
          <w:szCs w:val="20"/>
          <w:color w:val="auto"/>
        </w:rPr>
      </w:pPr>
    </w:p>
    <w:tbl>
      <w:tblPr>
        <w:tblLayout w:type="fixed"/>
        <w:tblInd w:w="1980" w:type="dxa"/>
        <w:tblCellMar>
          <w:top w:w="0" w:type="dxa"/>
          <w:left w:w="0" w:type="dxa"/>
          <w:bottom w:w="0" w:type="dxa"/>
          <w:right w:w="0" w:type="dxa"/>
        </w:tblCellMar>
      </w:tblPr>
      <w:tr>
        <w:trPr>
          <w:trHeight w:val="176"/>
        </w:trPr>
        <w:tc>
          <w:tcPr>
            <w:tcW w:w="6400" w:type="dxa"/>
            <w:vAlign w:val="bottom"/>
            <w:shd w:val="clear" w:color="auto" w:fill="CCEBF8"/>
          </w:tcPr>
          <w:p>
            <w:pPr>
              <w:ind w:left="40"/>
              <w:spacing w:after="0"/>
              <w:rPr>
                <w:sz w:val="20"/>
                <w:szCs w:val="20"/>
                <w:color w:val="auto"/>
              </w:rPr>
            </w:pPr>
            <w:r>
              <w:rPr>
                <w:rFonts w:ascii="Arial" w:cs="Arial" w:eastAsia="Arial" w:hAnsi="Arial"/>
                <w:sz w:val="11"/>
                <w:szCs w:val="11"/>
                <w:b w:val="1"/>
                <w:bCs w:val="1"/>
                <w:color w:val="009BDE"/>
              </w:rPr>
              <w:t>Annual Retainers</w:t>
            </w:r>
          </w:p>
        </w:tc>
        <w:tc>
          <w:tcPr>
            <w:tcW w:w="940" w:type="dxa"/>
            <w:vAlign w:val="bottom"/>
            <w:gridSpan w:val="2"/>
            <w:shd w:val="clear" w:color="auto" w:fill="CCEBF8"/>
          </w:tcPr>
          <w:p>
            <w:pPr>
              <w:ind w:left="220"/>
              <w:spacing w:after="0"/>
              <w:rPr>
                <w:sz w:val="20"/>
                <w:szCs w:val="20"/>
                <w:color w:val="auto"/>
              </w:rPr>
            </w:pPr>
            <w:r>
              <w:rPr>
                <w:rFonts w:ascii="Arial" w:cs="Arial" w:eastAsia="Arial" w:hAnsi="Arial"/>
                <w:sz w:val="11"/>
                <w:szCs w:val="11"/>
                <w:b w:val="1"/>
                <w:bCs w:val="1"/>
                <w:color w:val="009BDE"/>
              </w:rPr>
              <w:t>Amount ($)</w:t>
            </w:r>
          </w:p>
        </w:tc>
      </w:tr>
      <w:tr>
        <w:trPr>
          <w:trHeight w:val="85"/>
        </w:trPr>
        <w:tc>
          <w:tcPr>
            <w:tcW w:w="6400" w:type="dxa"/>
            <w:vAlign w:val="bottom"/>
            <w:tcBorders>
              <w:bottom w:val="single" w:sz="8" w:color="009BDE"/>
            </w:tcBorders>
            <w:shd w:val="clear" w:color="auto" w:fill="CCEBF8"/>
          </w:tcPr>
          <w:p>
            <w:pPr>
              <w:spacing w:after="0"/>
              <w:rPr>
                <w:sz w:val="7"/>
                <w:szCs w:val="7"/>
                <w:color w:val="auto"/>
              </w:rPr>
            </w:pPr>
          </w:p>
        </w:tc>
        <w:tc>
          <w:tcPr>
            <w:tcW w:w="340" w:type="dxa"/>
            <w:vAlign w:val="bottom"/>
            <w:tcBorders>
              <w:bottom w:val="single" w:sz="8" w:color="009BDE"/>
            </w:tcBorders>
            <w:shd w:val="clear" w:color="auto" w:fill="CCEBF8"/>
          </w:tcPr>
          <w:p>
            <w:pPr>
              <w:spacing w:after="0"/>
              <w:rPr>
                <w:sz w:val="7"/>
                <w:szCs w:val="7"/>
                <w:color w:val="auto"/>
              </w:rPr>
            </w:pPr>
          </w:p>
        </w:tc>
        <w:tc>
          <w:tcPr>
            <w:tcW w:w="600" w:type="dxa"/>
            <w:vAlign w:val="bottom"/>
            <w:tcBorders>
              <w:bottom w:val="single" w:sz="8" w:color="009BDE"/>
            </w:tcBorders>
            <w:shd w:val="clear" w:color="auto" w:fill="CCEBF8"/>
          </w:tcPr>
          <w:p>
            <w:pPr>
              <w:spacing w:after="0"/>
              <w:rPr>
                <w:sz w:val="7"/>
                <w:szCs w:val="7"/>
                <w:color w:val="auto"/>
              </w:rPr>
            </w:pPr>
          </w:p>
        </w:tc>
      </w:tr>
      <w:tr>
        <w:trPr>
          <w:trHeight w:val="183"/>
        </w:trPr>
        <w:tc>
          <w:tcPr>
            <w:tcW w:w="6400" w:type="dxa"/>
            <w:vAlign w:val="bottom"/>
          </w:tcPr>
          <w:p>
            <w:pPr>
              <w:ind w:left="40"/>
              <w:spacing w:after="0"/>
              <w:rPr>
                <w:sz w:val="20"/>
                <w:szCs w:val="20"/>
                <w:color w:val="auto"/>
              </w:rPr>
            </w:pPr>
            <w:r>
              <w:rPr>
                <w:rFonts w:ascii="Arial" w:cs="Arial" w:eastAsia="Arial" w:hAnsi="Arial"/>
                <w:sz w:val="11"/>
                <w:szCs w:val="11"/>
                <w:color w:val="auto"/>
              </w:rPr>
              <w:t>Annual Base Board Retainer</w:t>
            </w:r>
          </w:p>
        </w:tc>
        <w:tc>
          <w:tcPr>
            <w:tcW w:w="340" w:type="dxa"/>
            <w:vAlign w:val="bottom"/>
          </w:tcPr>
          <w:p>
            <w:pPr>
              <w:ind w:lef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95,000</w:t>
            </w:r>
          </w:p>
        </w:tc>
      </w:tr>
      <w:tr>
        <w:trPr>
          <w:trHeight w:val="67"/>
        </w:trPr>
        <w:tc>
          <w:tcPr>
            <w:tcW w:w="64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r>
      <w:tr>
        <w:trPr>
          <w:trHeight w:val="183"/>
        </w:trPr>
        <w:tc>
          <w:tcPr>
            <w:tcW w:w="6400" w:type="dxa"/>
            <w:vAlign w:val="bottom"/>
          </w:tcPr>
          <w:p>
            <w:pPr>
              <w:ind w:left="40"/>
              <w:spacing w:after="0"/>
              <w:rPr>
                <w:sz w:val="20"/>
                <w:szCs w:val="20"/>
                <w:color w:val="auto"/>
              </w:rPr>
            </w:pPr>
            <w:r>
              <w:rPr>
                <w:rFonts w:ascii="Arial" w:cs="Arial" w:eastAsia="Arial" w:hAnsi="Arial"/>
                <w:sz w:val="11"/>
                <w:szCs w:val="11"/>
                <w:color w:val="auto"/>
              </w:rPr>
              <w:t>Annual Retainers (in addition to Annual Base Board Retainer)</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67"/>
        </w:trPr>
        <w:tc>
          <w:tcPr>
            <w:tcW w:w="64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r>
      <w:tr>
        <w:trPr>
          <w:trHeight w:val="183"/>
        </w:trPr>
        <w:tc>
          <w:tcPr>
            <w:tcW w:w="6400" w:type="dxa"/>
            <w:vAlign w:val="bottom"/>
          </w:tcPr>
          <w:p>
            <w:pPr>
              <w:ind w:left="80"/>
              <w:spacing w:after="0"/>
              <w:rPr>
                <w:sz w:val="20"/>
                <w:szCs w:val="20"/>
                <w:color w:val="auto"/>
              </w:rPr>
            </w:pPr>
            <w:r>
              <w:rPr>
                <w:rFonts w:ascii="Arial" w:cs="Arial" w:eastAsia="Arial" w:hAnsi="Arial"/>
                <w:sz w:val="11"/>
                <w:szCs w:val="11"/>
                <w:color w:val="auto"/>
              </w:rPr>
              <w:t>•  Chair of Board</w:t>
            </w:r>
          </w:p>
        </w:tc>
        <w:tc>
          <w:tcPr>
            <w:tcW w:w="340" w:type="dxa"/>
            <w:vAlign w:val="bottom"/>
          </w:tcPr>
          <w:p>
            <w:pPr>
              <w:ind w:lef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150,000</w:t>
            </w:r>
          </w:p>
        </w:tc>
      </w:tr>
      <w:tr>
        <w:trPr>
          <w:trHeight w:val="67"/>
        </w:trPr>
        <w:tc>
          <w:tcPr>
            <w:tcW w:w="64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r>
      <w:tr>
        <w:trPr>
          <w:trHeight w:val="183"/>
        </w:trPr>
        <w:tc>
          <w:tcPr>
            <w:tcW w:w="6400" w:type="dxa"/>
            <w:vAlign w:val="bottom"/>
          </w:tcPr>
          <w:p>
            <w:pPr>
              <w:ind w:left="80"/>
              <w:spacing w:after="0"/>
              <w:rPr>
                <w:sz w:val="20"/>
                <w:szCs w:val="20"/>
                <w:color w:val="auto"/>
              </w:rPr>
            </w:pPr>
            <w:r>
              <w:rPr>
                <w:rFonts w:ascii="Arial" w:cs="Arial" w:eastAsia="Arial" w:hAnsi="Arial"/>
                <w:sz w:val="11"/>
                <w:szCs w:val="11"/>
                <w:color w:val="auto"/>
              </w:rPr>
              <w:t>•  Chair of Audit Committee</w:t>
            </w:r>
          </w:p>
        </w:tc>
        <w:tc>
          <w:tcPr>
            <w:tcW w:w="340" w:type="dxa"/>
            <w:vAlign w:val="bottom"/>
          </w:tcPr>
          <w:p>
            <w:pPr>
              <w:ind w:lef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40,000</w:t>
            </w:r>
          </w:p>
        </w:tc>
      </w:tr>
      <w:tr>
        <w:trPr>
          <w:trHeight w:val="67"/>
        </w:trPr>
        <w:tc>
          <w:tcPr>
            <w:tcW w:w="64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r>
      <w:tr>
        <w:trPr>
          <w:trHeight w:val="183"/>
        </w:trPr>
        <w:tc>
          <w:tcPr>
            <w:tcW w:w="6400" w:type="dxa"/>
            <w:vAlign w:val="bottom"/>
          </w:tcPr>
          <w:p>
            <w:pPr>
              <w:ind w:left="80"/>
              <w:spacing w:after="0"/>
              <w:rPr>
                <w:sz w:val="20"/>
                <w:szCs w:val="20"/>
                <w:color w:val="auto"/>
              </w:rPr>
            </w:pPr>
            <w:r>
              <w:rPr>
                <w:rFonts w:ascii="Arial" w:cs="Arial" w:eastAsia="Arial" w:hAnsi="Arial"/>
                <w:sz w:val="11"/>
                <w:szCs w:val="11"/>
                <w:color w:val="auto"/>
              </w:rPr>
              <w:t>•  Chair of Compensation Committee</w:t>
            </w:r>
          </w:p>
        </w:tc>
        <w:tc>
          <w:tcPr>
            <w:tcW w:w="340" w:type="dxa"/>
            <w:vAlign w:val="bottom"/>
          </w:tcPr>
          <w:p>
            <w:pPr>
              <w:ind w:lef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35,000</w:t>
            </w:r>
          </w:p>
        </w:tc>
      </w:tr>
      <w:tr>
        <w:trPr>
          <w:trHeight w:val="67"/>
        </w:trPr>
        <w:tc>
          <w:tcPr>
            <w:tcW w:w="64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r>
      <w:tr>
        <w:trPr>
          <w:trHeight w:val="183"/>
        </w:trPr>
        <w:tc>
          <w:tcPr>
            <w:tcW w:w="6400" w:type="dxa"/>
            <w:vAlign w:val="bottom"/>
          </w:tcPr>
          <w:p>
            <w:pPr>
              <w:ind w:left="80"/>
              <w:spacing w:after="0"/>
              <w:rPr>
                <w:sz w:val="20"/>
                <w:szCs w:val="20"/>
                <w:color w:val="auto"/>
              </w:rPr>
            </w:pPr>
            <w:r>
              <w:rPr>
                <w:rFonts w:ascii="Arial" w:cs="Arial" w:eastAsia="Arial" w:hAnsi="Arial"/>
                <w:sz w:val="11"/>
                <w:szCs w:val="11"/>
                <w:color w:val="auto"/>
              </w:rPr>
              <w:t>•  Chair of Finance and Capital Allocation Committee</w:t>
            </w:r>
          </w:p>
        </w:tc>
        <w:tc>
          <w:tcPr>
            <w:tcW w:w="340" w:type="dxa"/>
            <w:vAlign w:val="bottom"/>
          </w:tcPr>
          <w:p>
            <w:pPr>
              <w:ind w:lef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30,000</w:t>
            </w:r>
          </w:p>
        </w:tc>
      </w:tr>
      <w:tr>
        <w:trPr>
          <w:trHeight w:val="67"/>
        </w:trPr>
        <w:tc>
          <w:tcPr>
            <w:tcW w:w="64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r>
      <w:tr>
        <w:trPr>
          <w:trHeight w:val="183"/>
        </w:trPr>
        <w:tc>
          <w:tcPr>
            <w:tcW w:w="6400" w:type="dxa"/>
            <w:vAlign w:val="bottom"/>
          </w:tcPr>
          <w:p>
            <w:pPr>
              <w:ind w:left="80"/>
              <w:spacing w:after="0"/>
              <w:rPr>
                <w:sz w:val="20"/>
                <w:szCs w:val="20"/>
                <w:color w:val="auto"/>
              </w:rPr>
            </w:pPr>
            <w:r>
              <w:rPr>
                <w:rFonts w:ascii="Arial" w:cs="Arial" w:eastAsia="Arial" w:hAnsi="Arial"/>
                <w:sz w:val="11"/>
                <w:szCs w:val="11"/>
                <w:color w:val="auto"/>
              </w:rPr>
              <w:t>•  Chair of Nominating, Governance and Social Responsibility Committee</w:t>
            </w:r>
          </w:p>
        </w:tc>
        <w:tc>
          <w:tcPr>
            <w:tcW w:w="340" w:type="dxa"/>
            <w:vAlign w:val="bottom"/>
          </w:tcPr>
          <w:p>
            <w:pPr>
              <w:ind w:lef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20,000</w:t>
            </w:r>
          </w:p>
        </w:tc>
      </w:tr>
      <w:tr>
        <w:trPr>
          <w:trHeight w:val="67"/>
        </w:trPr>
        <w:tc>
          <w:tcPr>
            <w:tcW w:w="64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r>
      <w:tr>
        <w:trPr>
          <w:trHeight w:val="183"/>
        </w:trPr>
        <w:tc>
          <w:tcPr>
            <w:tcW w:w="6400" w:type="dxa"/>
            <w:vAlign w:val="bottom"/>
          </w:tcPr>
          <w:p>
            <w:pPr>
              <w:ind w:left="80"/>
              <w:spacing w:after="0"/>
              <w:rPr>
                <w:sz w:val="20"/>
                <w:szCs w:val="20"/>
                <w:color w:val="auto"/>
              </w:rPr>
            </w:pPr>
            <w:r>
              <w:rPr>
                <w:rFonts w:ascii="Arial" w:cs="Arial" w:eastAsia="Arial" w:hAnsi="Arial"/>
                <w:sz w:val="11"/>
                <w:szCs w:val="11"/>
                <w:color w:val="auto"/>
              </w:rPr>
              <w:t>•  Chair of Cybersecurity and Data Privacy Committee</w:t>
            </w:r>
          </w:p>
        </w:tc>
        <w:tc>
          <w:tcPr>
            <w:tcW w:w="340" w:type="dxa"/>
            <w:vAlign w:val="bottom"/>
          </w:tcPr>
          <w:p>
            <w:pPr>
              <w:ind w:lef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20,000</w:t>
            </w:r>
          </w:p>
        </w:tc>
      </w:tr>
      <w:tr>
        <w:trPr>
          <w:trHeight w:val="67"/>
        </w:trPr>
        <w:tc>
          <w:tcPr>
            <w:tcW w:w="64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r>
      <w:tr>
        <w:trPr>
          <w:trHeight w:val="183"/>
        </w:trPr>
        <w:tc>
          <w:tcPr>
            <w:tcW w:w="6400" w:type="dxa"/>
            <w:vAlign w:val="bottom"/>
          </w:tcPr>
          <w:p>
            <w:pPr>
              <w:ind w:left="80"/>
              <w:spacing w:after="0"/>
              <w:rPr>
                <w:sz w:val="20"/>
                <w:szCs w:val="20"/>
                <w:color w:val="auto"/>
              </w:rPr>
            </w:pPr>
            <w:r>
              <w:rPr>
                <w:rFonts w:ascii="Arial" w:cs="Arial" w:eastAsia="Arial" w:hAnsi="Arial"/>
                <w:sz w:val="11"/>
                <w:szCs w:val="11"/>
                <w:color w:val="auto"/>
              </w:rPr>
              <w:t>•  Audit Committee Member (other than Chair)</w:t>
            </w:r>
          </w:p>
        </w:tc>
        <w:tc>
          <w:tcPr>
            <w:tcW w:w="340" w:type="dxa"/>
            <w:vAlign w:val="bottom"/>
          </w:tcPr>
          <w:p>
            <w:pPr>
              <w:ind w:lef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20,000</w:t>
            </w:r>
          </w:p>
        </w:tc>
      </w:tr>
      <w:tr>
        <w:trPr>
          <w:trHeight w:val="67"/>
        </w:trPr>
        <w:tc>
          <w:tcPr>
            <w:tcW w:w="64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r>
      <w:tr>
        <w:trPr>
          <w:trHeight w:val="183"/>
        </w:trPr>
        <w:tc>
          <w:tcPr>
            <w:tcW w:w="6400" w:type="dxa"/>
            <w:vAlign w:val="bottom"/>
          </w:tcPr>
          <w:p>
            <w:pPr>
              <w:ind w:left="80"/>
              <w:spacing w:after="0"/>
              <w:rPr>
                <w:sz w:val="20"/>
                <w:szCs w:val="20"/>
                <w:color w:val="auto"/>
              </w:rPr>
            </w:pPr>
            <w:r>
              <w:rPr>
                <w:rFonts w:ascii="Arial" w:cs="Arial" w:eastAsia="Arial" w:hAnsi="Arial"/>
                <w:sz w:val="11"/>
                <w:szCs w:val="11"/>
                <w:color w:val="auto"/>
              </w:rPr>
              <w:t>•  Compensation Committee Member (other than Chair)</w:t>
            </w:r>
          </w:p>
        </w:tc>
        <w:tc>
          <w:tcPr>
            <w:tcW w:w="340" w:type="dxa"/>
            <w:vAlign w:val="bottom"/>
          </w:tcPr>
          <w:p>
            <w:pPr>
              <w:ind w:lef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15,000</w:t>
            </w:r>
          </w:p>
        </w:tc>
      </w:tr>
      <w:tr>
        <w:trPr>
          <w:trHeight w:val="67"/>
        </w:trPr>
        <w:tc>
          <w:tcPr>
            <w:tcW w:w="64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r>
      <w:tr>
        <w:trPr>
          <w:trHeight w:val="183"/>
        </w:trPr>
        <w:tc>
          <w:tcPr>
            <w:tcW w:w="6400" w:type="dxa"/>
            <w:vAlign w:val="bottom"/>
          </w:tcPr>
          <w:p>
            <w:pPr>
              <w:ind w:left="80"/>
              <w:spacing w:after="0"/>
              <w:rPr>
                <w:sz w:val="20"/>
                <w:szCs w:val="20"/>
                <w:color w:val="auto"/>
              </w:rPr>
            </w:pPr>
            <w:r>
              <w:rPr>
                <w:rFonts w:ascii="Arial" w:cs="Arial" w:eastAsia="Arial" w:hAnsi="Arial"/>
                <w:sz w:val="11"/>
                <w:szCs w:val="11"/>
                <w:color w:val="auto"/>
              </w:rPr>
              <w:t>•  Finance and Capital Allocation Committee Member (other than Chair)</w:t>
            </w:r>
          </w:p>
        </w:tc>
        <w:tc>
          <w:tcPr>
            <w:tcW w:w="340" w:type="dxa"/>
            <w:vAlign w:val="bottom"/>
          </w:tcPr>
          <w:p>
            <w:pPr>
              <w:ind w:lef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12,500</w:t>
            </w:r>
          </w:p>
        </w:tc>
      </w:tr>
      <w:tr>
        <w:trPr>
          <w:trHeight w:val="67"/>
        </w:trPr>
        <w:tc>
          <w:tcPr>
            <w:tcW w:w="64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r>
      <w:tr>
        <w:trPr>
          <w:trHeight w:val="183"/>
        </w:trPr>
        <w:tc>
          <w:tcPr>
            <w:tcW w:w="6400" w:type="dxa"/>
            <w:vAlign w:val="bottom"/>
          </w:tcPr>
          <w:p>
            <w:pPr>
              <w:ind w:left="80"/>
              <w:spacing w:after="0"/>
              <w:rPr>
                <w:sz w:val="20"/>
                <w:szCs w:val="20"/>
                <w:color w:val="auto"/>
              </w:rPr>
            </w:pPr>
            <w:r>
              <w:rPr>
                <w:rFonts w:ascii="Arial" w:cs="Arial" w:eastAsia="Arial" w:hAnsi="Arial"/>
                <w:sz w:val="11"/>
                <w:szCs w:val="11"/>
                <w:color w:val="auto"/>
              </w:rPr>
              <w:t>•  Nominating, Governance and Social Responsibility Committee Member (other than Chair)</w:t>
            </w:r>
          </w:p>
        </w:tc>
        <w:tc>
          <w:tcPr>
            <w:tcW w:w="340" w:type="dxa"/>
            <w:vAlign w:val="bottom"/>
          </w:tcPr>
          <w:p>
            <w:pPr>
              <w:ind w:lef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12,500</w:t>
            </w:r>
          </w:p>
        </w:tc>
      </w:tr>
      <w:tr>
        <w:trPr>
          <w:trHeight w:val="67"/>
        </w:trPr>
        <w:tc>
          <w:tcPr>
            <w:tcW w:w="64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r>
      <w:tr>
        <w:trPr>
          <w:trHeight w:val="183"/>
        </w:trPr>
        <w:tc>
          <w:tcPr>
            <w:tcW w:w="6400" w:type="dxa"/>
            <w:vAlign w:val="bottom"/>
          </w:tcPr>
          <w:p>
            <w:pPr>
              <w:ind w:left="80"/>
              <w:spacing w:after="0"/>
              <w:rPr>
                <w:sz w:val="20"/>
                <w:szCs w:val="20"/>
                <w:color w:val="auto"/>
              </w:rPr>
            </w:pPr>
            <w:r>
              <w:rPr>
                <w:rFonts w:ascii="Arial" w:cs="Arial" w:eastAsia="Arial" w:hAnsi="Arial"/>
                <w:sz w:val="11"/>
                <w:szCs w:val="11"/>
                <w:color w:val="auto"/>
              </w:rPr>
              <w:t>•  Cybersecurity and Data Privacy Committee Member (other than Chair)</w:t>
            </w:r>
          </w:p>
        </w:tc>
        <w:tc>
          <w:tcPr>
            <w:tcW w:w="340" w:type="dxa"/>
            <w:vAlign w:val="bottom"/>
          </w:tcPr>
          <w:p>
            <w:pPr>
              <w:ind w:lef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12,500</w:t>
            </w:r>
          </w:p>
        </w:tc>
      </w:tr>
      <w:tr>
        <w:trPr>
          <w:trHeight w:val="67"/>
        </w:trPr>
        <w:tc>
          <w:tcPr>
            <w:tcW w:w="64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r>
      <w:tr>
        <w:trPr>
          <w:trHeight w:val="219"/>
        </w:trPr>
        <w:tc>
          <w:tcPr>
            <w:tcW w:w="6400" w:type="dxa"/>
            <w:vAlign w:val="bottom"/>
          </w:tcPr>
          <w:p>
            <w:pPr>
              <w:spacing w:after="0"/>
              <w:rPr>
                <w:sz w:val="20"/>
                <w:szCs w:val="20"/>
                <w:color w:val="auto"/>
              </w:rPr>
            </w:pPr>
            <w:r>
              <w:rPr>
                <w:rFonts w:ascii="Arial" w:cs="Arial" w:eastAsia="Arial" w:hAnsi="Arial"/>
                <w:sz w:val="11"/>
                <w:szCs w:val="11"/>
                <w:color w:val="auto"/>
              </w:rPr>
              <w:t>No meeting fees were paid for attendance at meetings of the full Board or committees.</w:t>
            </w: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86" w:lineRule="exact"/>
        <w:rPr>
          <w:sz w:val="20"/>
          <w:szCs w:val="20"/>
          <w:color w:val="auto"/>
        </w:rPr>
      </w:pPr>
    </w:p>
    <w:p>
      <w:pPr>
        <w:ind w:left="1980" w:right="879"/>
        <w:spacing w:after="0" w:line="239" w:lineRule="auto"/>
        <w:rPr>
          <w:sz w:val="20"/>
          <w:szCs w:val="20"/>
          <w:color w:val="auto"/>
        </w:rPr>
      </w:pPr>
      <w:r>
        <w:rPr>
          <w:rFonts w:ascii="Arial" w:cs="Arial" w:eastAsia="Arial" w:hAnsi="Arial"/>
          <w:sz w:val="11"/>
          <w:szCs w:val="11"/>
          <w:color w:val="auto"/>
        </w:rPr>
        <w:t>In May of every year, the Company anticipates issuing to each non-employee director that number of shares of Common Stock which have a set fair market value (based on the fair market value of the Common Stock on the date of grant). In fiscal 2022, the director stock grants had grant date fair market values of $175,000. These shares are immediately vested, but the Board has adopted stock ownership guidelines which mandate that Board members may not sell any shares of the Company’s Common Stock that they hold, including shares obtained as part of this yearly stock grant, until they own shares of Common Stock with an aggregate market value equal to at least $475,000 (which is equivalent to five times the annual Board retainer). Board members are permitted to sell shares of Common Stock they hold with a value in excess of $475,000, as long as they continue to hold at least $475,000 worth of Common Stock. Board members may defer receipt of these shares under the Restated 2003 Stock Incentive Performance Plan, as amended, until their separation of service. An amount equal to the dividends paid on the number of shares of Common Stock deferred is credited to each non-employee director’s stock unit account as of the end of the quarter in which the dividend was paid, and such amount is paid after separation of service.</w:t>
      </w:r>
    </w:p>
    <w:p>
      <w:pPr>
        <w:spacing w:after="0" w:line="99" w:lineRule="exact"/>
        <w:rPr>
          <w:sz w:val="20"/>
          <w:szCs w:val="20"/>
          <w:color w:val="auto"/>
        </w:rPr>
      </w:pPr>
    </w:p>
    <w:p>
      <w:pPr>
        <w:ind w:left="1980" w:right="939"/>
        <w:spacing w:after="0"/>
        <w:rPr>
          <w:sz w:val="20"/>
          <w:szCs w:val="20"/>
          <w:color w:val="auto"/>
        </w:rPr>
      </w:pPr>
      <w:r>
        <w:rPr>
          <w:rFonts w:ascii="Arial" w:cs="Arial" w:eastAsia="Arial" w:hAnsi="Arial"/>
          <w:sz w:val="11"/>
          <w:szCs w:val="11"/>
          <w:color w:val="auto"/>
        </w:rPr>
        <w:t>Pursuant to the Deferred Compensation Plan for non-employee directors (the “Deferred Plan”), which is unfunded, non-employee directors may defer some or all of the annual Board retainer and meeting fees into a stock unit account, the value of each unit initially being equal to the fair market value of one share of Common Stock as of the end of the quarter in which the compensation being deferred would otherwise be payable. Stock units increase or decrease in value based on the fair market value of the Common Stock. In addition, an amount equal to the dividends paid on an equivalent number of shares of Common Stock is credited to each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60325</wp:posOffset>
            </wp:positionV>
            <wp:extent cx="3971925" cy="21717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3"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16</w:t>
      </w:r>
    </w:p>
    <w:p>
      <w:pPr>
        <w:sectPr>
          <w:pgSz w:w="11900" w:h="16838" w:orient="portrait"/>
          <w:cols w:equalWidth="0" w:num="1">
            <w:col w:w="10159"/>
          </w:cols>
          <w:pgMar w:left="300" w:top="372" w:right="1440"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899"/>
        <w:spacing w:after="0" w:line="242" w:lineRule="auto"/>
        <w:rPr>
          <w:sz w:val="20"/>
          <w:szCs w:val="20"/>
          <w:color w:val="auto"/>
        </w:rPr>
      </w:pPr>
      <w:r>
        <w:rPr>
          <w:rFonts w:ascii="Arial" w:cs="Arial" w:eastAsia="Arial" w:hAnsi="Arial"/>
          <w:sz w:val="11"/>
          <w:szCs w:val="11"/>
          <w:color w:val="auto"/>
        </w:rPr>
        <w:t>stock unit account as of the end of the quarter in which the dividend was paid. The Company offers this program as a means for our directors to increase their economic exposure to the value of our stock without having to buy shares in the public market, which may not always be practicable as a result of blackout periods and other restrictions on trading in our securities.</w:t>
      </w:r>
    </w:p>
    <w:p>
      <w:pPr>
        <w:spacing w:after="0" w:line="94" w:lineRule="exact"/>
        <w:rPr>
          <w:sz w:val="20"/>
          <w:szCs w:val="20"/>
          <w:color w:val="auto"/>
        </w:rPr>
      </w:pPr>
    </w:p>
    <w:p>
      <w:pPr>
        <w:ind w:left="1980" w:right="1039"/>
        <w:spacing w:after="0" w:line="245" w:lineRule="auto"/>
        <w:rPr>
          <w:sz w:val="20"/>
          <w:szCs w:val="20"/>
          <w:color w:val="auto"/>
        </w:rPr>
      </w:pPr>
      <w:r>
        <w:rPr>
          <w:rFonts w:ascii="Arial" w:cs="Arial" w:eastAsia="Arial" w:hAnsi="Arial"/>
          <w:sz w:val="11"/>
          <w:szCs w:val="11"/>
          <w:color w:val="auto"/>
        </w:rPr>
        <w:t>Non-employee directors may also defer any portion of their retainer and/or meeting fees into an interest account under the Deferred Plan, which bears interest at the five-year treasury rate.</w:t>
      </w:r>
    </w:p>
    <w:p>
      <w:pPr>
        <w:spacing w:after="0" w:line="93" w:lineRule="exact"/>
        <w:rPr>
          <w:sz w:val="20"/>
          <w:szCs w:val="20"/>
          <w:color w:val="auto"/>
        </w:rPr>
      </w:pPr>
    </w:p>
    <w:p>
      <w:pPr>
        <w:jc w:val="both"/>
        <w:ind w:left="1980" w:right="899"/>
        <w:spacing w:after="0" w:line="210" w:lineRule="auto"/>
        <w:rPr>
          <w:sz w:val="20"/>
          <w:szCs w:val="20"/>
          <w:color w:val="auto"/>
        </w:rPr>
      </w:pPr>
      <w:r>
        <w:rPr>
          <w:rFonts w:ascii="Arial" w:cs="Arial" w:eastAsia="Arial" w:hAnsi="Arial"/>
          <w:sz w:val="10"/>
          <w:szCs w:val="10"/>
          <w:color w:val="auto"/>
        </w:rPr>
        <w:t>The Company makes a deemed matching contribution to a director’s stock unit account under the Deferred Plan equal to 10% of the amount deferred by the director into the stock unit account, with one-half of such Company contribution vesting on December 31</w:t>
      </w:r>
      <w:r>
        <w:rPr>
          <w:rFonts w:ascii="Arial" w:cs="Arial" w:eastAsia="Arial" w:hAnsi="Arial"/>
          <w:sz w:val="15"/>
          <w:szCs w:val="15"/>
          <w:color w:val="auto"/>
          <w:vertAlign w:val="superscript"/>
        </w:rPr>
        <w:t>st</w:t>
      </w:r>
      <w:r>
        <w:rPr>
          <w:rFonts w:ascii="Arial" w:cs="Arial" w:eastAsia="Arial" w:hAnsi="Arial"/>
          <w:sz w:val="10"/>
          <w:szCs w:val="10"/>
          <w:color w:val="auto"/>
        </w:rPr>
        <w:t xml:space="preserve"> of the calendar year in which the deferred compensation otherwise would have been paid and one-half on the next December 31</w:t>
      </w:r>
      <w:r>
        <w:rPr>
          <w:rFonts w:ascii="Arial" w:cs="Arial" w:eastAsia="Arial" w:hAnsi="Arial"/>
          <w:sz w:val="15"/>
          <w:szCs w:val="15"/>
          <w:color w:val="auto"/>
          <w:vertAlign w:val="superscript"/>
        </w:rPr>
        <w:t>st</w:t>
      </w:r>
      <w:r>
        <w:rPr>
          <w:rFonts w:ascii="Arial" w:cs="Arial" w:eastAsia="Arial" w:hAnsi="Arial"/>
          <w:sz w:val="10"/>
          <w:szCs w:val="10"/>
          <w:color w:val="auto"/>
        </w:rPr>
        <w:t>, provided that the participant remains a director on such vesting date. Unvested Company contributions will automatically vest on death, total disability or retirement by the director at or after age seventy-two.</w:t>
      </w:r>
    </w:p>
    <w:p>
      <w:pPr>
        <w:spacing w:after="0" w:line="1" w:lineRule="exact"/>
        <w:rPr>
          <w:sz w:val="20"/>
          <w:szCs w:val="20"/>
          <w:color w:val="auto"/>
        </w:rPr>
      </w:pPr>
    </w:p>
    <w:p>
      <w:pPr>
        <w:ind w:left="1980" w:right="879"/>
        <w:spacing w:after="0" w:line="242" w:lineRule="auto"/>
        <w:rPr>
          <w:sz w:val="20"/>
          <w:szCs w:val="20"/>
          <w:color w:val="auto"/>
        </w:rPr>
      </w:pPr>
      <w:r>
        <w:rPr>
          <w:rFonts w:ascii="Arial" w:cs="Arial" w:eastAsia="Arial" w:hAnsi="Arial"/>
          <w:sz w:val="11"/>
          <w:szCs w:val="11"/>
          <w:color w:val="auto"/>
        </w:rPr>
        <w:t>Compensation deferred under the Deferred Plan, whether in the stock unit account or the interest account, will be paid out in cash after termination of service as a director. Directors may elect that compensation so deferred be paid out in a lump sum or in up to ten annual installments, commencing either in the quarter following, or in the January following, the quarter in which service as a director terminates.</w:t>
      </w:r>
    </w:p>
    <w:p>
      <w:pPr>
        <w:spacing w:after="0" w:line="85" w:lineRule="exact"/>
        <w:rPr>
          <w:sz w:val="20"/>
          <w:szCs w:val="20"/>
          <w:color w:val="auto"/>
        </w:rPr>
      </w:pPr>
    </w:p>
    <w:p>
      <w:pPr>
        <w:ind w:left="1980" w:right="1139"/>
        <w:spacing w:after="0" w:line="245" w:lineRule="auto"/>
        <w:rPr>
          <w:sz w:val="20"/>
          <w:szCs w:val="20"/>
          <w:color w:val="auto"/>
        </w:rPr>
      </w:pPr>
      <w:r>
        <w:rPr>
          <w:rFonts w:ascii="Arial" w:cs="Arial" w:eastAsia="Arial" w:hAnsi="Arial"/>
          <w:sz w:val="11"/>
          <w:szCs w:val="11"/>
          <w:color w:val="auto"/>
        </w:rPr>
        <w:t>The Company also offers a matching gift program for its Board members pursuant to which the Company will match charitable contributions, up to a maximum yearly Company match of $5,000, made by Board members to qualifying non-profit organizations and academic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57785</wp:posOffset>
            </wp:positionV>
            <wp:extent cx="3971925" cy="21717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8"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17</w:t>
      </w:r>
    </w:p>
    <w:p>
      <w:pPr>
        <w:sectPr>
          <w:pgSz w:w="11900" w:h="16838" w:orient="portrait"/>
          <w:cols w:equalWidth="0" w:num="1">
            <w:col w:w="10159"/>
          </w:cols>
          <w:pgMar w:left="300" w:top="372" w:right="1440"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Governance of the Company</w:t>
      </w:r>
    </w:p>
    <w:p>
      <w:pPr>
        <w:spacing w:after="0" w:line="97" w:lineRule="exact"/>
        <w:rPr>
          <w:sz w:val="20"/>
          <w:szCs w:val="20"/>
          <w:color w:val="auto"/>
        </w:rPr>
      </w:pPr>
    </w:p>
    <w:p>
      <w:pPr>
        <w:ind w:left="1980" w:right="879"/>
        <w:spacing w:after="0" w:line="242" w:lineRule="auto"/>
        <w:rPr>
          <w:sz w:val="20"/>
          <w:szCs w:val="20"/>
          <w:color w:val="auto"/>
        </w:rPr>
      </w:pPr>
      <w:r>
        <w:rPr>
          <w:rFonts w:ascii="Arial" w:cs="Arial" w:eastAsia="Arial" w:hAnsi="Arial"/>
          <w:sz w:val="11"/>
          <w:szCs w:val="11"/>
          <w:color w:val="auto"/>
        </w:rPr>
        <w:t>Hasbro is committed to strong corporate governance, ethical conduct, sustainability and the accountability of the Board and Hasbro’s senior management team to the Company’s shareholders. We review our corporate governance principles and practices on a regular basis. Set forth below is a summary of our key governance principles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26860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3"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Code of Conduct</w:t>
      </w:r>
    </w:p>
    <w:p>
      <w:pPr>
        <w:spacing w:after="0" w:line="282" w:lineRule="exact"/>
        <w:rPr>
          <w:sz w:val="20"/>
          <w:szCs w:val="20"/>
          <w:color w:val="auto"/>
        </w:rPr>
      </w:pPr>
    </w:p>
    <w:p>
      <w:pPr>
        <w:ind w:left="1980" w:right="899"/>
        <w:spacing w:after="0"/>
        <w:rPr>
          <w:sz w:val="20"/>
          <w:szCs w:val="20"/>
          <w:color w:val="auto"/>
        </w:rPr>
      </w:pPr>
      <w:r>
        <w:rPr>
          <w:rFonts w:ascii="Arial" w:cs="Arial" w:eastAsia="Arial" w:hAnsi="Arial"/>
          <w:sz w:val="11"/>
          <w:szCs w:val="11"/>
          <w:color w:val="auto"/>
        </w:rPr>
        <w:t>Hasbro has a Code of Conduct which is applicable to all of the Company’s officers, employees and directors, including the Company’s Chief Executive Officer, Chief Financial Officer and Controller. The Code of Conduct addresses issues such as conflicts of interest, protection of confidential Company information, financial integrity, compliance with laws, rules and regulations, insider trading and proper public disclosure. Compliance with the Code of Conduct is mandatory for all Company officers, employees and directors. Any violation of the Code of Conduct can subject the person at issue to a range of sanctions, including dismissal.</w:t>
      </w:r>
    </w:p>
    <w:p>
      <w:pPr>
        <w:spacing w:after="0" w:line="142" w:lineRule="exact"/>
        <w:rPr>
          <w:sz w:val="20"/>
          <w:szCs w:val="20"/>
          <w:color w:val="auto"/>
        </w:rPr>
      </w:pPr>
    </w:p>
    <w:p>
      <w:pPr>
        <w:ind w:left="1980" w:right="879"/>
        <w:spacing w:after="0" w:line="270" w:lineRule="auto"/>
        <w:rPr>
          <w:sz w:val="20"/>
          <w:szCs w:val="20"/>
          <w:color w:val="auto"/>
        </w:rPr>
      </w:pPr>
      <w:r>
        <w:rPr>
          <w:rFonts w:ascii="Arial" w:cs="Arial" w:eastAsia="Arial" w:hAnsi="Arial"/>
          <w:sz w:val="10"/>
          <w:szCs w:val="10"/>
          <w:color w:val="auto"/>
        </w:rPr>
        <w:t>The Code of Conduct is available on Hasbro’s website at https://hasbro.gcs-web.com/corporate-governance. The contents of our website are not incorporated by reference into this Proxy Statement. Although the Company generally does not intend to provide waivers of, or amendments to, the Code of Conduct for its Chief Executive Officer, Chief Financial Officer, Controller, or any other officers, directors or employees, information concerning any waiver of, or amendment to, the Code of Conduct for the Chief Executive Officer, Chief Financial Officer, Controller, or any other executive officer or director of the Company, will be promptly disclosed on the Company’s website in the location where the Code of Conduct is posted.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142875</wp:posOffset>
            </wp:positionV>
            <wp:extent cx="4663440" cy="26860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5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Corporate Governance Principles</w:t>
      </w:r>
    </w:p>
    <w:p>
      <w:pPr>
        <w:spacing w:after="0" w:line="273" w:lineRule="exact"/>
        <w:rPr>
          <w:sz w:val="20"/>
          <w:szCs w:val="20"/>
          <w:color w:val="auto"/>
        </w:rPr>
      </w:pPr>
    </w:p>
    <w:p>
      <w:pPr>
        <w:ind w:left="1980" w:right="979"/>
        <w:spacing w:after="0" w:line="241" w:lineRule="auto"/>
        <w:rPr>
          <w:sz w:val="20"/>
          <w:szCs w:val="20"/>
          <w:color w:val="auto"/>
        </w:rPr>
      </w:pPr>
      <w:r>
        <w:rPr>
          <w:rFonts w:ascii="Arial" w:cs="Arial" w:eastAsia="Arial" w:hAnsi="Arial"/>
          <w:sz w:val="11"/>
          <w:szCs w:val="11"/>
          <w:color w:val="auto"/>
        </w:rPr>
        <w:t>Hasbro has adopted a set of Corporate Governance Principles which address qualifications for members of the Board of Directors, director responsibilities, director access to management and independent advisors, director compensation and many other matters related to the governance of the Company. The Corporate Governance Principles are available on Hasbro’s website at https://hasbro.gcs-web.com/corporate-governance. The contents of our website are not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151130</wp:posOffset>
            </wp:positionV>
            <wp:extent cx="4663440" cy="26860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3"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Director Independence</w:t>
      </w:r>
    </w:p>
    <w:p>
      <w:pPr>
        <w:spacing w:after="0" w:line="282" w:lineRule="exact"/>
        <w:rPr>
          <w:sz w:val="20"/>
          <w:szCs w:val="20"/>
          <w:color w:val="auto"/>
        </w:rPr>
      </w:pPr>
    </w:p>
    <w:p>
      <w:pPr>
        <w:ind w:left="1980" w:right="959"/>
        <w:spacing w:after="0"/>
        <w:rPr>
          <w:sz w:val="20"/>
          <w:szCs w:val="20"/>
          <w:color w:val="auto"/>
        </w:rPr>
      </w:pPr>
      <w:r>
        <w:rPr>
          <w:rFonts w:ascii="Arial" w:cs="Arial" w:eastAsia="Arial" w:hAnsi="Arial"/>
          <w:sz w:val="11"/>
          <w:szCs w:val="11"/>
          <w:color w:val="auto"/>
        </w:rPr>
        <w:t xml:space="preserve">Hasbro’s Board has adopted Independence Standards in accordance with Nasdaq’s corporate governance listing standards. The Independence Standards specify criteria used by the Board in making determinations with respect to the independence of its members and include strict guidelines for directors and their immediate family members with respect to past employment or affiliation with the Company or its independent auditor. The Independence Standards restrict commercial relationships between directors and the Company and include the consideration of other relationships with the Company, including charitable relationships, in making independence determinations. The Independence Standards are available on Hasbro’s website at https://hasbro.gcs-web.com/corporate-governance. A copy of the Independence Standards is also attached as </w:t>
      </w:r>
      <w:r>
        <w:rPr>
          <w:rFonts w:ascii="Arial" w:cs="Arial" w:eastAsia="Arial" w:hAnsi="Arial"/>
          <w:sz w:val="11"/>
          <w:szCs w:val="11"/>
          <w:i w:val="1"/>
          <w:iCs w:val="1"/>
          <w:u w:val="single" w:color="auto"/>
          <w:color w:val="auto"/>
        </w:rPr>
        <w:t>Appendix B</w:t>
      </w:r>
      <w:r>
        <w:rPr>
          <w:rFonts w:ascii="Arial" w:cs="Arial" w:eastAsia="Arial" w:hAnsi="Arial"/>
          <w:sz w:val="11"/>
          <w:szCs w:val="11"/>
          <w:color w:val="auto"/>
        </w:rPr>
        <w:t xml:space="preserve"> to this Proxy Statement.</w:t>
      </w:r>
    </w:p>
    <w:p>
      <w:pPr>
        <w:spacing w:after="0" w:line="96" w:lineRule="exact"/>
        <w:rPr>
          <w:sz w:val="20"/>
          <w:szCs w:val="20"/>
          <w:color w:val="auto"/>
        </w:rPr>
      </w:pPr>
    </w:p>
    <w:p>
      <w:pPr>
        <w:ind w:left="1980" w:right="879"/>
        <w:spacing w:after="0" w:line="241" w:lineRule="auto"/>
        <w:rPr>
          <w:sz w:val="20"/>
          <w:szCs w:val="20"/>
          <w:color w:val="auto"/>
        </w:rPr>
      </w:pPr>
      <w:r>
        <w:rPr>
          <w:rFonts w:ascii="Arial" w:cs="Arial" w:eastAsia="Arial" w:hAnsi="Arial"/>
          <w:sz w:val="11"/>
          <w:szCs w:val="11"/>
          <w:color w:val="auto"/>
        </w:rPr>
        <w:t>The Board has determined in accordance with our Independence Standards, that each of the following directors are independent and have no relationships which impact an independence determination under the Company’s Independence Standards: Kenneth A. Bronfin, Michael R. Burns, Hope F. Cochran, Lisa Gersh, Elizabeth Hamren, Blake Jorgensen, Tracy A. Leinbach, Edward M. Philip, Laurel J. Richie, Richard S. Stoddart, Mary Beth West and Linda Zecher Higgins.</w:t>
      </w:r>
    </w:p>
    <w:p>
      <w:pPr>
        <w:spacing w:after="0" w:line="86" w:lineRule="exact"/>
        <w:rPr>
          <w:sz w:val="20"/>
          <w:szCs w:val="20"/>
          <w:color w:val="auto"/>
        </w:rPr>
      </w:pPr>
    </w:p>
    <w:p>
      <w:pPr>
        <w:ind w:left="1980" w:right="839"/>
        <w:spacing w:after="0" w:line="241" w:lineRule="auto"/>
        <w:rPr>
          <w:sz w:val="20"/>
          <w:szCs w:val="20"/>
          <w:color w:val="auto"/>
        </w:rPr>
      </w:pPr>
      <w:r>
        <w:rPr>
          <w:rFonts w:ascii="Arial" w:cs="Arial" w:eastAsia="Arial" w:hAnsi="Arial"/>
          <w:sz w:val="11"/>
          <w:szCs w:val="11"/>
          <w:color w:val="auto"/>
        </w:rPr>
        <w:t>The only member of the Company’s Board who was determined not to be independent was Chris Cocks, the Company’s Chief Executive Officer. Under applicable Nasdaq rules, during the period of time in which Mr. Stoddart served as interim CEO, he was not deemed independent, but given his temporary tenure as interim CEO, has since been determined to be independent under applicable rules and standards. Therefore, of the eleven (11) Board nominees for director at the Annual Meeting, ten (10) are independent, with Mr. Cocks being the only non-independent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3971925" cy="21717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0"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18</w:t>
      </w:r>
    </w:p>
    <w:p>
      <w:pPr>
        <w:sectPr>
          <w:pgSz w:w="11900" w:h="16838" w:orient="portrait"/>
          <w:cols w:equalWidth="0" w:num="1">
            <w:col w:w="10159"/>
          </w:cols>
          <w:pgMar w:left="300" w:top="372" w:right="1440"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136525</wp:posOffset>
            </wp:positionV>
            <wp:extent cx="4663440" cy="26860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4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Board Leadership Structure</w:t>
      </w:r>
    </w:p>
    <w:p>
      <w:pPr>
        <w:spacing w:after="0" w:line="282" w:lineRule="exact"/>
        <w:rPr>
          <w:sz w:val="20"/>
          <w:szCs w:val="20"/>
          <w:color w:val="auto"/>
        </w:rPr>
      </w:pPr>
    </w:p>
    <w:p>
      <w:pPr>
        <w:ind w:left="1980" w:right="859"/>
        <w:spacing w:after="0" w:line="273" w:lineRule="auto"/>
        <w:rPr>
          <w:sz w:val="20"/>
          <w:szCs w:val="20"/>
          <w:color w:val="auto"/>
        </w:rPr>
      </w:pPr>
      <w:r>
        <w:rPr>
          <w:rFonts w:ascii="Arial" w:cs="Arial" w:eastAsia="Arial" w:hAnsi="Arial"/>
          <w:sz w:val="10"/>
          <w:szCs w:val="10"/>
          <w:color w:val="auto"/>
        </w:rPr>
        <w:t>We currently separate the role of Chair of the Board and CEO. The Chair of the Board is elected by the Board on an annual basis. Mr. Stoddart, the current Chair of the Board, was appointed in February 2022, simultaneous with the appointment of Chris Cocks as Chief Executive Officer. The Chairperson presides at all meetings of shareholders, chairs all meetings of the Board of Directors and attends all committee meetings. In addition, the Chairperson performs all duties which may be required by law and such other duties as specified by the Board. The Chairperson’s duties typically include:</w:t>
      </w:r>
    </w:p>
    <w:p>
      <w:pPr>
        <w:spacing w:after="0" w:line="62" w:lineRule="exact"/>
        <w:rPr>
          <w:sz w:val="20"/>
          <w:szCs w:val="20"/>
          <w:color w:val="auto"/>
        </w:rPr>
      </w:pPr>
    </w:p>
    <w:p>
      <w:pPr>
        <w:ind w:left="2120" w:right="1159" w:hanging="148"/>
        <w:spacing w:after="0" w:line="245" w:lineRule="auto"/>
        <w:tabs>
          <w:tab w:leader="none" w:pos="2120" w:val="left"/>
        </w:tabs>
        <w:numPr>
          <w:ilvl w:val="0"/>
          <w:numId w:val="26"/>
        </w:numPr>
        <w:rPr>
          <w:rFonts w:ascii="Arial" w:cs="Arial" w:eastAsia="Arial" w:hAnsi="Arial"/>
          <w:sz w:val="11"/>
          <w:szCs w:val="11"/>
          <w:color w:val="auto"/>
        </w:rPr>
      </w:pPr>
      <w:r>
        <w:rPr>
          <w:rFonts w:ascii="Arial" w:cs="Arial" w:eastAsia="Arial" w:hAnsi="Arial"/>
          <w:sz w:val="11"/>
          <w:szCs w:val="11"/>
          <w:color w:val="auto"/>
        </w:rPr>
        <w:t>working with the members of the Board and management to develop agendas and meeting schedules for Board and Committee meetings and to structure Board discussions around key strategic and other matters;</w:t>
      </w:r>
    </w:p>
    <w:p>
      <w:pPr>
        <w:spacing w:after="0" w:line="74" w:lineRule="exact"/>
        <w:rPr>
          <w:rFonts w:ascii="Arial" w:cs="Arial" w:eastAsia="Arial" w:hAnsi="Arial"/>
          <w:sz w:val="11"/>
          <w:szCs w:val="11"/>
          <w:color w:val="auto"/>
        </w:rPr>
      </w:pPr>
    </w:p>
    <w:p>
      <w:pPr>
        <w:ind w:left="2120" w:hanging="148"/>
        <w:spacing w:after="0"/>
        <w:tabs>
          <w:tab w:leader="none" w:pos="2120" w:val="left"/>
        </w:tabs>
        <w:numPr>
          <w:ilvl w:val="0"/>
          <w:numId w:val="26"/>
        </w:numPr>
        <w:rPr>
          <w:rFonts w:ascii="Arial" w:cs="Arial" w:eastAsia="Arial" w:hAnsi="Arial"/>
          <w:sz w:val="11"/>
          <w:szCs w:val="11"/>
          <w:color w:val="auto"/>
        </w:rPr>
      </w:pPr>
      <w:r>
        <w:rPr>
          <w:rFonts w:ascii="Arial" w:cs="Arial" w:eastAsia="Arial" w:hAnsi="Arial"/>
          <w:sz w:val="11"/>
          <w:szCs w:val="11"/>
          <w:color w:val="auto"/>
        </w:rPr>
        <w:t>assuring that there is sufficient time for Board discussion and that the perspectives of all Board members are heard and considered;</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26"/>
        </w:numPr>
        <w:rPr>
          <w:rFonts w:ascii="Arial" w:cs="Arial" w:eastAsia="Arial" w:hAnsi="Arial"/>
          <w:sz w:val="11"/>
          <w:szCs w:val="11"/>
          <w:color w:val="auto"/>
        </w:rPr>
      </w:pPr>
      <w:r>
        <w:rPr>
          <w:rFonts w:ascii="Arial" w:cs="Arial" w:eastAsia="Arial" w:hAnsi="Arial"/>
          <w:sz w:val="11"/>
          <w:szCs w:val="11"/>
          <w:color w:val="auto"/>
        </w:rPr>
        <w:t>reviewing and approving information and materials to be sent to the Board;</w:t>
      </w:r>
    </w:p>
    <w:p>
      <w:pPr>
        <w:spacing w:after="0" w:line="80" w:lineRule="exact"/>
        <w:rPr>
          <w:rFonts w:ascii="Arial" w:cs="Arial" w:eastAsia="Arial" w:hAnsi="Arial"/>
          <w:sz w:val="11"/>
          <w:szCs w:val="11"/>
          <w:color w:val="auto"/>
        </w:rPr>
      </w:pPr>
    </w:p>
    <w:p>
      <w:pPr>
        <w:ind w:left="2120" w:right="1199" w:hanging="148"/>
        <w:spacing w:after="0" w:line="245" w:lineRule="auto"/>
        <w:tabs>
          <w:tab w:leader="none" w:pos="2120" w:val="left"/>
        </w:tabs>
        <w:numPr>
          <w:ilvl w:val="0"/>
          <w:numId w:val="26"/>
        </w:numPr>
        <w:rPr>
          <w:rFonts w:ascii="Arial" w:cs="Arial" w:eastAsia="Arial" w:hAnsi="Arial"/>
          <w:sz w:val="11"/>
          <w:szCs w:val="11"/>
          <w:color w:val="auto"/>
        </w:rPr>
      </w:pPr>
      <w:r>
        <w:rPr>
          <w:rFonts w:ascii="Arial" w:cs="Arial" w:eastAsia="Arial" w:hAnsi="Arial"/>
          <w:sz w:val="11"/>
          <w:szCs w:val="11"/>
          <w:color w:val="auto"/>
        </w:rPr>
        <w:t>meeting and consulting with major shareholders when requested as part of the Company’s shareholder outreach programs and when otherwise requested by such shareholders;</w:t>
      </w:r>
    </w:p>
    <w:p>
      <w:pPr>
        <w:spacing w:after="0" w:line="74" w:lineRule="exact"/>
        <w:rPr>
          <w:rFonts w:ascii="Arial" w:cs="Arial" w:eastAsia="Arial" w:hAnsi="Arial"/>
          <w:sz w:val="11"/>
          <w:szCs w:val="11"/>
          <w:color w:val="auto"/>
        </w:rPr>
      </w:pPr>
    </w:p>
    <w:p>
      <w:pPr>
        <w:ind w:left="2120" w:right="1199" w:hanging="148"/>
        <w:spacing w:after="0" w:line="245" w:lineRule="auto"/>
        <w:tabs>
          <w:tab w:leader="none" w:pos="2120" w:val="left"/>
        </w:tabs>
        <w:numPr>
          <w:ilvl w:val="0"/>
          <w:numId w:val="26"/>
        </w:numPr>
        <w:rPr>
          <w:rFonts w:ascii="Arial" w:cs="Arial" w:eastAsia="Arial" w:hAnsi="Arial"/>
          <w:sz w:val="11"/>
          <w:szCs w:val="11"/>
          <w:color w:val="auto"/>
        </w:rPr>
      </w:pPr>
      <w:r>
        <w:rPr>
          <w:rFonts w:ascii="Arial" w:cs="Arial" w:eastAsia="Arial" w:hAnsi="Arial"/>
          <w:sz w:val="11"/>
          <w:szCs w:val="11"/>
          <w:color w:val="auto"/>
        </w:rPr>
        <w:t>regularly consulting with the Chair of the Nominating, Governance and Social Responsibility Committee and other Committee Chairs on matters related to corporate governance, Board performance and Board responsibilities; and</w:t>
      </w:r>
    </w:p>
    <w:p>
      <w:pPr>
        <w:spacing w:after="0" w:line="74" w:lineRule="exact"/>
        <w:rPr>
          <w:rFonts w:ascii="Arial" w:cs="Arial" w:eastAsia="Arial" w:hAnsi="Arial"/>
          <w:sz w:val="11"/>
          <w:szCs w:val="11"/>
          <w:color w:val="auto"/>
        </w:rPr>
      </w:pPr>
    </w:p>
    <w:p>
      <w:pPr>
        <w:ind w:left="2120" w:hanging="148"/>
        <w:spacing w:after="0"/>
        <w:tabs>
          <w:tab w:leader="none" w:pos="2120" w:val="left"/>
        </w:tabs>
        <w:numPr>
          <w:ilvl w:val="0"/>
          <w:numId w:val="26"/>
        </w:numPr>
        <w:rPr>
          <w:rFonts w:ascii="Arial" w:cs="Arial" w:eastAsia="Arial" w:hAnsi="Arial"/>
          <w:sz w:val="11"/>
          <w:szCs w:val="11"/>
          <w:color w:val="auto"/>
        </w:rPr>
      </w:pPr>
      <w:r>
        <w:rPr>
          <w:rFonts w:ascii="Arial" w:cs="Arial" w:eastAsia="Arial" w:hAnsi="Arial"/>
          <w:sz w:val="11"/>
          <w:szCs w:val="11"/>
          <w:color w:val="auto"/>
        </w:rPr>
        <w:t>facilitating the retention of outside advisors for the Board as needed.</w:t>
      </w:r>
    </w:p>
    <w:p>
      <w:pPr>
        <w:spacing w:after="0" w:line="99" w:lineRule="exact"/>
        <w:rPr>
          <w:sz w:val="20"/>
          <w:szCs w:val="20"/>
          <w:color w:val="auto"/>
        </w:rPr>
      </w:pPr>
    </w:p>
    <w:p>
      <w:pPr>
        <w:ind w:left="1980" w:right="1019"/>
        <w:spacing w:after="0" w:line="245" w:lineRule="auto"/>
        <w:rPr>
          <w:sz w:val="20"/>
          <w:szCs w:val="20"/>
          <w:color w:val="auto"/>
        </w:rPr>
      </w:pPr>
      <w:r>
        <w:rPr>
          <w:rFonts w:ascii="Arial" w:cs="Arial" w:eastAsia="Arial" w:hAnsi="Arial"/>
          <w:sz w:val="11"/>
          <w:szCs w:val="11"/>
          <w:color w:val="auto"/>
        </w:rPr>
        <w:t>If the Chairperson is not an independent director, the Board will appoint elect a Lead Independent Director with such duties as may be prescribed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149860</wp:posOffset>
            </wp:positionV>
            <wp:extent cx="4663440" cy="26860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1"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Vote Standard for Director Elections</w:t>
      </w:r>
    </w:p>
    <w:p>
      <w:pPr>
        <w:spacing w:after="0" w:line="273" w:lineRule="exact"/>
        <w:rPr>
          <w:sz w:val="20"/>
          <w:szCs w:val="20"/>
          <w:color w:val="auto"/>
        </w:rPr>
      </w:pPr>
    </w:p>
    <w:p>
      <w:pPr>
        <w:ind w:left="1980" w:right="1079"/>
        <w:spacing w:after="0" w:line="245" w:lineRule="auto"/>
        <w:rPr>
          <w:sz w:val="20"/>
          <w:szCs w:val="20"/>
          <w:color w:val="auto"/>
        </w:rPr>
      </w:pPr>
      <w:r>
        <w:rPr>
          <w:rFonts w:ascii="Arial" w:cs="Arial" w:eastAsia="Arial" w:hAnsi="Arial"/>
          <w:sz w:val="11"/>
          <w:szCs w:val="11"/>
          <w:color w:val="auto"/>
        </w:rPr>
        <w:t>The Company has a majority vote standard for the election of directors in uncontested director elections, coupled with a director resignation policy for those directors who do not receive a majority vote. A plurality vote standard applies to contested director elections.</w:t>
      </w:r>
    </w:p>
    <w:p>
      <w:pPr>
        <w:spacing w:after="0" w:line="93" w:lineRule="exact"/>
        <w:rPr>
          <w:sz w:val="20"/>
          <w:szCs w:val="20"/>
          <w:color w:val="auto"/>
        </w:rPr>
      </w:pPr>
    </w:p>
    <w:p>
      <w:pPr>
        <w:ind w:left="1980" w:right="899"/>
        <w:spacing w:after="0"/>
        <w:rPr>
          <w:sz w:val="20"/>
          <w:szCs w:val="20"/>
          <w:color w:val="auto"/>
        </w:rPr>
      </w:pPr>
      <w:r>
        <w:rPr>
          <w:rFonts w:ascii="Arial" w:cs="Arial" w:eastAsia="Arial" w:hAnsi="Arial"/>
          <w:sz w:val="11"/>
          <w:szCs w:val="11"/>
          <w:color w:val="auto"/>
        </w:rPr>
        <w:t>In an election of directors that is not a contested election (as defined below), when a quorum of shareholders entitled to vote is present, each nominee to be elected by shareholders shall be elected if the votes cast “FOR” such nominee exceed the votes cast “AGAINST” such nominee. In cases where as of the tenth (10th) day preceding the date on which the Company first mails its notice of meeting, for the meeting at which directors are being elected, the number of nominees for director exceeds the number of directors to be elected (referred to as a “contested election”), when a quorum of shareholders entitled to vote is present, each nominee to be elected by shareholders shall be elected by a plurality of the votes cast.</w:t>
      </w:r>
    </w:p>
    <w:p>
      <w:pPr>
        <w:spacing w:after="0" w:line="97" w:lineRule="exact"/>
        <w:rPr>
          <w:sz w:val="20"/>
          <w:szCs w:val="20"/>
          <w:color w:val="auto"/>
        </w:rPr>
      </w:pPr>
    </w:p>
    <w:p>
      <w:pPr>
        <w:ind w:left="1980" w:right="959"/>
        <w:spacing w:after="0"/>
        <w:rPr>
          <w:sz w:val="20"/>
          <w:szCs w:val="20"/>
          <w:color w:val="auto"/>
        </w:rPr>
      </w:pPr>
      <w:r>
        <w:rPr>
          <w:rFonts w:ascii="Arial" w:cs="Arial" w:eastAsia="Arial" w:hAnsi="Arial"/>
          <w:sz w:val="11"/>
          <w:szCs w:val="11"/>
          <w:color w:val="auto"/>
        </w:rPr>
        <w:t>In an election that is not a contested election, in order for an incumbent director to become a nominee for re-election to the Board, such person must submit an irrevocable resignation, contingent on both that person not receiving a “FOR” vote that exceeds the “AGAINST” vote cast and acceptance of that resignation by the Board in accordance with the policies and procedures of the Board adopted for such purpose. In the event an incumbent director fails to receive a “FOR” vote that exceeds the “AGAINST” vote in an election that is not a contested election, the Company’s Nominating, Governance and Social Responsibility Committee shall make a recommendation to the Board as to whether to accept or reject the resignation of such incumbent director.</w:t>
      </w:r>
    </w:p>
    <w:p>
      <w:pPr>
        <w:spacing w:after="0" w:line="87" w:lineRule="exact"/>
        <w:rPr>
          <w:sz w:val="20"/>
          <w:szCs w:val="20"/>
          <w:color w:val="auto"/>
        </w:rPr>
      </w:pPr>
    </w:p>
    <w:p>
      <w:pPr>
        <w:ind w:left="1980" w:right="839"/>
        <w:spacing w:after="0"/>
        <w:rPr>
          <w:sz w:val="20"/>
          <w:szCs w:val="20"/>
          <w:color w:val="auto"/>
        </w:rPr>
      </w:pPr>
      <w:r>
        <w:rPr>
          <w:rFonts w:ascii="Arial" w:cs="Arial" w:eastAsia="Arial" w:hAnsi="Arial"/>
          <w:sz w:val="11"/>
          <w:szCs w:val="11"/>
          <w:color w:val="auto"/>
        </w:rPr>
        <w:t>The Board shall act on the resignation, taking into account the recommendation of the Nominating, Governance and Social Responsibility Committee, and publicly disclose (by filing an appropriate disclosure with the SEC) its decision regarding the resignation and, if such resignation is rejected, the rationale for that decision, within sixty (60) days following the final certification of the vote at which the election was held. The Nominating, Governance and Social Responsibility Committee in making its recommendation, and the Board in making its decision, may each consider all factors and information that they consider relevant and appropriate. Both the Nominating, Governance and Social Responsibility Committee, in making their recommendation, and the Board in making its decision, with respect to any given nominee who has not received the requisite vote in an election that is not a contested election, will act without the participation of the nominee in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3971925" cy="21717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19</w:t>
      </w:r>
    </w:p>
    <w:p>
      <w:pPr>
        <w:sectPr>
          <w:pgSz w:w="11900" w:h="16838" w:orient="portrait"/>
          <w:cols w:equalWidth="0" w:num="1">
            <w:col w:w="10159"/>
          </w:cols>
          <w:pgMar w:left="300" w:top="372" w:right="1440"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136525</wp:posOffset>
            </wp:positionV>
            <wp:extent cx="4663440" cy="26860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4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Director Outside Board Service</w:t>
      </w:r>
    </w:p>
    <w:p>
      <w:pPr>
        <w:spacing w:after="0" w:line="282" w:lineRule="exact"/>
        <w:rPr>
          <w:sz w:val="20"/>
          <w:szCs w:val="20"/>
          <w:color w:val="auto"/>
        </w:rPr>
      </w:pPr>
    </w:p>
    <w:p>
      <w:pPr>
        <w:ind w:left="1980" w:right="839"/>
        <w:spacing w:after="0"/>
        <w:rPr>
          <w:sz w:val="20"/>
          <w:szCs w:val="20"/>
          <w:color w:val="auto"/>
        </w:rPr>
      </w:pPr>
      <w:r>
        <w:rPr>
          <w:rFonts w:ascii="Arial" w:cs="Arial" w:eastAsia="Arial" w:hAnsi="Arial"/>
          <w:sz w:val="11"/>
          <w:szCs w:val="11"/>
          <w:color w:val="auto"/>
        </w:rPr>
        <w:t>The Company has a policy providing that Board members may not serve on the boards of directors of more than a total of four public companies (including the Company’s Board) and/or registered investment fund families. If the director is also a sitting chief executive officer of a public company, the director may not serve on more than one other public company board or registered investment fund family board, in addition to the Company’s Board. Any director whose service on boards exceeds the limits as a result of a private company becoming public, is given up to twelve (12) months to comply with this policy.</w:t>
      </w:r>
    </w:p>
    <w:p>
      <w:pPr>
        <w:spacing w:after="0" w:line="97" w:lineRule="exact"/>
        <w:rPr>
          <w:sz w:val="20"/>
          <w:szCs w:val="20"/>
          <w:color w:val="auto"/>
        </w:rPr>
      </w:pPr>
    </w:p>
    <w:p>
      <w:pPr>
        <w:ind w:left="1980" w:right="979"/>
        <w:spacing w:after="0" w:line="242" w:lineRule="auto"/>
        <w:rPr>
          <w:sz w:val="20"/>
          <w:szCs w:val="20"/>
          <w:color w:val="auto"/>
        </w:rPr>
      </w:pPr>
      <w:r>
        <w:rPr>
          <w:rFonts w:ascii="Arial" w:cs="Arial" w:eastAsia="Arial" w:hAnsi="Arial"/>
          <w:sz w:val="11"/>
          <w:szCs w:val="11"/>
          <w:color w:val="auto"/>
        </w:rPr>
        <w:t>The Board does not have a policy setting rigid limits on the number of audit committees on which a member of the Company’s Audit Committee can serve. Instead, in cases where an Audit Committee member serves on more than three public company audit committees, the Board evaluates whether such simultaneous service would impair the service of such member on the Company’s Audit Committee.</w:t>
      </w:r>
    </w:p>
    <w:p>
      <w:pPr>
        <w:spacing w:after="0" w:line="85" w:lineRule="exact"/>
        <w:rPr>
          <w:sz w:val="20"/>
          <w:szCs w:val="20"/>
          <w:color w:val="auto"/>
        </w:rPr>
      </w:pPr>
    </w:p>
    <w:p>
      <w:pPr>
        <w:ind w:left="1980" w:right="859"/>
        <w:spacing w:after="0"/>
        <w:rPr>
          <w:sz w:val="20"/>
          <w:szCs w:val="20"/>
          <w:color w:val="auto"/>
        </w:rPr>
      </w:pPr>
      <w:r>
        <w:rPr>
          <w:rFonts w:ascii="Arial" w:cs="Arial" w:eastAsia="Arial" w:hAnsi="Arial"/>
          <w:sz w:val="11"/>
          <w:szCs w:val="11"/>
          <w:color w:val="auto"/>
        </w:rPr>
        <w:t>Before accepting a seat on the board of another public company, the director is required to notify the Chair of Nominating, Governance and Social Responsibility Committee to avoid potential conflicts of interest, as well as to assist in the determination of whether the aggregate number of directorships and attendant responsibilities held by a director would interfere with such director’s ability to properly discharge his or her duties to the Company. The Chair and committee review the request and determine compliance with the Company’s overboarding policy. Additionally, as part of the nomination process for board members, the Nominating, Governance and Social Responsibility Committee reviews the director’s annual questionnaire, including independence, and outside board responsibilities and time commitments. Each of the Company’s Board nominees is in compliance with the outside board service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151130</wp:posOffset>
            </wp:positionV>
            <wp:extent cx="4663440" cy="26860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4"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Director Orientation and Continuing Education</w:t>
      </w:r>
    </w:p>
    <w:p>
      <w:pPr>
        <w:spacing w:after="0" w:line="282" w:lineRule="exact"/>
        <w:rPr>
          <w:sz w:val="20"/>
          <w:szCs w:val="20"/>
          <w:color w:val="auto"/>
        </w:rPr>
      </w:pPr>
    </w:p>
    <w:p>
      <w:pPr>
        <w:ind w:left="1980" w:right="879"/>
        <w:spacing w:after="0" w:line="241" w:lineRule="auto"/>
        <w:rPr>
          <w:sz w:val="20"/>
          <w:szCs w:val="20"/>
          <w:color w:val="auto"/>
        </w:rPr>
      </w:pPr>
      <w:r>
        <w:rPr>
          <w:rFonts w:ascii="Arial" w:cs="Arial" w:eastAsia="Arial" w:hAnsi="Arial"/>
          <w:sz w:val="11"/>
          <w:szCs w:val="11"/>
          <w:color w:val="auto"/>
        </w:rPr>
        <w:t>New directors receive an orientation to assist them in their roles as Board and committee members. Orientation includes subjects such as board governance and operation, Company history, strategic plans, business operations, financial position and legal and regulatory environment. Management also provides information on an ongoing basis to assure that Board members are aware of the business, legal and other developments necessary to fulfill their role. We also make available outside educational opportunities as the Board deems relevant and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151130</wp:posOffset>
            </wp:positionV>
            <wp:extent cx="4663440" cy="26860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3"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Annual Evaluation for the Board and Board Committees</w:t>
      </w:r>
    </w:p>
    <w:p>
      <w:pPr>
        <w:spacing w:after="0" w:line="282" w:lineRule="exact"/>
        <w:rPr>
          <w:sz w:val="20"/>
          <w:szCs w:val="20"/>
          <w:color w:val="auto"/>
        </w:rPr>
      </w:pPr>
    </w:p>
    <w:p>
      <w:pPr>
        <w:ind w:left="1980" w:right="939"/>
        <w:spacing w:after="0"/>
        <w:rPr>
          <w:sz w:val="20"/>
          <w:szCs w:val="20"/>
          <w:color w:val="auto"/>
        </w:rPr>
      </w:pPr>
      <w:r>
        <w:rPr>
          <w:rFonts w:ascii="Arial" w:cs="Arial" w:eastAsia="Arial" w:hAnsi="Arial"/>
          <w:sz w:val="11"/>
          <w:szCs w:val="11"/>
          <w:color w:val="auto"/>
        </w:rPr>
        <w:t>Every year the entire Board, as well as each of the committees of the Board, conduct a self-evaluation process. This process includes each director and each committee member submitting confidential feedback on the performance of the Board, as well as on the performance of each committee on which they serve. The feedback is then collected and reviewed and discussed by the applicable committees, as well as the entire Board of Directors. This feedback informs changes the Board and the committees consider making to their processes and areas of review for the next year. There is an independent external review process that is conducted periodically, in addition to our annual board and committee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151765</wp:posOffset>
            </wp:positionV>
            <wp:extent cx="4663440" cy="26860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5"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Board Tenure</w:t>
      </w:r>
    </w:p>
    <w:p>
      <w:pPr>
        <w:spacing w:after="0" w:line="273" w:lineRule="exact"/>
        <w:rPr>
          <w:sz w:val="20"/>
          <w:szCs w:val="20"/>
          <w:color w:val="auto"/>
        </w:rPr>
      </w:pPr>
    </w:p>
    <w:p>
      <w:pPr>
        <w:ind w:left="1980" w:right="979"/>
        <w:spacing w:after="0"/>
        <w:rPr>
          <w:sz w:val="20"/>
          <w:szCs w:val="20"/>
          <w:color w:val="auto"/>
        </w:rPr>
      </w:pPr>
      <w:r>
        <w:rPr>
          <w:rFonts w:ascii="Arial" w:cs="Arial" w:eastAsia="Arial" w:hAnsi="Arial"/>
          <w:sz w:val="11"/>
          <w:szCs w:val="11"/>
          <w:color w:val="auto"/>
        </w:rPr>
        <w:t>Although the Company does not have a formal policy with respect to Board tenure, the Board does seek to keep a balance of tenures to provide continuity of understanding of the business, long-term succession planning, corporate governance best practices and meaningful onboarding of new directors, including educating new directors with respect to the Company’s business, while also providing for new perspectives brought to bear by new Board members. The Board generally targets a mix of tenures in which roughly one-third of the Board members have been on the Board for a relatively short period of time, one-third for a medium period of time, and one-third for a longer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60325</wp:posOffset>
            </wp:positionV>
            <wp:extent cx="3971925" cy="21717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2"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20</w:t>
      </w:r>
    </w:p>
    <w:p>
      <w:pPr>
        <w:sectPr>
          <w:pgSz w:w="11900" w:h="16838" w:orient="portrait"/>
          <w:cols w:equalWidth="0" w:num="1">
            <w:col w:w="10159"/>
          </w:cols>
          <w:pgMar w:left="300" w:top="372" w:right="1440"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919"/>
        <w:spacing w:after="0"/>
        <w:rPr>
          <w:sz w:val="20"/>
          <w:szCs w:val="20"/>
          <w:color w:val="auto"/>
        </w:rPr>
      </w:pPr>
      <w:r>
        <w:rPr>
          <w:rFonts w:ascii="Arial" w:cs="Arial" w:eastAsia="Arial" w:hAnsi="Arial"/>
          <w:sz w:val="11"/>
          <w:szCs w:val="11"/>
          <w:color w:val="auto"/>
        </w:rPr>
        <w:t>period of time. Although that is a general target, the composition of Board tenures may vary over time for many factors, including the availability of appropriate director candidates or the importance of continuity during leadership transitions, such as the appointment of a new CEO. In 2022, we announced that Mr. Bronfin and Mr. Philip, our two longest-tenured directors, would not stand for re-election at the Annual Meeting, accelerating our previously stated intention to reduce the size our Board from thirteen (13) to eleven (11) by our 2024 Annual Meeting of Shareholders. Accordingly, as of our Annual Meeting the size of the Board will be eleven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151765</wp:posOffset>
            </wp:positionV>
            <wp:extent cx="4663440" cy="26860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5"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Proxy Access</w:t>
      </w:r>
    </w:p>
    <w:p>
      <w:pPr>
        <w:spacing w:after="0" w:line="282"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We have adopted a “proxy access” procedure in our By-Laws. Our proxy access bylaw allows a shareholder or a group of up to 20 shareholders, that has maintained continuous ownership of at least 3% of the voting power of the Company’s outstanding voting stock for at least 3 years, to include nominees for election to the Board of Directors in the Company’s proxy statement. Subject to compliance with the requirements of the proxy access By-Law provisions, the shareholder or group of shareholders may include director nominees for up to the greater of (i) 20% of the Board, rounded down to the nearest whole number, or (ii) 2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100330</wp:posOffset>
            </wp:positionV>
            <wp:extent cx="4663440" cy="26860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184"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Share Retention Requirements</w:t>
      </w:r>
    </w:p>
    <w:p>
      <w:pPr>
        <w:spacing w:after="0" w:line="282" w:lineRule="exact"/>
        <w:rPr>
          <w:sz w:val="20"/>
          <w:szCs w:val="20"/>
          <w:color w:val="auto"/>
        </w:rPr>
      </w:pPr>
    </w:p>
    <w:p>
      <w:pPr>
        <w:ind w:left="1980" w:right="879"/>
        <w:spacing w:after="0" w:line="239" w:lineRule="auto"/>
        <w:rPr>
          <w:sz w:val="20"/>
          <w:szCs w:val="20"/>
          <w:color w:val="auto"/>
        </w:rPr>
      </w:pPr>
      <w:r>
        <w:rPr>
          <w:rFonts w:ascii="Arial" w:cs="Arial" w:eastAsia="Arial" w:hAnsi="Arial"/>
          <w:sz w:val="11"/>
          <w:szCs w:val="11"/>
          <w:color w:val="auto"/>
        </w:rPr>
        <w:t>The Company has share ownership guidelines which apply to all officers and employees at or above the Senior Vice President level and establish target share ownership levels which executives are expected to achieve over a five-year period and then maintain, absent extenuating circumstances. The Company also requires employees at those levels to retain a portion of any net shares realized from stock vesting or option exercises during the five-year period an executive has to achieve their stock ownership requirement until the executive’s ownership requirement level is satisfied. Until the applicable ownership level is achieved, the executive is required to retain an amount equal to at least 50% of the net shares received as a result of the exercise, vesting or payment of any equity awards granted to the executive following such executive becoming subject to the policy. Once the required stock ownership level is achieved, the executive is required to maintain the stock ownership level for as long as the executive is employed by the Company and is subject to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153670</wp:posOffset>
            </wp:positionV>
            <wp:extent cx="4663440" cy="26860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8"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FFFFFF"/>
        </w:rPr>
        <w:t>Equity Awards Subject to Double Trigger Following a Change in Control</w:t>
      </w:r>
    </w:p>
    <w:p>
      <w:pPr>
        <w:spacing w:after="0" w:line="273" w:lineRule="exact"/>
        <w:rPr>
          <w:sz w:val="20"/>
          <w:szCs w:val="20"/>
          <w:color w:val="auto"/>
        </w:rPr>
      </w:pPr>
    </w:p>
    <w:p>
      <w:pPr>
        <w:ind w:left="1980" w:right="999"/>
        <w:spacing w:after="0" w:line="242" w:lineRule="auto"/>
        <w:rPr>
          <w:sz w:val="20"/>
          <w:szCs w:val="20"/>
          <w:color w:val="auto"/>
        </w:rPr>
      </w:pPr>
      <w:r>
        <w:rPr>
          <w:rFonts w:ascii="Arial" w:cs="Arial" w:eastAsia="Arial" w:hAnsi="Arial"/>
          <w:sz w:val="11"/>
          <w:szCs w:val="11"/>
          <w:color w:val="auto"/>
        </w:rPr>
        <w:t>Under the Company’s Restated 2003 Stock Incentive Performance Plan, as amended, all awards are subject to a double trigger change in control provision. This means that rather than vesting automatically upon a change in control of the Company, such awards will only vest following a change in control if the award recipient’s employment with the Company is terminated under specified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26860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3"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Clawback Policy</w:t>
      </w:r>
    </w:p>
    <w:p>
      <w:pPr>
        <w:spacing w:after="0" w:line="282" w:lineRule="exact"/>
        <w:rPr>
          <w:sz w:val="20"/>
          <w:szCs w:val="20"/>
          <w:color w:val="auto"/>
        </w:rPr>
      </w:pPr>
    </w:p>
    <w:p>
      <w:pPr>
        <w:ind w:left="1980" w:right="879"/>
        <w:spacing w:after="0" w:line="239" w:lineRule="auto"/>
        <w:rPr>
          <w:sz w:val="20"/>
          <w:szCs w:val="20"/>
          <w:color w:val="auto"/>
        </w:rPr>
      </w:pPr>
      <w:r>
        <w:rPr>
          <w:rFonts w:ascii="Arial" w:cs="Arial" w:eastAsia="Arial" w:hAnsi="Arial"/>
          <w:sz w:val="11"/>
          <w:szCs w:val="11"/>
          <w:color w:val="auto"/>
        </w:rPr>
        <w:t>Under the Board-approved Clawback Policy, all equity and non-equity incentive plan compensation granted by the Company in 2013 and thereafter is subject to this Clawback Policy. The policy provides that if an accounting restatement is required due to the Company’s material non-compliance with any accounting requirements, then the Company will use reasonable efforts to recover from all of the Company’s executive officers, regardless of whether they were at fault or not in the circumstances leading to the restatement, any excess in the incentive compensation they earned over the prior three years over what they would have earned if there had not been a material non-compliance in the financial statements. In the event the officer’s misconduct, violation of Company policy or fraud contributed to the need for a restatement, then the Company will use reasonable efforts to recover up to 100% of the affected incentive compensation. The Company plans to review and, if necessary, amend the policy to ensure compliance with any applicable final Nasdaq rules regarding clawback policies that become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62230</wp:posOffset>
            </wp:positionV>
            <wp:extent cx="3971925" cy="21717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6"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21</w:t>
      </w:r>
    </w:p>
    <w:p>
      <w:pPr>
        <w:sectPr>
          <w:pgSz w:w="11900" w:h="16838" w:orient="portrait"/>
          <w:cols w:equalWidth="0" w:num="1">
            <w:col w:w="10159"/>
          </w:cols>
          <w:pgMar w:left="300" w:top="372" w:right="1440" w:bottom="1440" w:gutter="0" w:footer="0" w:header="0"/>
        </w:sectPr>
      </w:pPr>
    </w:p>
    <w:bookmarkStart w:id="43" w:name="page44"/>
    <w:bookmarkEnd w:id="4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136525</wp:posOffset>
            </wp:positionV>
            <wp:extent cx="4663440" cy="26860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4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Policy Prohibiting the Pledging or Hedging of Company Stock</w:t>
      </w:r>
    </w:p>
    <w:p>
      <w:pPr>
        <w:spacing w:after="0" w:line="282" w:lineRule="exact"/>
        <w:rPr>
          <w:sz w:val="20"/>
          <w:szCs w:val="20"/>
          <w:color w:val="auto"/>
        </w:rPr>
      </w:pPr>
    </w:p>
    <w:p>
      <w:pPr>
        <w:ind w:left="1980" w:right="919"/>
        <w:spacing w:after="0" w:line="241" w:lineRule="auto"/>
        <w:rPr>
          <w:sz w:val="20"/>
          <w:szCs w:val="20"/>
          <w:color w:val="auto"/>
        </w:rPr>
      </w:pPr>
      <w:r>
        <w:rPr>
          <w:rFonts w:ascii="Arial" w:cs="Arial" w:eastAsia="Arial" w:hAnsi="Arial"/>
          <w:sz w:val="11"/>
          <w:szCs w:val="11"/>
          <w:color w:val="auto"/>
        </w:rPr>
        <w:t>Under the Company’s Board approved insider trading policy, we prohibit any pledges or hedges of Company stock by directors, officers or other employees on a prospective basis. The Board believes this policy furthers the interest of shareholders by ensuring that directors, officers and employees have the same economic incentives as shareholders and that equity held by directors, officers and employees will not be sold in situations beyond the control of the director, officer or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151130</wp:posOffset>
            </wp:positionV>
            <wp:extent cx="4663440" cy="26860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3"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No Tax Gross-Ups</w:t>
      </w:r>
    </w:p>
    <w:p>
      <w:pPr>
        <w:spacing w:after="0" w:line="282" w:lineRule="exact"/>
        <w:rPr>
          <w:sz w:val="20"/>
          <w:szCs w:val="20"/>
          <w:color w:val="auto"/>
        </w:rPr>
      </w:pPr>
    </w:p>
    <w:p>
      <w:pPr>
        <w:ind w:left="1980" w:right="939"/>
        <w:spacing w:after="0" w:line="245" w:lineRule="auto"/>
        <w:rPr>
          <w:sz w:val="20"/>
          <w:szCs w:val="20"/>
          <w:color w:val="auto"/>
        </w:rPr>
      </w:pPr>
      <w:r>
        <w:rPr>
          <w:rFonts w:ascii="Arial" w:cs="Arial" w:eastAsia="Arial" w:hAnsi="Arial"/>
          <w:sz w:val="11"/>
          <w:szCs w:val="11"/>
          <w:color w:val="auto"/>
        </w:rPr>
        <w:t>We do not have any tax gross-up arrangements with any of our directors, officers or other employees and we have made a commitment to not enter into such arrangements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149860</wp:posOffset>
            </wp:positionV>
            <wp:extent cx="4663440" cy="26860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1"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Board Meetings and Director Attendance at the Annual Meeting</w:t>
      </w:r>
    </w:p>
    <w:p>
      <w:pPr>
        <w:spacing w:after="0" w:line="327" w:lineRule="exact"/>
        <w:rPr>
          <w:sz w:val="20"/>
          <w:szCs w:val="20"/>
          <w:color w:val="auto"/>
        </w:rPr>
      </w:pPr>
    </w:p>
    <w:p>
      <w:pPr>
        <w:ind w:left="1980" w:right="859"/>
        <w:spacing w:after="0"/>
        <w:rPr>
          <w:sz w:val="20"/>
          <w:szCs w:val="20"/>
          <w:color w:val="auto"/>
        </w:rPr>
      </w:pPr>
      <w:r>
        <w:rPr>
          <w:rFonts w:ascii="Arial" w:cs="Arial" w:eastAsia="Arial" w:hAnsi="Arial"/>
          <w:sz w:val="11"/>
          <w:szCs w:val="11"/>
          <w:color w:val="auto"/>
        </w:rPr>
        <w:t>During 2022, the Board held fifteen (15) meetings. All directors attended at least 75% of the aggregate of (i) the Board meetings held during their tenure as directors during 2022 and (ii) the meetings of any committees held during their tenure as members of such committees during 2022. Although the Company does not have a formal policy requiring attendance of directors at the annual meeting of shareholders, the expectation of the Company and the Board is that all directors will attend the annual meeting of shareholders in person or virtually via the Internet unless conflicts prevent them from attending. All members of the Board attended the 2022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151765</wp:posOffset>
            </wp:positionV>
            <wp:extent cx="4663440" cy="26860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5"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Director Retirement Age</w:t>
      </w:r>
    </w:p>
    <w:p>
      <w:pPr>
        <w:spacing w:after="0" w:line="273" w:lineRule="exact"/>
        <w:rPr>
          <w:sz w:val="20"/>
          <w:szCs w:val="20"/>
          <w:color w:val="auto"/>
        </w:rPr>
      </w:pPr>
    </w:p>
    <w:p>
      <w:pPr>
        <w:ind w:left="1980" w:right="879"/>
        <w:spacing w:after="0" w:line="242" w:lineRule="auto"/>
        <w:rPr>
          <w:sz w:val="20"/>
          <w:szCs w:val="20"/>
          <w:color w:val="auto"/>
        </w:rPr>
      </w:pPr>
      <w:r>
        <w:rPr>
          <w:rFonts w:ascii="Arial" w:cs="Arial" w:eastAsia="Arial" w:hAnsi="Arial"/>
          <w:sz w:val="11"/>
          <w:szCs w:val="11"/>
          <w:color w:val="auto"/>
        </w:rPr>
        <w:t>The Board has established a target retirement age of 72. Normally, a director who has reached this age will serve out his or her current term and not stand for re-election at the end of that term. However, the Board recognizes that from time to time there may be unusual circumstances where exceptions need to be made to this general rule to retain needed continuity and expertise, or for other business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26860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3"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Succession Planning</w:t>
      </w:r>
    </w:p>
    <w:p>
      <w:pPr>
        <w:spacing w:after="0" w:line="282" w:lineRule="exact"/>
        <w:rPr>
          <w:sz w:val="20"/>
          <w:szCs w:val="20"/>
          <w:color w:val="auto"/>
        </w:rPr>
      </w:pPr>
    </w:p>
    <w:p>
      <w:pPr>
        <w:ind w:left="1980" w:right="859"/>
        <w:spacing w:after="0" w:line="242" w:lineRule="auto"/>
        <w:rPr>
          <w:sz w:val="20"/>
          <w:szCs w:val="20"/>
          <w:color w:val="auto"/>
        </w:rPr>
      </w:pPr>
      <w:r>
        <w:rPr>
          <w:rFonts w:ascii="Arial" w:cs="Arial" w:eastAsia="Arial" w:hAnsi="Arial"/>
          <w:sz w:val="11"/>
          <w:szCs w:val="11"/>
          <w:color w:val="auto"/>
        </w:rPr>
        <w:t>The Board devotes significant time reviewing and discussing the succession plans for the CEO and each of his direct reports as well as the talent pipeline leading to those positions, part of building a diverse and inclusive workforce. The Board, the Compensation and Nominating, Governance and Social Responsibility Committees are involved in succession planning, as well as our Chief Executive Officer and Chief People Officer.</w:t>
      </w:r>
    </w:p>
    <w:p>
      <w:pPr>
        <w:spacing w:after="0" w:line="94" w:lineRule="exact"/>
        <w:rPr>
          <w:sz w:val="20"/>
          <w:szCs w:val="20"/>
          <w:color w:val="auto"/>
        </w:rPr>
      </w:pPr>
    </w:p>
    <w:p>
      <w:pPr>
        <w:ind w:left="1980" w:right="859"/>
        <w:spacing w:after="0"/>
        <w:rPr>
          <w:sz w:val="20"/>
          <w:szCs w:val="20"/>
          <w:color w:val="auto"/>
        </w:rPr>
      </w:pPr>
      <w:r>
        <w:rPr>
          <w:rFonts w:ascii="Arial" w:cs="Arial" w:eastAsia="Arial" w:hAnsi="Arial"/>
          <w:sz w:val="11"/>
          <w:szCs w:val="11"/>
          <w:color w:val="auto"/>
        </w:rPr>
        <w:t>A recent example of the Board’s CEO succession process was effected following the unexpected passing of our former Chairman and CEO, Brian Goldner. Following Mr. Goldner’s passing in October 2021, the Board appointed Richard Stoddart, a Board member since 2014, as interim CEO, while the Board completed its succession planning for a permanent CEO. In February 2022, following an extensive and thoughtful candidate review and selection process, the Board appointed Chris Cocks as Chief Executive Officer. Prior to his appointment, Mr. Cocks served as President and Chief Operating Officer of Wizards and Digital Gaming since 2021, and prior thereto served as President of Wizards of the Coast since 2016, when he joined Hasbro from Microsoft.</w:t>
      </w:r>
    </w:p>
    <w:p>
      <w:pPr>
        <w:spacing w:after="0" w:line="87" w:lineRule="exact"/>
        <w:rPr>
          <w:sz w:val="20"/>
          <w:szCs w:val="20"/>
          <w:color w:val="auto"/>
        </w:rPr>
      </w:pPr>
    </w:p>
    <w:p>
      <w:pPr>
        <w:jc w:val="both"/>
        <w:ind w:left="1980" w:right="859"/>
        <w:spacing w:after="0" w:line="242" w:lineRule="auto"/>
        <w:rPr>
          <w:sz w:val="20"/>
          <w:szCs w:val="20"/>
          <w:color w:val="auto"/>
        </w:rPr>
      </w:pPr>
      <w:r>
        <w:rPr>
          <w:rFonts w:ascii="Arial" w:cs="Arial" w:eastAsia="Arial" w:hAnsi="Arial"/>
          <w:sz w:val="11"/>
          <w:szCs w:val="11"/>
          <w:color w:val="auto"/>
        </w:rPr>
        <w:t>Another example is in the ongoing identification of our CFO’s successor. In November 2022, Ms. Deborah Thomas announced her intent to retire from her position as Executive Vice President and Chief Financial Officer of the Company after 24 years of distinguished service and leadership with the Company. In identifying her successor,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59055</wp:posOffset>
            </wp:positionV>
            <wp:extent cx="3971925" cy="21717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0"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22</w:t>
      </w:r>
    </w:p>
    <w:p>
      <w:pPr>
        <w:sectPr>
          <w:pgSz w:w="11900" w:h="16838" w:orient="portrait"/>
          <w:cols w:equalWidth="0" w:num="1">
            <w:col w:w="10159"/>
          </w:cols>
          <w:pgMar w:left="300" w:top="372" w:right="1440"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1579"/>
        <w:spacing w:after="0" w:line="245" w:lineRule="auto"/>
        <w:rPr>
          <w:sz w:val="20"/>
          <w:szCs w:val="20"/>
          <w:color w:val="auto"/>
        </w:rPr>
      </w:pPr>
      <w:r>
        <w:rPr>
          <w:rFonts w:ascii="Arial" w:cs="Arial" w:eastAsia="Arial" w:hAnsi="Arial"/>
          <w:sz w:val="11"/>
          <w:szCs w:val="11"/>
          <w:color w:val="auto"/>
        </w:rPr>
        <w:t>Company has considered both internal and external candidates. During this process, Ms. Thomas has continued to perform her duties and responsibilities, and has agreed to assist in orderly transition once her successor is appointed.</w:t>
      </w:r>
    </w:p>
    <w:p>
      <w:pPr>
        <w:spacing w:after="0" w:line="93" w:lineRule="exact"/>
        <w:rPr>
          <w:sz w:val="20"/>
          <w:szCs w:val="20"/>
          <w:color w:val="auto"/>
        </w:rPr>
      </w:pPr>
    </w:p>
    <w:p>
      <w:pPr>
        <w:ind w:left="1980" w:right="839"/>
        <w:spacing w:after="0" w:line="273" w:lineRule="auto"/>
        <w:rPr>
          <w:sz w:val="20"/>
          <w:szCs w:val="20"/>
          <w:color w:val="auto"/>
        </w:rPr>
      </w:pPr>
      <w:r>
        <w:rPr>
          <w:rFonts w:ascii="Arial" w:cs="Arial" w:eastAsia="Arial" w:hAnsi="Arial"/>
          <w:sz w:val="10"/>
          <w:szCs w:val="10"/>
          <w:color w:val="auto"/>
        </w:rPr>
        <w:t>Succession planning is among the Board’s top priorities and is included in the annual goals for executive management. Mr. Cocks, as CEO, is responsible for providing a regular talent update to the Board and Compensation Committee, and the Board and the Nominating, Governance and Social Responsibility Committee continue to regularly review in-depth succession plans, considering long-term, medium-term and short-term options. The Board also has exposure to internal succession candidates through their periodic participation in Board meetings and/or engagement outside of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141605</wp:posOffset>
            </wp:positionV>
            <wp:extent cx="4663440" cy="26860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48"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Director Emeritus</w:t>
      </w:r>
    </w:p>
    <w:p>
      <w:pPr>
        <w:spacing w:after="0" w:line="282"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 xml:space="preserve">The Board may in its discretion designate one or more former directors as a Director Emeritus. In certain situations, such as when the person being appointed has previously served as Chair of the Board, the Director Emeritus may be designated as a Chairperson Emeritus. </w:t>
      </w:r>
      <w:r>
        <w:rPr>
          <w:rFonts w:ascii="Arial" w:cs="Arial" w:eastAsia="Arial" w:hAnsi="Arial"/>
          <w:sz w:val="11"/>
          <w:szCs w:val="11"/>
          <w:b w:val="1"/>
          <w:bCs w:val="1"/>
          <w:color w:val="auto"/>
        </w:rPr>
        <w:t>A Director Emeritus is not</w:t>
      </w:r>
      <w:r>
        <w:rPr>
          <w:rFonts w:ascii="Arial" w:cs="Arial" w:eastAsia="Arial" w:hAnsi="Arial"/>
          <w:sz w:val="11"/>
          <w:szCs w:val="11"/>
          <w:color w:val="auto"/>
        </w:rPr>
        <w:t xml:space="preserve"> </w:t>
      </w:r>
      <w:r>
        <w:rPr>
          <w:rFonts w:ascii="Arial" w:cs="Arial" w:eastAsia="Arial" w:hAnsi="Arial"/>
          <w:sz w:val="11"/>
          <w:szCs w:val="11"/>
          <w:b w:val="1"/>
          <w:bCs w:val="1"/>
          <w:color w:val="auto"/>
        </w:rPr>
        <w:t>considered a Director under the Company’s Articles of Incorporation or By-Laws, applicable federal securities laws or state corporation law. Consequently, a Director Emeritus has no voting or other power or authority to manage the affairs of the Company and does not have any of the liabilities or duties of directors or officers under law in his or her capacity as a Director Emeritus.</w:t>
      </w:r>
    </w:p>
    <w:p>
      <w:pPr>
        <w:spacing w:after="0" w:line="88" w:lineRule="exact"/>
        <w:rPr>
          <w:sz w:val="20"/>
          <w:szCs w:val="20"/>
          <w:color w:val="auto"/>
        </w:rPr>
      </w:pPr>
    </w:p>
    <w:p>
      <w:pPr>
        <w:ind w:left="1980" w:right="1139"/>
        <w:spacing w:after="0" w:line="241" w:lineRule="auto"/>
        <w:rPr>
          <w:sz w:val="20"/>
          <w:szCs w:val="20"/>
          <w:color w:val="auto"/>
        </w:rPr>
      </w:pPr>
      <w:r>
        <w:rPr>
          <w:rFonts w:ascii="Arial" w:cs="Arial" w:eastAsia="Arial" w:hAnsi="Arial"/>
          <w:sz w:val="11"/>
          <w:szCs w:val="11"/>
          <w:color w:val="auto"/>
        </w:rPr>
        <w:t>The appointment of a Director Emeritus is expected to be infrequent and reserved for Directors who have served in a special capacity for, and made unusually valuable contributions to, the Company over an extended period of time. Each such designation shall be for a one-year term or until such Director Emeritus’ earlier death, resignation, retirement or removal by the Board (for any reason or no reason). Each Director Emeritus may be re-appointed by the Board in its discretion for one or more additional one-year terms.</w:t>
      </w:r>
    </w:p>
    <w:p>
      <w:pPr>
        <w:spacing w:after="0" w:line="95" w:lineRule="exact"/>
        <w:rPr>
          <w:sz w:val="20"/>
          <w:szCs w:val="20"/>
          <w:color w:val="auto"/>
        </w:rPr>
      </w:pPr>
    </w:p>
    <w:p>
      <w:pPr>
        <w:ind w:left="1980" w:right="939"/>
        <w:spacing w:after="0"/>
        <w:rPr>
          <w:sz w:val="20"/>
          <w:szCs w:val="20"/>
          <w:color w:val="auto"/>
        </w:rPr>
      </w:pPr>
      <w:r>
        <w:rPr>
          <w:rFonts w:ascii="Arial" w:cs="Arial" w:eastAsia="Arial" w:hAnsi="Arial"/>
          <w:sz w:val="11"/>
          <w:szCs w:val="11"/>
          <w:color w:val="auto"/>
        </w:rPr>
        <w:t xml:space="preserve">Directors Emeriti may attend Board meetings as and when invited by the Board and attend meetings of any committee of the Board as and when invited by the committee, </w:t>
      </w:r>
      <w:r>
        <w:rPr>
          <w:rFonts w:ascii="Arial" w:cs="Arial" w:eastAsia="Arial" w:hAnsi="Arial"/>
          <w:sz w:val="11"/>
          <w:szCs w:val="11"/>
          <w:b w:val="1"/>
          <w:bCs w:val="1"/>
          <w:color w:val="auto"/>
        </w:rPr>
        <w:t>but they are not entitled to vote or be counted for quorum purposes at any such meetings.</w:t>
      </w:r>
      <w:r>
        <w:rPr>
          <w:rFonts w:ascii="Arial" w:cs="Arial" w:eastAsia="Arial" w:hAnsi="Arial"/>
          <w:sz w:val="11"/>
          <w:szCs w:val="11"/>
          <w:color w:val="auto"/>
        </w:rPr>
        <w:t xml:space="preserve"> The Company will reimburse Directors Emeriti for the reasonable costs of attending meetings to which they are invited and performing the functions requested by the Company, but they will otherwise serve without compensation by the Company. Directors Emeriti will be entitled to the indemnification protections afforded by the Company to its officers and Directors.</w:t>
      </w:r>
    </w:p>
    <w:p>
      <w:pPr>
        <w:spacing w:after="0" w:line="85" w:lineRule="exact"/>
        <w:rPr>
          <w:sz w:val="20"/>
          <w:szCs w:val="20"/>
          <w:color w:val="auto"/>
        </w:rPr>
      </w:pPr>
    </w:p>
    <w:p>
      <w:pPr>
        <w:ind w:left="1980" w:right="939"/>
        <w:spacing w:after="0" w:line="269" w:lineRule="auto"/>
        <w:rPr>
          <w:sz w:val="20"/>
          <w:szCs w:val="20"/>
          <w:color w:val="auto"/>
        </w:rPr>
      </w:pPr>
      <w:r>
        <w:rPr>
          <w:rFonts w:ascii="Arial" w:cs="Arial" w:eastAsia="Arial" w:hAnsi="Arial"/>
          <w:sz w:val="10"/>
          <w:szCs w:val="10"/>
          <w:color w:val="auto"/>
        </w:rPr>
        <w:t xml:space="preserve">In May 2021, Mr. Alan Hassenfeld was appointed as Chairperson Emeritus. </w:t>
      </w:r>
      <w:r>
        <w:rPr>
          <w:rFonts w:ascii="Arial" w:cs="Arial" w:eastAsia="Arial" w:hAnsi="Arial"/>
          <w:sz w:val="10"/>
          <w:szCs w:val="10"/>
          <w:b w:val="1"/>
          <w:bCs w:val="1"/>
          <w:color w:val="auto"/>
        </w:rPr>
        <w:t>In such capacity, Mr. Hassenfeld may attend Board and committee</w:t>
      </w:r>
      <w:r>
        <w:rPr>
          <w:rFonts w:ascii="Arial" w:cs="Arial" w:eastAsia="Arial" w:hAnsi="Arial"/>
          <w:sz w:val="10"/>
          <w:szCs w:val="10"/>
          <w:color w:val="auto"/>
        </w:rPr>
        <w:t xml:space="preserve"> </w:t>
      </w:r>
      <w:r>
        <w:rPr>
          <w:rFonts w:ascii="Arial" w:cs="Arial" w:eastAsia="Arial" w:hAnsi="Arial"/>
          <w:sz w:val="10"/>
          <w:szCs w:val="10"/>
          <w:b w:val="1"/>
          <w:bCs w:val="1"/>
          <w:color w:val="auto"/>
        </w:rPr>
        <w:t xml:space="preserve">meetings, and executive sessions, only when invited by the Board or the applicable committee. Mr. Hassenfeld generally does not attend any committee meetings. Mr. Hassenfeld has no voting or other power or authority to manage the affairs of the Company, and he is not entitled to vote and is not counted for quorum purposes at any such meetings. </w:t>
      </w:r>
      <w:r>
        <w:rPr>
          <w:rFonts w:ascii="Arial" w:cs="Arial" w:eastAsia="Arial" w:hAnsi="Arial"/>
          <w:sz w:val="10"/>
          <w:szCs w:val="10"/>
          <w:color w:val="auto"/>
        </w:rPr>
        <w:t>The Board believes his extraordinary accomplishments as a board member of</w:t>
      </w:r>
      <w:r>
        <w:rPr>
          <w:rFonts w:ascii="Arial" w:cs="Arial" w:eastAsia="Arial" w:hAnsi="Arial"/>
          <w:sz w:val="10"/>
          <w:szCs w:val="10"/>
          <w:b w:val="1"/>
          <w:bCs w:val="1"/>
          <w:color w:val="auto"/>
        </w:rPr>
        <w:t xml:space="preserve"> </w:t>
      </w:r>
      <w:r>
        <w:rPr>
          <w:rFonts w:ascii="Arial" w:cs="Arial" w:eastAsia="Arial" w:hAnsi="Arial"/>
          <w:sz w:val="10"/>
          <w:szCs w:val="10"/>
          <w:color w:val="auto"/>
        </w:rPr>
        <w:t>Hasbro, together with his knowledge of and expertise in the business, including more than 40 years of experience in the toy, game and family entertainment industry, his extensive service in senior leadership roles at Hasbro, culminating in his service as the Company’s Chair of the Board and Chief Executive Officer, expertise regarding strategic and operational planning and execution in the toy, game and family entertainment industries, experience in global markets, international business operations, and in issues of corporate social responsibility and sustainability, makes him a valuable resource to the Board and they plan to continue to access that experience and expertise through Mr. Hassenfeld’s role as Chairperson Emeritus.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144780</wp:posOffset>
            </wp:positionV>
            <wp:extent cx="4663440" cy="26860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53"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Insider Trading Policy</w:t>
      </w:r>
    </w:p>
    <w:p>
      <w:pPr>
        <w:spacing w:after="0" w:line="273" w:lineRule="exact"/>
        <w:rPr>
          <w:sz w:val="20"/>
          <w:szCs w:val="20"/>
          <w:color w:val="auto"/>
        </w:rPr>
      </w:pPr>
    </w:p>
    <w:p>
      <w:pPr>
        <w:ind w:left="1980" w:right="999"/>
        <w:spacing w:after="0" w:line="241" w:lineRule="auto"/>
        <w:rPr>
          <w:sz w:val="20"/>
          <w:szCs w:val="20"/>
          <w:color w:val="auto"/>
        </w:rPr>
      </w:pPr>
      <w:r>
        <w:rPr>
          <w:rFonts w:ascii="Arial" w:cs="Arial" w:eastAsia="Arial" w:hAnsi="Arial"/>
          <w:sz w:val="11"/>
          <w:szCs w:val="11"/>
          <w:color w:val="auto"/>
        </w:rPr>
        <w:t>We have a Board-approved Global Insider Trading Policy governing the purchase, sale, and other disposition of our securities by our directors, officers and employees, and other related persons and entities, that are designed to promote compliance with insider trading laws, rules, and regulations. More specifically, it is the policy of the Company that no director, officer or other employee of the Company who is aware of material nonpublic information relating to the Company may, directly or through family members or other persons or entities, (a) buy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3971925" cy="21717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0"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23</w:t>
      </w:r>
    </w:p>
    <w:p>
      <w:pPr>
        <w:sectPr>
          <w:pgSz w:w="11900" w:h="16838" w:orient="portrait"/>
          <w:cols w:equalWidth="0" w:num="1">
            <w:col w:w="10159"/>
          </w:cols>
          <w:pgMar w:left="300" w:top="372" w:right="1440" w:bottom="1440" w:gutter="0" w:footer="0" w:header="0"/>
        </w:sectPr>
      </w:pPr>
    </w:p>
    <w:bookmarkStart w:id="45" w:name="page46"/>
    <w:bookmarkEnd w:id="4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879"/>
        <w:spacing w:after="0" w:line="242" w:lineRule="auto"/>
        <w:rPr>
          <w:sz w:val="20"/>
          <w:szCs w:val="20"/>
          <w:color w:val="auto"/>
        </w:rPr>
      </w:pPr>
      <w:r>
        <w:rPr>
          <w:rFonts w:ascii="Arial" w:cs="Arial" w:eastAsia="Arial" w:hAnsi="Arial"/>
          <w:sz w:val="11"/>
          <w:szCs w:val="11"/>
          <w:color w:val="auto"/>
        </w:rPr>
        <w:t>or sell securities of the Company (other than pursuant to a pre-approved trading plan that is adopted and operated in compliance with SEC Rule 10b5-1), or engage in any other action to take personal advantage of that information, or (b) pass that information, or make a recommendation to buy or sell the Company’s securities that is influenced by material nonpublic information, on to others outside the Company, including family and friends.</w:t>
      </w:r>
    </w:p>
    <w:p>
      <w:pPr>
        <w:spacing w:after="0" w:line="94"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It is the policy of the Company that no director, officer or other employee of the Company who, in the course of working for the Company, learns of material nonpublic information about another company or another entity, including, without limitation, a company with which the Company does business, including a customer or supplier of the Company, may (a) trade in that company’s securities until the information becomes public or is no longer material, or (b) pass that information on to others outside the Company, including family and friends, or make a recommendation to buy or sell the other company’s or entities’ securities that is influenced by material nonpublic information.</w:t>
      </w:r>
    </w:p>
    <w:p>
      <w:pPr>
        <w:spacing w:after="0" w:line="97"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We have a pre-clearance policy that applies to executive officers, and members of the Board of the Company and other designated employees of the Company who, although not executive officers, regularly become aware of earnings information or other potentially material nonpublic information about the Company. Under this policy directors and executive officers of the Company, and any other employees designated as being subject to the Company’s pre-clearance procedures, together with any of their family members who live in their household or whose transactions in Company securities are under their influence or control, and any trusts or other entities controlled by any such persons, may not engage in any transaction in the Company’s securities (including an open market purchase, open market sale, gift, cashless exercise of a stock option, contribution to a trust, or similar transfer) without first obtaining pre-clearance of the transaction from the Legal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151130</wp:posOffset>
            </wp:positionV>
            <wp:extent cx="4663440" cy="26860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4"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Additional Availability of Corporate Governance Materials</w:t>
      </w:r>
    </w:p>
    <w:p>
      <w:pPr>
        <w:spacing w:after="0" w:line="273" w:lineRule="exact"/>
        <w:rPr>
          <w:sz w:val="20"/>
          <w:szCs w:val="20"/>
          <w:color w:val="auto"/>
        </w:rPr>
      </w:pPr>
    </w:p>
    <w:p>
      <w:pPr>
        <w:ind w:left="1980" w:right="899"/>
        <w:spacing w:after="0" w:line="241" w:lineRule="auto"/>
        <w:rPr>
          <w:sz w:val="20"/>
          <w:szCs w:val="20"/>
          <w:color w:val="auto"/>
        </w:rPr>
      </w:pPr>
      <w:r>
        <w:rPr>
          <w:rFonts w:ascii="Arial" w:cs="Arial" w:eastAsia="Arial" w:hAnsi="Arial"/>
          <w:sz w:val="11"/>
          <w:szCs w:val="11"/>
          <w:color w:val="auto"/>
        </w:rPr>
        <w:t>In addition to being accessible on the Company’s website, https://investor.hasbro.com/corporate-governance, copies of the Company’s Code of Conduct, Corporate Governance Principles and the charters of the five committees of the Board of Directors are all available free of charge to any shareholder upon request to the Company’s Chief Legal Officer and Corporate Secretary, c/o Hasbro, Inc., 1011 Newport Avenue, P.O. Box 1059, Pawtucket, Rhode Island 02861.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3971925" cy="21717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0"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24</w:t>
      </w:r>
    </w:p>
    <w:p>
      <w:pPr>
        <w:sectPr>
          <w:pgSz w:w="11900" w:h="16838" w:orient="portrait"/>
          <w:cols w:equalWidth="0" w:num="1">
            <w:col w:w="10159"/>
          </w:cols>
          <w:pgMar w:left="300" w:top="372" w:right="1440" w:bottom="1440" w:gutter="0" w:footer="0" w:header="0"/>
        </w:sectPr>
      </w:pPr>
    </w:p>
    <w:bookmarkStart w:id="46" w:name="page47"/>
    <w:bookmarkEnd w:id="4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Compensation Committee Report</w:t>
      </w:r>
    </w:p>
    <w:p>
      <w:pPr>
        <w:spacing w:after="0" w:line="97" w:lineRule="exact"/>
        <w:rPr>
          <w:sz w:val="20"/>
          <w:szCs w:val="20"/>
          <w:color w:val="auto"/>
        </w:rPr>
      </w:pPr>
    </w:p>
    <w:p>
      <w:pPr>
        <w:ind w:left="1980" w:right="959"/>
        <w:spacing w:after="0"/>
        <w:rPr>
          <w:sz w:val="20"/>
          <w:szCs w:val="20"/>
          <w:color w:val="auto"/>
        </w:rPr>
      </w:pPr>
      <w:r>
        <w:rPr>
          <w:rFonts w:ascii="Arial" w:cs="Arial" w:eastAsia="Arial" w:hAnsi="Arial"/>
          <w:sz w:val="11"/>
          <w:szCs w:val="11"/>
          <w:color w:val="auto"/>
        </w:rPr>
        <w:t>The following section of this Proxy Statement, entitled “Compensation Discussion and Analysis,” contains a detailed discussion regarding the objectives of the Company’s executive compensation programs, how those programs drive Company performance and a review of the processes and program elements used by the Compensation Committee to attract and retain executive talent, align the interests of the executive team with those of the Company’s shareholders, create a powerful linkage between pay and performance, maximize the business results of the Company and enhance shareholder value.</w:t>
      </w:r>
    </w:p>
    <w:p>
      <w:pPr>
        <w:spacing w:after="0" w:line="97" w:lineRule="exact"/>
        <w:rPr>
          <w:sz w:val="20"/>
          <w:szCs w:val="20"/>
          <w:color w:val="auto"/>
        </w:rPr>
      </w:pPr>
    </w:p>
    <w:p>
      <w:pPr>
        <w:ind w:left="1980" w:right="899"/>
        <w:spacing w:after="0" w:line="241" w:lineRule="auto"/>
        <w:rPr>
          <w:sz w:val="20"/>
          <w:szCs w:val="20"/>
          <w:color w:val="auto"/>
        </w:rPr>
      </w:pPr>
      <w:r>
        <w:rPr>
          <w:rFonts w:ascii="Arial" w:cs="Arial" w:eastAsia="Arial" w:hAnsi="Arial"/>
          <w:sz w:val="11"/>
          <w:szCs w:val="11"/>
          <w:color w:val="auto"/>
        </w:rPr>
        <w:t>The Compensation Committee has reviewed and discussed with management the Compensation Discussion and Analysis that follows this report. Based on its review and discussions with management, the Compensation Committee recommended to the Company’s full Board, and the full Board has approved, the inclusion of the Compensation Discussion and Analysis in this Proxy Statement for the Meeting and, by incorporation by reference, in the Company’s Annual Report on Form 10-K for the year ended December 25, 2022.</w:t>
      </w:r>
    </w:p>
    <w:p>
      <w:pPr>
        <w:spacing w:after="0" w:line="8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Report issued by the members of the Compensation Committee as of the Company’s 2022 fiscal year end.</w:t>
      </w:r>
    </w:p>
    <w:p>
      <w:pPr>
        <w:spacing w:after="0" w:line="2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Lisa Gersh (Chair)</w:t>
      </w:r>
    </w:p>
    <w:p>
      <w:pPr>
        <w:ind w:left="1980"/>
        <w:spacing w:after="0"/>
        <w:rPr>
          <w:sz w:val="20"/>
          <w:szCs w:val="20"/>
          <w:color w:val="auto"/>
        </w:rPr>
      </w:pPr>
      <w:r>
        <w:rPr>
          <w:rFonts w:ascii="Arial" w:cs="Arial" w:eastAsia="Arial" w:hAnsi="Arial"/>
          <w:sz w:val="11"/>
          <w:szCs w:val="11"/>
          <w:color w:val="auto"/>
        </w:rPr>
        <w:t>Kenneth A. Bronfin</w:t>
      </w:r>
    </w:p>
    <w:p>
      <w:pPr>
        <w:ind w:left="1980"/>
        <w:spacing w:after="0"/>
        <w:rPr>
          <w:sz w:val="20"/>
          <w:szCs w:val="20"/>
          <w:color w:val="auto"/>
        </w:rPr>
      </w:pPr>
      <w:r>
        <w:rPr>
          <w:rFonts w:ascii="Arial" w:cs="Arial" w:eastAsia="Arial" w:hAnsi="Arial"/>
          <w:sz w:val="11"/>
          <w:szCs w:val="11"/>
          <w:color w:val="auto"/>
        </w:rPr>
        <w:t>Elizabeth Hamren</w:t>
      </w:r>
    </w:p>
    <w:p>
      <w:pPr>
        <w:ind w:left="1980"/>
        <w:spacing w:after="0"/>
        <w:rPr>
          <w:sz w:val="20"/>
          <w:szCs w:val="20"/>
          <w:color w:val="auto"/>
        </w:rPr>
      </w:pPr>
      <w:r>
        <w:rPr>
          <w:rFonts w:ascii="Arial" w:cs="Arial" w:eastAsia="Arial" w:hAnsi="Arial"/>
          <w:sz w:val="11"/>
          <w:szCs w:val="11"/>
          <w:color w:val="auto"/>
        </w:rPr>
        <w:t>Edward M. Philip</w:t>
      </w:r>
    </w:p>
    <w:p>
      <w:pPr>
        <w:ind w:left="1980"/>
        <w:spacing w:after="0"/>
        <w:rPr>
          <w:sz w:val="20"/>
          <w:szCs w:val="20"/>
          <w:color w:val="auto"/>
        </w:rPr>
      </w:pPr>
      <w:r>
        <w:rPr>
          <w:rFonts w:ascii="Arial" w:cs="Arial" w:eastAsia="Arial" w:hAnsi="Arial"/>
          <w:sz w:val="11"/>
          <w:szCs w:val="11"/>
          <w:color w:val="auto"/>
        </w:rPr>
        <w:t>Laurel J. Richie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61595</wp:posOffset>
            </wp:positionV>
            <wp:extent cx="3971925" cy="21717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4"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25</w:t>
      </w:r>
    </w:p>
    <w:p>
      <w:pPr>
        <w:sectPr>
          <w:pgSz w:w="11900" w:h="16838" w:orient="portrait"/>
          <w:cols w:equalWidth="0" w:num="1">
            <w:col w:w="10159"/>
          </w:cols>
          <w:pgMar w:left="300" w:top="372" w:right="1440" w:bottom="1440" w:gutter="0" w:footer="0" w:header="0"/>
        </w:sectPr>
      </w:pPr>
    </w:p>
    <w:bookmarkStart w:id="47" w:name="page48"/>
    <w:bookmarkEnd w:id="4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60960</wp:posOffset>
            </wp:positionV>
            <wp:extent cx="4663440" cy="26860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121"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Executive Summary</w:t>
      </w:r>
    </w:p>
    <w:p>
      <w:pPr>
        <w:spacing w:after="0" w:line="282" w:lineRule="exact"/>
        <w:rPr>
          <w:sz w:val="20"/>
          <w:szCs w:val="20"/>
          <w:color w:val="auto"/>
        </w:rPr>
      </w:pPr>
    </w:p>
    <w:p>
      <w:pPr>
        <w:ind w:left="1980" w:right="1399"/>
        <w:spacing w:after="0" w:line="245" w:lineRule="auto"/>
        <w:rPr>
          <w:sz w:val="20"/>
          <w:szCs w:val="20"/>
          <w:color w:val="auto"/>
        </w:rPr>
      </w:pPr>
      <w:r>
        <w:rPr>
          <w:rFonts w:ascii="Arial" w:cs="Arial" w:eastAsia="Arial" w:hAnsi="Arial"/>
          <w:sz w:val="11"/>
          <w:szCs w:val="11"/>
          <w:color w:val="auto"/>
        </w:rPr>
        <w:t>In the following Compensation Discussion and Analysis (“CD&amp;A”), we describe our approach to the executive compensation programs and our compensation decisions for 2022 for the following Named Executive Officers (“NEOs”).</w:t>
      </w:r>
    </w:p>
    <w:p>
      <w:pPr>
        <w:spacing w:after="0" w:line="155" w:lineRule="exact"/>
        <w:rPr>
          <w:sz w:val="20"/>
          <w:szCs w:val="20"/>
          <w:color w:val="auto"/>
        </w:rPr>
      </w:pPr>
    </w:p>
    <w:tbl>
      <w:tblPr>
        <w:tblLayout w:type="fixed"/>
        <w:tblInd w:w="1980" w:type="dxa"/>
        <w:tblCellMar>
          <w:top w:w="0" w:type="dxa"/>
          <w:left w:w="0" w:type="dxa"/>
          <w:bottom w:w="0" w:type="dxa"/>
          <w:right w:w="0" w:type="dxa"/>
        </w:tblCellMar>
      </w:tblPr>
      <w:tr>
        <w:trPr>
          <w:trHeight w:val="176"/>
        </w:trPr>
        <w:tc>
          <w:tcPr>
            <w:tcW w:w="3740" w:type="dxa"/>
            <w:vAlign w:val="bottom"/>
            <w:shd w:val="clear" w:color="auto" w:fill="CCEBF8"/>
          </w:tcPr>
          <w:p>
            <w:pPr>
              <w:ind w:left="60"/>
              <w:spacing w:after="0"/>
              <w:rPr>
                <w:sz w:val="20"/>
                <w:szCs w:val="20"/>
                <w:color w:val="auto"/>
              </w:rPr>
            </w:pPr>
            <w:r>
              <w:rPr>
                <w:rFonts w:ascii="Arial" w:cs="Arial" w:eastAsia="Arial" w:hAnsi="Arial"/>
                <w:sz w:val="11"/>
                <w:szCs w:val="11"/>
                <w:b w:val="1"/>
                <w:bCs w:val="1"/>
                <w:color w:val="009BDE"/>
              </w:rPr>
              <w:t>Name</w:t>
            </w:r>
          </w:p>
        </w:tc>
        <w:tc>
          <w:tcPr>
            <w:tcW w:w="3600" w:type="dxa"/>
            <w:vAlign w:val="bottom"/>
            <w:shd w:val="clear" w:color="auto" w:fill="CCEBF8"/>
          </w:tcPr>
          <w:p>
            <w:pPr>
              <w:ind w:left="80"/>
              <w:spacing w:after="0"/>
              <w:rPr>
                <w:sz w:val="20"/>
                <w:szCs w:val="20"/>
                <w:color w:val="auto"/>
              </w:rPr>
            </w:pPr>
            <w:r>
              <w:rPr>
                <w:rFonts w:ascii="Arial" w:cs="Arial" w:eastAsia="Arial" w:hAnsi="Arial"/>
                <w:sz w:val="11"/>
                <w:szCs w:val="11"/>
                <w:b w:val="1"/>
                <w:bCs w:val="1"/>
                <w:color w:val="009BDE"/>
              </w:rPr>
              <w:t>Title</w:t>
            </w:r>
          </w:p>
        </w:tc>
      </w:tr>
      <w:tr>
        <w:trPr>
          <w:trHeight w:val="85"/>
        </w:trPr>
        <w:tc>
          <w:tcPr>
            <w:tcW w:w="3740" w:type="dxa"/>
            <w:vAlign w:val="bottom"/>
            <w:tcBorders>
              <w:bottom w:val="single" w:sz="8" w:color="009BDE"/>
            </w:tcBorders>
            <w:shd w:val="clear" w:color="auto" w:fill="CCEBF8"/>
          </w:tcPr>
          <w:p>
            <w:pPr>
              <w:spacing w:after="0"/>
              <w:rPr>
                <w:sz w:val="7"/>
                <w:szCs w:val="7"/>
                <w:color w:val="auto"/>
              </w:rPr>
            </w:pPr>
          </w:p>
        </w:tc>
        <w:tc>
          <w:tcPr>
            <w:tcW w:w="3600" w:type="dxa"/>
            <w:vAlign w:val="bottom"/>
            <w:tcBorders>
              <w:bottom w:val="single" w:sz="8" w:color="009BDE"/>
            </w:tcBorders>
            <w:shd w:val="clear" w:color="auto" w:fill="CCEBF8"/>
          </w:tcPr>
          <w:p>
            <w:pPr>
              <w:spacing w:after="0"/>
              <w:rPr>
                <w:sz w:val="7"/>
                <w:szCs w:val="7"/>
                <w:color w:val="auto"/>
              </w:rPr>
            </w:pPr>
          </w:p>
        </w:tc>
      </w:tr>
      <w:tr>
        <w:trPr>
          <w:trHeight w:val="179"/>
        </w:trPr>
        <w:tc>
          <w:tcPr>
            <w:tcW w:w="3740" w:type="dxa"/>
            <w:vAlign w:val="bottom"/>
          </w:tcPr>
          <w:p>
            <w:pPr>
              <w:ind w:left="40"/>
              <w:spacing w:after="0"/>
              <w:rPr>
                <w:sz w:val="20"/>
                <w:szCs w:val="20"/>
                <w:color w:val="auto"/>
              </w:rPr>
            </w:pPr>
            <w:r>
              <w:rPr>
                <w:rFonts w:ascii="Arial" w:cs="Arial" w:eastAsia="Arial" w:hAnsi="Arial"/>
                <w:sz w:val="11"/>
                <w:szCs w:val="11"/>
                <w:color w:val="auto"/>
              </w:rPr>
              <w:t>Richard S. Stoddart</w:t>
            </w:r>
          </w:p>
        </w:tc>
        <w:tc>
          <w:tcPr>
            <w:tcW w:w="3600" w:type="dxa"/>
            <w:vAlign w:val="bottom"/>
          </w:tcPr>
          <w:p>
            <w:pPr>
              <w:ind w:left="80"/>
              <w:spacing w:after="0"/>
              <w:rPr>
                <w:sz w:val="20"/>
                <w:szCs w:val="20"/>
                <w:color w:val="auto"/>
              </w:rPr>
            </w:pPr>
            <w:r>
              <w:rPr>
                <w:rFonts w:ascii="Arial" w:cs="Arial" w:eastAsia="Arial" w:hAnsi="Arial"/>
                <w:sz w:val="11"/>
                <w:szCs w:val="11"/>
                <w:color w:val="auto"/>
              </w:rPr>
              <w:t>Non-Executive Chairman of the Board, Former Interim Chief Executive</w:t>
            </w:r>
          </w:p>
        </w:tc>
      </w:tr>
      <w:tr>
        <w:trPr>
          <w:trHeight w:val="130"/>
        </w:trPr>
        <w:tc>
          <w:tcPr>
            <w:tcW w:w="3740" w:type="dxa"/>
            <w:vAlign w:val="bottom"/>
          </w:tcPr>
          <w:p>
            <w:pPr>
              <w:spacing w:after="0"/>
              <w:rPr>
                <w:sz w:val="11"/>
                <w:szCs w:val="11"/>
                <w:color w:val="auto"/>
              </w:rPr>
            </w:pPr>
          </w:p>
        </w:tc>
        <w:tc>
          <w:tcPr>
            <w:tcW w:w="3600" w:type="dxa"/>
            <w:vAlign w:val="bottom"/>
          </w:tcPr>
          <w:p>
            <w:pPr>
              <w:ind w:left="80"/>
              <w:spacing w:after="0"/>
              <w:rPr>
                <w:sz w:val="20"/>
                <w:szCs w:val="20"/>
                <w:color w:val="auto"/>
              </w:rPr>
            </w:pPr>
            <w:r>
              <w:rPr>
                <w:rFonts w:ascii="Arial" w:cs="Arial" w:eastAsia="Arial" w:hAnsi="Arial"/>
                <w:sz w:val="11"/>
                <w:szCs w:val="11"/>
                <w:color w:val="auto"/>
              </w:rPr>
              <w:t>Officer</w:t>
            </w:r>
          </w:p>
        </w:tc>
      </w:tr>
      <w:tr>
        <w:trPr>
          <w:trHeight w:val="67"/>
        </w:trPr>
        <w:tc>
          <w:tcPr>
            <w:tcW w:w="3740" w:type="dxa"/>
            <w:vAlign w:val="bottom"/>
            <w:tcBorders>
              <w:bottom w:val="single" w:sz="8" w:color="009BDE"/>
            </w:tcBorders>
          </w:tcPr>
          <w:p>
            <w:pPr>
              <w:spacing w:after="0"/>
              <w:rPr>
                <w:sz w:val="5"/>
                <w:szCs w:val="5"/>
                <w:color w:val="auto"/>
              </w:rPr>
            </w:pPr>
          </w:p>
        </w:tc>
        <w:tc>
          <w:tcPr>
            <w:tcW w:w="3600" w:type="dxa"/>
            <w:vAlign w:val="bottom"/>
            <w:tcBorders>
              <w:bottom w:val="single" w:sz="8" w:color="009BDE"/>
            </w:tcBorders>
          </w:tcPr>
          <w:p>
            <w:pPr>
              <w:spacing w:after="0"/>
              <w:rPr>
                <w:sz w:val="5"/>
                <w:szCs w:val="5"/>
                <w:color w:val="auto"/>
              </w:rPr>
            </w:pPr>
          </w:p>
        </w:tc>
      </w:tr>
      <w:tr>
        <w:trPr>
          <w:trHeight w:val="183"/>
        </w:trPr>
        <w:tc>
          <w:tcPr>
            <w:tcW w:w="3740" w:type="dxa"/>
            <w:vAlign w:val="bottom"/>
          </w:tcPr>
          <w:p>
            <w:pPr>
              <w:ind w:left="40"/>
              <w:spacing w:after="0"/>
              <w:rPr>
                <w:sz w:val="20"/>
                <w:szCs w:val="20"/>
                <w:color w:val="auto"/>
              </w:rPr>
            </w:pPr>
            <w:r>
              <w:rPr>
                <w:rFonts w:ascii="Arial" w:cs="Arial" w:eastAsia="Arial" w:hAnsi="Arial"/>
                <w:sz w:val="11"/>
                <w:szCs w:val="11"/>
                <w:color w:val="auto"/>
              </w:rPr>
              <w:t>Christian P. Cocks</w:t>
            </w:r>
          </w:p>
        </w:tc>
        <w:tc>
          <w:tcPr>
            <w:tcW w:w="3600" w:type="dxa"/>
            <w:vAlign w:val="bottom"/>
          </w:tcPr>
          <w:p>
            <w:pPr>
              <w:ind w:left="80"/>
              <w:spacing w:after="0"/>
              <w:rPr>
                <w:sz w:val="20"/>
                <w:szCs w:val="20"/>
                <w:color w:val="auto"/>
              </w:rPr>
            </w:pPr>
            <w:r>
              <w:rPr>
                <w:rFonts w:ascii="Arial" w:cs="Arial" w:eastAsia="Arial" w:hAnsi="Arial"/>
                <w:sz w:val="11"/>
                <w:szCs w:val="11"/>
                <w:color w:val="auto"/>
              </w:rPr>
              <w:t>Chief Executive Officer</w:t>
            </w:r>
          </w:p>
        </w:tc>
      </w:tr>
      <w:tr>
        <w:trPr>
          <w:trHeight w:val="67"/>
        </w:trPr>
        <w:tc>
          <w:tcPr>
            <w:tcW w:w="3740" w:type="dxa"/>
            <w:vAlign w:val="bottom"/>
            <w:tcBorders>
              <w:bottom w:val="single" w:sz="8" w:color="009BDE"/>
            </w:tcBorders>
          </w:tcPr>
          <w:p>
            <w:pPr>
              <w:spacing w:after="0"/>
              <w:rPr>
                <w:sz w:val="5"/>
                <w:szCs w:val="5"/>
                <w:color w:val="auto"/>
              </w:rPr>
            </w:pPr>
          </w:p>
        </w:tc>
        <w:tc>
          <w:tcPr>
            <w:tcW w:w="3600" w:type="dxa"/>
            <w:vAlign w:val="bottom"/>
            <w:tcBorders>
              <w:bottom w:val="single" w:sz="8" w:color="009BDE"/>
            </w:tcBorders>
          </w:tcPr>
          <w:p>
            <w:pPr>
              <w:spacing w:after="0"/>
              <w:rPr>
                <w:sz w:val="5"/>
                <w:szCs w:val="5"/>
                <w:color w:val="auto"/>
              </w:rPr>
            </w:pPr>
          </w:p>
        </w:tc>
      </w:tr>
      <w:tr>
        <w:trPr>
          <w:trHeight w:val="183"/>
        </w:trPr>
        <w:tc>
          <w:tcPr>
            <w:tcW w:w="3740" w:type="dxa"/>
            <w:vAlign w:val="bottom"/>
          </w:tcPr>
          <w:p>
            <w:pPr>
              <w:ind w:left="40"/>
              <w:spacing w:after="0"/>
              <w:rPr>
                <w:sz w:val="20"/>
                <w:szCs w:val="20"/>
                <w:color w:val="auto"/>
              </w:rPr>
            </w:pPr>
            <w:r>
              <w:rPr>
                <w:rFonts w:ascii="Arial" w:cs="Arial" w:eastAsia="Arial" w:hAnsi="Arial"/>
                <w:sz w:val="11"/>
                <w:szCs w:val="11"/>
                <w:color w:val="auto"/>
              </w:rPr>
              <w:t>Deborah M. Thomas</w:t>
            </w:r>
          </w:p>
        </w:tc>
        <w:tc>
          <w:tcPr>
            <w:tcW w:w="3600" w:type="dxa"/>
            <w:vAlign w:val="bottom"/>
          </w:tcPr>
          <w:p>
            <w:pPr>
              <w:ind w:left="80"/>
              <w:spacing w:after="0"/>
              <w:rPr>
                <w:sz w:val="20"/>
                <w:szCs w:val="20"/>
                <w:color w:val="auto"/>
              </w:rPr>
            </w:pPr>
            <w:r>
              <w:rPr>
                <w:rFonts w:ascii="Arial" w:cs="Arial" w:eastAsia="Arial" w:hAnsi="Arial"/>
                <w:sz w:val="11"/>
                <w:szCs w:val="11"/>
                <w:color w:val="auto"/>
              </w:rPr>
              <w:t>Executive Vice President and Chief Financial Officer</w:t>
            </w:r>
          </w:p>
        </w:tc>
      </w:tr>
      <w:tr>
        <w:trPr>
          <w:trHeight w:val="67"/>
        </w:trPr>
        <w:tc>
          <w:tcPr>
            <w:tcW w:w="3740" w:type="dxa"/>
            <w:vAlign w:val="bottom"/>
            <w:tcBorders>
              <w:bottom w:val="single" w:sz="8" w:color="009BDE"/>
            </w:tcBorders>
          </w:tcPr>
          <w:p>
            <w:pPr>
              <w:spacing w:after="0"/>
              <w:rPr>
                <w:sz w:val="5"/>
                <w:szCs w:val="5"/>
                <w:color w:val="auto"/>
              </w:rPr>
            </w:pPr>
          </w:p>
        </w:tc>
        <w:tc>
          <w:tcPr>
            <w:tcW w:w="3600" w:type="dxa"/>
            <w:vAlign w:val="bottom"/>
            <w:tcBorders>
              <w:bottom w:val="single" w:sz="8" w:color="009BDE"/>
            </w:tcBorders>
          </w:tcPr>
          <w:p>
            <w:pPr>
              <w:spacing w:after="0"/>
              <w:rPr>
                <w:sz w:val="5"/>
                <w:szCs w:val="5"/>
                <w:color w:val="auto"/>
              </w:rPr>
            </w:pPr>
          </w:p>
        </w:tc>
      </w:tr>
      <w:tr>
        <w:trPr>
          <w:trHeight w:val="183"/>
        </w:trPr>
        <w:tc>
          <w:tcPr>
            <w:tcW w:w="3740" w:type="dxa"/>
            <w:vAlign w:val="bottom"/>
          </w:tcPr>
          <w:p>
            <w:pPr>
              <w:ind w:left="40"/>
              <w:spacing w:after="0"/>
              <w:rPr>
                <w:sz w:val="20"/>
                <w:szCs w:val="20"/>
                <w:color w:val="auto"/>
              </w:rPr>
            </w:pPr>
            <w:r>
              <w:rPr>
                <w:rFonts w:ascii="Arial" w:cs="Arial" w:eastAsia="Arial" w:hAnsi="Arial"/>
                <w:sz w:val="11"/>
                <w:szCs w:val="11"/>
                <w:color w:val="auto"/>
              </w:rPr>
              <w:t>Cynthia Williams</w:t>
            </w:r>
          </w:p>
        </w:tc>
        <w:tc>
          <w:tcPr>
            <w:tcW w:w="3600" w:type="dxa"/>
            <w:vAlign w:val="bottom"/>
          </w:tcPr>
          <w:p>
            <w:pPr>
              <w:ind w:left="80"/>
              <w:spacing w:after="0"/>
              <w:rPr>
                <w:sz w:val="20"/>
                <w:szCs w:val="20"/>
                <w:color w:val="auto"/>
              </w:rPr>
            </w:pPr>
            <w:r>
              <w:rPr>
                <w:rFonts w:ascii="Arial" w:cs="Arial" w:eastAsia="Arial" w:hAnsi="Arial"/>
                <w:sz w:val="11"/>
                <w:szCs w:val="11"/>
                <w:color w:val="auto"/>
              </w:rPr>
              <w:t>President, Wizards of the Coast and Digital Gaming</w:t>
            </w:r>
          </w:p>
        </w:tc>
      </w:tr>
      <w:tr>
        <w:trPr>
          <w:trHeight w:val="67"/>
        </w:trPr>
        <w:tc>
          <w:tcPr>
            <w:tcW w:w="3740" w:type="dxa"/>
            <w:vAlign w:val="bottom"/>
            <w:tcBorders>
              <w:bottom w:val="single" w:sz="8" w:color="009BDE"/>
            </w:tcBorders>
          </w:tcPr>
          <w:p>
            <w:pPr>
              <w:spacing w:after="0"/>
              <w:rPr>
                <w:sz w:val="5"/>
                <w:szCs w:val="5"/>
                <w:color w:val="auto"/>
              </w:rPr>
            </w:pPr>
          </w:p>
        </w:tc>
        <w:tc>
          <w:tcPr>
            <w:tcW w:w="3600" w:type="dxa"/>
            <w:vAlign w:val="bottom"/>
            <w:tcBorders>
              <w:bottom w:val="single" w:sz="8" w:color="009BDE"/>
            </w:tcBorders>
          </w:tcPr>
          <w:p>
            <w:pPr>
              <w:spacing w:after="0"/>
              <w:rPr>
                <w:sz w:val="5"/>
                <w:szCs w:val="5"/>
                <w:color w:val="auto"/>
              </w:rPr>
            </w:pPr>
          </w:p>
        </w:tc>
      </w:tr>
      <w:tr>
        <w:trPr>
          <w:trHeight w:val="183"/>
        </w:trPr>
        <w:tc>
          <w:tcPr>
            <w:tcW w:w="3740" w:type="dxa"/>
            <w:vAlign w:val="bottom"/>
          </w:tcPr>
          <w:p>
            <w:pPr>
              <w:ind w:left="40"/>
              <w:spacing w:after="0"/>
              <w:rPr>
                <w:sz w:val="20"/>
                <w:szCs w:val="20"/>
                <w:color w:val="auto"/>
              </w:rPr>
            </w:pPr>
            <w:r>
              <w:rPr>
                <w:rFonts w:ascii="Arial" w:cs="Arial" w:eastAsia="Arial" w:hAnsi="Arial"/>
                <w:sz w:val="11"/>
                <w:szCs w:val="11"/>
                <w:color w:val="auto"/>
              </w:rPr>
              <w:t>Eric Nyman</w:t>
            </w:r>
          </w:p>
        </w:tc>
        <w:tc>
          <w:tcPr>
            <w:tcW w:w="3600" w:type="dxa"/>
            <w:vAlign w:val="bottom"/>
          </w:tcPr>
          <w:p>
            <w:pPr>
              <w:ind w:left="80"/>
              <w:spacing w:after="0"/>
              <w:rPr>
                <w:sz w:val="20"/>
                <w:szCs w:val="20"/>
                <w:color w:val="auto"/>
              </w:rPr>
            </w:pPr>
            <w:r>
              <w:rPr>
                <w:rFonts w:ascii="Arial" w:cs="Arial" w:eastAsia="Arial" w:hAnsi="Arial"/>
                <w:sz w:val="11"/>
                <w:szCs w:val="11"/>
                <w:color w:val="auto"/>
              </w:rPr>
              <w:t>Former President and Chief Operating Officer</w:t>
            </w:r>
          </w:p>
        </w:tc>
      </w:tr>
      <w:tr>
        <w:trPr>
          <w:trHeight w:val="67"/>
        </w:trPr>
        <w:tc>
          <w:tcPr>
            <w:tcW w:w="3740" w:type="dxa"/>
            <w:vAlign w:val="bottom"/>
            <w:tcBorders>
              <w:bottom w:val="single" w:sz="8" w:color="009BDE"/>
            </w:tcBorders>
          </w:tcPr>
          <w:p>
            <w:pPr>
              <w:spacing w:after="0"/>
              <w:rPr>
                <w:sz w:val="5"/>
                <w:szCs w:val="5"/>
                <w:color w:val="auto"/>
              </w:rPr>
            </w:pPr>
          </w:p>
        </w:tc>
        <w:tc>
          <w:tcPr>
            <w:tcW w:w="3600" w:type="dxa"/>
            <w:vAlign w:val="bottom"/>
            <w:tcBorders>
              <w:bottom w:val="single" w:sz="8" w:color="009BDE"/>
            </w:tcBorders>
          </w:tcPr>
          <w:p>
            <w:pPr>
              <w:spacing w:after="0"/>
              <w:rPr>
                <w:sz w:val="5"/>
                <w:szCs w:val="5"/>
                <w:color w:val="auto"/>
              </w:rPr>
            </w:pPr>
          </w:p>
        </w:tc>
      </w:tr>
      <w:tr>
        <w:trPr>
          <w:trHeight w:val="183"/>
        </w:trPr>
        <w:tc>
          <w:tcPr>
            <w:tcW w:w="3740" w:type="dxa"/>
            <w:vAlign w:val="bottom"/>
          </w:tcPr>
          <w:p>
            <w:pPr>
              <w:ind w:left="40"/>
              <w:spacing w:after="0"/>
              <w:rPr>
                <w:sz w:val="20"/>
                <w:szCs w:val="20"/>
                <w:color w:val="auto"/>
              </w:rPr>
            </w:pPr>
            <w:r>
              <w:rPr>
                <w:rFonts w:ascii="Arial" w:cs="Arial" w:eastAsia="Arial" w:hAnsi="Arial"/>
                <w:sz w:val="11"/>
                <w:szCs w:val="11"/>
                <w:color w:val="auto"/>
              </w:rPr>
              <w:t>Darren Throop</w:t>
            </w:r>
          </w:p>
        </w:tc>
        <w:tc>
          <w:tcPr>
            <w:tcW w:w="3600" w:type="dxa"/>
            <w:vAlign w:val="bottom"/>
          </w:tcPr>
          <w:p>
            <w:pPr>
              <w:ind w:left="80"/>
              <w:spacing w:after="0"/>
              <w:rPr>
                <w:sz w:val="20"/>
                <w:szCs w:val="20"/>
                <w:color w:val="auto"/>
              </w:rPr>
            </w:pPr>
            <w:r>
              <w:rPr>
                <w:rFonts w:ascii="Arial" w:cs="Arial" w:eastAsia="Arial" w:hAnsi="Arial"/>
                <w:sz w:val="11"/>
                <w:szCs w:val="11"/>
                <w:color w:val="auto"/>
              </w:rPr>
              <w:t>Former Chief Executive Officer, eOne</w:t>
            </w:r>
          </w:p>
        </w:tc>
      </w:tr>
      <w:tr>
        <w:trPr>
          <w:trHeight w:val="67"/>
        </w:trPr>
        <w:tc>
          <w:tcPr>
            <w:tcW w:w="3740" w:type="dxa"/>
            <w:vAlign w:val="bottom"/>
            <w:tcBorders>
              <w:bottom w:val="single" w:sz="8" w:color="009BDE"/>
            </w:tcBorders>
          </w:tcPr>
          <w:p>
            <w:pPr>
              <w:spacing w:after="0"/>
              <w:rPr>
                <w:sz w:val="5"/>
                <w:szCs w:val="5"/>
                <w:color w:val="auto"/>
              </w:rPr>
            </w:pPr>
          </w:p>
        </w:tc>
        <w:tc>
          <w:tcPr>
            <w:tcW w:w="3600" w:type="dxa"/>
            <w:vAlign w:val="bottom"/>
            <w:tcBorders>
              <w:bottom w:val="single" w:sz="8" w:color="009BDE"/>
            </w:tcBorders>
          </w:tcPr>
          <w:p>
            <w:pPr>
              <w:spacing w:after="0"/>
              <w:rPr>
                <w:sz w:val="5"/>
                <w:szCs w:val="5"/>
                <w:color w:val="auto"/>
              </w:rPr>
            </w:pPr>
          </w:p>
        </w:tc>
      </w:tr>
    </w:tbl>
    <w:p>
      <w:pPr>
        <w:spacing w:after="0" w:line="198"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Business and Performance Overview</w:t>
      </w:r>
    </w:p>
    <w:p>
      <w:pPr>
        <w:spacing w:after="0" w:line="113" w:lineRule="exact"/>
        <w:rPr>
          <w:sz w:val="20"/>
          <w:szCs w:val="20"/>
          <w:color w:val="auto"/>
        </w:rPr>
      </w:pPr>
    </w:p>
    <w:p>
      <w:pPr>
        <w:ind w:left="1980" w:right="1059"/>
        <w:spacing w:after="0" w:line="241" w:lineRule="auto"/>
        <w:rPr>
          <w:sz w:val="20"/>
          <w:szCs w:val="20"/>
          <w:color w:val="auto"/>
        </w:rPr>
      </w:pPr>
      <w:r>
        <w:rPr>
          <w:rFonts w:ascii="Arial" w:cs="Arial" w:eastAsia="Arial" w:hAnsi="Arial"/>
          <w:sz w:val="11"/>
          <w:szCs w:val="11"/>
          <w:color w:val="auto"/>
        </w:rPr>
        <w:t>Hasbro, Inc. (“Hasbro”) is a global branded entertainment leader whose mission is to entertain and connect generations of fans through the wonder of storytelling and exhilaration of play. Hasbro delivers engaging brand experiences for global audiences through gaming, consumer products and entertainment, with a portfolio of iconic brands including MAGIC: THE GATHERING, DUNGEONS &amp; DRAGONS, Hasbro Gaming, NERF, TRANSFORMERS, PLAY-DOH and PEPPA PIG, as well as premier partner brands.</w:t>
      </w:r>
    </w:p>
    <w:p>
      <w:pPr>
        <w:spacing w:after="0" w:line="86" w:lineRule="exact"/>
        <w:rPr>
          <w:sz w:val="20"/>
          <w:szCs w:val="20"/>
          <w:color w:val="auto"/>
        </w:rPr>
      </w:pPr>
    </w:p>
    <w:p>
      <w:pPr>
        <w:ind w:left="1980" w:right="1059"/>
        <w:spacing w:after="0" w:line="241" w:lineRule="auto"/>
        <w:rPr>
          <w:sz w:val="20"/>
          <w:szCs w:val="20"/>
          <w:color w:val="auto"/>
        </w:rPr>
      </w:pPr>
      <w:r>
        <w:rPr>
          <w:rFonts w:ascii="Arial" w:cs="Arial" w:eastAsia="Arial" w:hAnsi="Arial"/>
          <w:sz w:val="11"/>
          <w:szCs w:val="11"/>
          <w:color w:val="auto"/>
        </w:rPr>
        <w:t>Hasbro is guided by its purpose to create joy and community for all people around the world, one game, one toy, one story at a time. Hasbro delivers immersive brand experiences for global audiences through gaming, consumer products and entertainment. For more than a decade, we have been consistently recognized for our corporate citizenship, including being named one of the 100 Best Corporate Citizens by 3BL Media, one of the World’s Most Ethical Companies by Ethisphere Institute and one of the 50 Most Community-Minded Companies in the U.S. by the Civic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3971925" cy="21717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0"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26</w:t>
      </w:r>
    </w:p>
    <w:p>
      <w:pPr>
        <w:sectPr>
          <w:pgSz w:w="11900" w:h="16838" w:orient="portrait"/>
          <w:cols w:equalWidth="0" w:num="1">
            <w:col w:w="10159"/>
          </w:cols>
          <w:pgMar w:left="300" w:top="372" w:right="1440" w:bottom="1440" w:gutter="0" w:footer="0" w:header="0"/>
        </w:sectPr>
      </w:pPr>
    </w:p>
    <w:bookmarkStart w:id="48" w:name="page49"/>
    <w:bookmarkEnd w:id="4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135890</wp:posOffset>
            </wp:positionV>
            <wp:extent cx="3457575" cy="207454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345757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2022 Overview</w:t>
      </w:r>
    </w:p>
    <w:p>
      <w:pPr>
        <w:spacing w:after="0" w:line="113" w:lineRule="exact"/>
        <w:rPr>
          <w:sz w:val="20"/>
          <w:szCs w:val="20"/>
          <w:color w:val="auto"/>
        </w:rPr>
      </w:pPr>
    </w:p>
    <w:p>
      <w:pPr>
        <w:ind w:left="1980" w:right="859"/>
        <w:spacing w:after="0" w:line="269" w:lineRule="auto"/>
        <w:rPr>
          <w:sz w:val="20"/>
          <w:szCs w:val="20"/>
          <w:color w:val="auto"/>
        </w:rPr>
      </w:pPr>
      <w:r>
        <w:rPr>
          <w:rFonts w:ascii="Arial" w:cs="Arial" w:eastAsia="Arial" w:hAnsi="Arial"/>
          <w:sz w:val="10"/>
          <w:szCs w:val="10"/>
          <w:color w:val="auto"/>
        </w:rPr>
        <w:t>Fiscal year 2022 was a challenging year. We navigated a difficult economy with high inflation and rising interest rates, a challenged toy and game industry, the continued effects of the coronavirus pandemic, and leadership changes. During 2022, our new CEO, Chris Cocks, led a comprehensive, several month long strategic review of our business. In October 2022, we announced our Blueprint 2.0 strategy, a go-forward strategic plan to drive accelerated revenue and profit growth, by focusing on fewer, bigger and more profitable brands, leveraging our direct-to-consumer and digital businesses, scaling our brands through licensing opportunities, delivering operational excellence, and investing in our people. As we embark upon a multi-year transformational effort to support our revamped Blueprint 2.0 strategy, we have summarized key highlights, changes and events for 2022 below.</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009BDE"/>
        </w:rPr>
        <w:t>Notable Leadership Changes</w:t>
      </w:r>
    </w:p>
    <w:p>
      <w:pPr>
        <w:spacing w:after="0" w:line="111" w:lineRule="exact"/>
        <w:rPr>
          <w:sz w:val="20"/>
          <w:szCs w:val="20"/>
          <w:color w:val="auto"/>
        </w:rPr>
      </w:pPr>
    </w:p>
    <w:p>
      <w:pPr>
        <w:ind w:left="2120" w:right="859" w:hanging="148"/>
        <w:spacing w:after="0" w:line="242" w:lineRule="auto"/>
        <w:tabs>
          <w:tab w:leader="none" w:pos="21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In February 2022, our Board appointed Chris Cocks as our new Chief Executive Officer. Mr. Cocks took over the role from Richard Stoddart, a member of our Board of Directors, who was serving as Interim Chief Executive Officer following the untimely passing of Brian Goldner, our former long-time CEO in October 2021.</w:t>
      </w:r>
    </w:p>
    <w:p>
      <w:pPr>
        <w:spacing w:after="0" w:line="76" w:lineRule="exact"/>
        <w:rPr>
          <w:rFonts w:ascii="Arial" w:cs="Arial" w:eastAsia="Arial" w:hAnsi="Arial"/>
          <w:sz w:val="11"/>
          <w:szCs w:val="11"/>
          <w:color w:val="auto"/>
        </w:rPr>
      </w:pPr>
    </w:p>
    <w:p>
      <w:pPr>
        <w:ind w:left="2120" w:right="879" w:hanging="148"/>
        <w:spacing w:after="0" w:line="241" w:lineRule="auto"/>
        <w:tabs>
          <w:tab w:leader="none" w:pos="21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In February 2022, we appointed Cynthia Williams as President of Wizards of the Coast and Digital Gaming to succeed Mr. Cocks in that role. Ms. Williams joined us from Microsoft, where she most recently served as General Manager and Vice President, Gaming Ecosystem Commercial Team, and drove the expansion of Xbox Gaming and the acceleration of game-creator growth. Prior to joining Microsoft, Ms. Williams spent more than a decade at Amazon, where she led the global growth of their ecommerce direct-to-consumer business Fulfillment by Amazon.</w:t>
      </w:r>
    </w:p>
    <w:p>
      <w:pPr>
        <w:spacing w:after="0" w:line="76" w:lineRule="exact"/>
        <w:rPr>
          <w:rFonts w:ascii="Arial" w:cs="Arial" w:eastAsia="Arial" w:hAnsi="Arial"/>
          <w:sz w:val="11"/>
          <w:szCs w:val="11"/>
          <w:color w:val="auto"/>
        </w:rPr>
      </w:pPr>
    </w:p>
    <w:p>
      <w:pPr>
        <w:ind w:left="2120" w:right="1079" w:hanging="148"/>
        <w:spacing w:after="0" w:line="245" w:lineRule="auto"/>
        <w:tabs>
          <w:tab w:leader="none" w:pos="21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In May 2022, we appointed Najuma Atkinson to lead our Global HR function. Ms. Atkinson, our Executive Vice President and Chief People Officer, joined us from Dell Technologies, where she served as Senior Vice President of Global HR Services.</w:t>
      </w:r>
    </w:p>
    <w:p>
      <w:pPr>
        <w:spacing w:after="0" w:line="74" w:lineRule="exact"/>
        <w:rPr>
          <w:rFonts w:ascii="Arial" w:cs="Arial" w:eastAsia="Arial" w:hAnsi="Arial"/>
          <w:sz w:val="11"/>
          <w:szCs w:val="11"/>
          <w:color w:val="auto"/>
        </w:rPr>
      </w:pPr>
    </w:p>
    <w:p>
      <w:pPr>
        <w:ind w:left="2120" w:right="979" w:hanging="148"/>
        <w:spacing w:after="0" w:line="241" w:lineRule="auto"/>
        <w:tabs>
          <w:tab w:leader="none" w:pos="21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In November 2022, we announced that Deborah Thomas informed Hasbro of her intent to retire from her position as Executive Vice President and Chief Financial Officer after 24 years of distinguished service and leadership with the Company. Hasbro initiated a search process to identify her successor, which is ongoing. Ms. Thomas and Hasbro plan for her to remain as Chief Financial Officer until her successor is in place, and remain as an advisor to the Company thereafter until December 31, 2023 to ensure a smooth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3971925" cy="21717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27</w:t>
      </w:r>
    </w:p>
    <w:p>
      <w:pPr>
        <w:sectPr>
          <w:pgSz w:w="11900" w:h="16838" w:orient="portrait"/>
          <w:cols w:equalWidth="0" w:num="1">
            <w:col w:w="10159"/>
          </w:cols>
          <w:pgMar w:left="300" w:top="372" w:right="1440" w:bottom="1440" w:gutter="0" w:footer="0" w:header="0"/>
        </w:sectPr>
      </w:pPr>
    </w:p>
    <w:bookmarkStart w:id="49" w:name="page50"/>
    <w:bookmarkEnd w:id="4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2120" w:hanging="148"/>
        <w:spacing w:after="0"/>
        <w:tabs>
          <w:tab w:leader="none" w:pos="21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On December 30, 2022, Darren Throop, eOne CEO, retired from the Company.</w:t>
      </w:r>
    </w:p>
    <w:p>
      <w:pPr>
        <w:spacing w:after="0" w:line="80" w:lineRule="exact"/>
        <w:rPr>
          <w:rFonts w:ascii="Arial" w:cs="Arial" w:eastAsia="Arial" w:hAnsi="Arial"/>
          <w:sz w:val="11"/>
          <w:szCs w:val="11"/>
          <w:color w:val="auto"/>
        </w:rPr>
      </w:pPr>
    </w:p>
    <w:p>
      <w:pPr>
        <w:ind w:left="2120" w:right="859" w:hanging="148"/>
        <w:spacing w:after="0" w:line="245" w:lineRule="auto"/>
        <w:tabs>
          <w:tab w:leader="none" w:pos="21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In January 2023, we announced that Eric Nyman, President and Chief Operating Officer since February 2022, would be leaving the Company effective March 31, 2023.</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009BDE"/>
        </w:rPr>
        <w:t>Blueprint 2.0</w:t>
      </w:r>
    </w:p>
    <w:p>
      <w:pPr>
        <w:spacing w:after="0" w:line="111"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Our Blueprint 2.0 strategy is a consumer-centric framework for bringing compelling and expansive brand experiences to audiences around the world. Hasbro’s purpose of creating joy and community for all people around the world, one game, one toy, one story at a time starts with consumers and our fans, who represent multigenerational audiences that sit at the center of Blueprint 2.0. Understanding our fans, expanding our fan base and delivering for them is the key driver behind our evolution as a branded play and entertainment company. The value of our strategy is fully activated when we can take a brand across multiple elements of Blueprint 2.0 including consumer products such as toys, games and licensed products; digital gaming; entertainment and experiences; and our Hasbro Direct business. We believe the ability to build a brand and leverage in-house capabilities to create multiple categories of engagement with consumers and fans is unique to Hasbro and optimizes our business today and in the future.</w:t>
      </w:r>
    </w:p>
    <w:p>
      <w:pPr>
        <w:spacing w:after="0" w:line="141" w:lineRule="exact"/>
        <w:rPr>
          <w:sz w:val="20"/>
          <w:szCs w:val="20"/>
          <w:color w:val="auto"/>
        </w:rPr>
      </w:pPr>
    </w:p>
    <w:p>
      <w:pPr>
        <w:ind w:left="1980" w:right="1059"/>
        <w:spacing w:after="0" w:line="241" w:lineRule="auto"/>
        <w:rPr>
          <w:sz w:val="20"/>
          <w:szCs w:val="20"/>
          <w:color w:val="auto"/>
        </w:rPr>
      </w:pPr>
      <w:r>
        <w:rPr>
          <w:rFonts w:ascii="Arial" w:cs="Arial" w:eastAsia="Arial" w:hAnsi="Arial"/>
          <w:sz w:val="11"/>
          <w:szCs w:val="11"/>
          <w:color w:val="auto"/>
        </w:rPr>
        <w:t>During our strategic review we identified opportunities to focus and scale our business, enhance operational excellence, including through specialized organizational programs and supply chain transformation, to drive growth and profit and enhance shareholder value. We plan to increase strategic investment on our most valuable and profitable franchises across toys, games, entertainment and licensing, and exit certain non-core aspects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99695</wp:posOffset>
            </wp:positionV>
            <wp:extent cx="3429000" cy="205740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34290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80" w:right="1079"/>
        <w:spacing w:after="0" w:line="245" w:lineRule="auto"/>
        <w:rPr>
          <w:sz w:val="20"/>
          <w:szCs w:val="20"/>
          <w:color w:val="auto"/>
        </w:rPr>
      </w:pPr>
      <w:r>
        <w:rPr>
          <w:rFonts w:ascii="Arial" w:cs="Arial" w:eastAsia="Arial" w:hAnsi="Arial"/>
          <w:sz w:val="11"/>
          <w:szCs w:val="11"/>
          <w:color w:val="auto"/>
        </w:rPr>
        <w:t>Our Blueprint 2.0 transformation is focused on key areas of importance: Brand, Insights and Entertainment; Direct and Digital; Licensing; People; and Operational Excellence.</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1"/>
          <w:szCs w:val="11"/>
          <w:i w:val="1"/>
          <w:iCs w:val="1"/>
          <w:u w:val="single" w:color="auto"/>
          <w:color w:val="auto"/>
        </w:rPr>
        <w:t>Brand, Insights and Entertainment</w:t>
      </w:r>
    </w:p>
    <w:p>
      <w:pPr>
        <w:spacing w:after="0" w:line="109" w:lineRule="exact"/>
        <w:rPr>
          <w:sz w:val="20"/>
          <w:szCs w:val="20"/>
          <w:color w:val="auto"/>
        </w:rPr>
      </w:pPr>
    </w:p>
    <w:p>
      <w:pPr>
        <w:ind w:left="2120" w:right="1219" w:hanging="148"/>
        <w:spacing w:after="0" w:line="245" w:lineRule="auto"/>
        <w:tabs>
          <w:tab w:leader="none" w:pos="2120" w:val="left"/>
        </w:tabs>
        <w:numPr>
          <w:ilvl w:val="0"/>
          <w:numId w:val="29"/>
        </w:numPr>
        <w:rPr>
          <w:rFonts w:ascii="Arial" w:cs="Arial" w:eastAsia="Arial" w:hAnsi="Arial"/>
          <w:sz w:val="11"/>
          <w:szCs w:val="11"/>
          <w:color w:val="auto"/>
        </w:rPr>
      </w:pPr>
      <w:r>
        <w:rPr>
          <w:rFonts w:ascii="Arial" w:cs="Arial" w:eastAsia="Arial" w:hAnsi="Arial"/>
          <w:sz w:val="11"/>
          <w:szCs w:val="11"/>
          <w:color w:val="auto"/>
        </w:rPr>
        <w:t>Focus on fewer, bigger, more profitable brands and drive market share in the key categories of preschool, games, creativity, outdoor and action brands.</w:t>
      </w:r>
    </w:p>
    <w:p>
      <w:pPr>
        <w:spacing w:after="0" w:line="74" w:lineRule="exact"/>
        <w:rPr>
          <w:rFonts w:ascii="Arial" w:cs="Arial" w:eastAsia="Arial" w:hAnsi="Arial"/>
          <w:sz w:val="11"/>
          <w:szCs w:val="11"/>
          <w:color w:val="auto"/>
        </w:rPr>
      </w:pPr>
    </w:p>
    <w:p>
      <w:pPr>
        <w:ind w:left="2120" w:right="919" w:hanging="148"/>
        <w:spacing w:after="0" w:line="245" w:lineRule="auto"/>
        <w:tabs>
          <w:tab w:leader="none" w:pos="2120" w:val="left"/>
        </w:tabs>
        <w:numPr>
          <w:ilvl w:val="0"/>
          <w:numId w:val="29"/>
        </w:numPr>
        <w:rPr>
          <w:rFonts w:ascii="Arial" w:cs="Arial" w:eastAsia="Arial" w:hAnsi="Arial"/>
          <w:sz w:val="11"/>
          <w:szCs w:val="11"/>
          <w:color w:val="auto"/>
        </w:rPr>
      </w:pPr>
      <w:r>
        <w:rPr>
          <w:rFonts w:ascii="Arial" w:cs="Arial" w:eastAsia="Arial" w:hAnsi="Arial"/>
          <w:sz w:val="11"/>
          <w:szCs w:val="11"/>
          <w:color w:val="auto"/>
        </w:rPr>
        <w:t>Develop our insights and analytics capabilities heavily focused on putting consumers at the center of everything we do, as we build multi-generational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57785</wp:posOffset>
            </wp:positionV>
            <wp:extent cx="3971925" cy="21717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29"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28</w:t>
      </w:r>
    </w:p>
    <w:p>
      <w:pPr>
        <w:sectPr>
          <w:pgSz w:w="11900" w:h="16838" w:orient="portrait"/>
          <w:cols w:equalWidth="0" w:num="1">
            <w:col w:w="10159"/>
          </w:cols>
          <w:pgMar w:left="300" w:top="372" w:right="1440" w:bottom="1440" w:gutter="0" w:footer="0" w:header="0"/>
        </w:sectPr>
      </w:pPr>
    </w:p>
    <w:bookmarkStart w:id="50" w:name="page51"/>
    <w:bookmarkEnd w:id="5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2120" w:right="939" w:hanging="148"/>
        <w:spacing w:after="0" w:line="245" w:lineRule="auto"/>
        <w:tabs>
          <w:tab w:leader="none" w:pos="2120" w:val="left"/>
        </w:tabs>
        <w:numPr>
          <w:ilvl w:val="0"/>
          <w:numId w:val="30"/>
        </w:numPr>
        <w:rPr>
          <w:rFonts w:ascii="Arial" w:cs="Arial" w:eastAsia="Arial" w:hAnsi="Arial"/>
          <w:sz w:val="11"/>
          <w:szCs w:val="11"/>
          <w:color w:val="auto"/>
        </w:rPr>
      </w:pPr>
      <w:r>
        <w:rPr>
          <w:rFonts w:ascii="Arial" w:cs="Arial" w:eastAsia="Arial" w:hAnsi="Arial"/>
          <w:sz w:val="11"/>
          <w:szCs w:val="11"/>
          <w:color w:val="auto"/>
        </w:rPr>
        <w:t>Entertainment investments focused on Hasbro IP aligned with our Blueprint 2.0 strategy, including merchandise and digital engagement opportunities with a focus on franchise brands.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1"/>
          <w:szCs w:val="11"/>
          <w:i w:val="1"/>
          <w:iCs w:val="1"/>
          <w:u w:val="single" w:color="auto"/>
          <w:color w:val="auto"/>
        </w:rPr>
        <w:t>Direct and Digital</w:t>
      </w:r>
    </w:p>
    <w:p>
      <w:pPr>
        <w:spacing w:after="0" w:line="81" w:lineRule="exact"/>
        <w:rPr>
          <w:sz w:val="20"/>
          <w:szCs w:val="20"/>
          <w:color w:val="auto"/>
        </w:rPr>
      </w:pPr>
    </w:p>
    <w:p>
      <w:pPr>
        <w:jc w:val="both"/>
        <w:ind w:left="2120" w:right="1079" w:hanging="148"/>
        <w:spacing w:after="0" w:line="251" w:lineRule="auto"/>
        <w:tabs>
          <w:tab w:leader="none" w:pos="2120" w:val="left"/>
        </w:tabs>
        <w:numPr>
          <w:ilvl w:val="0"/>
          <w:numId w:val="31"/>
        </w:numPr>
        <w:rPr>
          <w:rFonts w:ascii="Arial" w:cs="Arial" w:eastAsia="Arial" w:hAnsi="Arial"/>
          <w:sz w:val="11"/>
          <w:szCs w:val="11"/>
          <w:color w:val="auto"/>
        </w:rPr>
      </w:pPr>
      <w:r>
        <w:rPr>
          <w:rFonts w:ascii="Arial" w:cs="Arial" w:eastAsia="Arial" w:hAnsi="Arial"/>
          <w:sz w:val="11"/>
          <w:szCs w:val="11"/>
          <w:color w:val="auto"/>
        </w:rPr>
        <w:t xml:space="preserve">Invest in our Hasbro direct-to-consumer and digital business, inclusive of Hasbro PULSE, SECRET LAIR, </w:t>
      </w:r>
      <w:r>
        <w:rPr>
          <w:rFonts w:ascii="Arial" w:cs="Arial" w:eastAsia="Arial" w:hAnsi="Arial"/>
          <w:sz w:val="11"/>
          <w:szCs w:val="11"/>
          <w:i w:val="1"/>
          <w:iCs w:val="1"/>
          <w:color w:val="auto"/>
        </w:rPr>
        <w:t>MAGIC: THE GATHERING ARENA</w:t>
      </w:r>
      <w:r>
        <w:rPr>
          <w:rFonts w:ascii="Arial" w:cs="Arial" w:eastAsia="Arial" w:hAnsi="Arial"/>
          <w:sz w:val="11"/>
          <w:szCs w:val="11"/>
          <w:color w:val="auto"/>
        </w:rPr>
        <w:t xml:space="preserve"> and D&amp;D Beyond. An example of this investment includes our 2022 acquisition of D&amp;D Beyond, the premier digital content platform for DUNGEONS &amp; DRAGONS, for a purchase price of $146.3 million.</w:t>
      </w:r>
    </w:p>
    <w:p>
      <w:pPr>
        <w:spacing w:after="0" w:line="72" w:lineRule="exact"/>
        <w:rPr>
          <w:rFonts w:ascii="Arial" w:cs="Arial" w:eastAsia="Arial" w:hAnsi="Arial"/>
          <w:sz w:val="11"/>
          <w:szCs w:val="11"/>
          <w:color w:val="auto"/>
        </w:rPr>
      </w:pPr>
    </w:p>
    <w:p>
      <w:pPr>
        <w:ind w:left="2120" w:hanging="148"/>
        <w:spacing w:after="0"/>
        <w:tabs>
          <w:tab w:leader="none" w:pos="2120" w:val="left"/>
        </w:tabs>
        <w:numPr>
          <w:ilvl w:val="0"/>
          <w:numId w:val="31"/>
        </w:numPr>
        <w:rPr>
          <w:rFonts w:ascii="Arial" w:cs="Arial" w:eastAsia="Arial" w:hAnsi="Arial"/>
          <w:sz w:val="11"/>
          <w:szCs w:val="11"/>
          <w:color w:val="auto"/>
        </w:rPr>
      </w:pPr>
      <w:r>
        <w:rPr>
          <w:rFonts w:ascii="Arial" w:cs="Arial" w:eastAsia="Arial" w:hAnsi="Arial"/>
          <w:sz w:val="11"/>
          <w:szCs w:val="11"/>
          <w:color w:val="auto"/>
        </w:rPr>
        <w:t>Continue to cultivate digital licensing relationships that activate our brands.</w:t>
      </w:r>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i w:val="1"/>
          <w:iCs w:val="1"/>
          <w:u w:val="single" w:color="auto"/>
          <w:color w:val="auto"/>
        </w:rPr>
        <w:t>Licensing</w:t>
      </w:r>
    </w:p>
    <w:p>
      <w:pPr>
        <w:spacing w:after="0" w:line="91" w:lineRule="exact"/>
        <w:rPr>
          <w:sz w:val="20"/>
          <w:szCs w:val="20"/>
          <w:color w:val="auto"/>
        </w:rPr>
      </w:pPr>
    </w:p>
    <w:p>
      <w:pPr>
        <w:ind w:left="2120" w:right="1039" w:hanging="148"/>
        <w:spacing w:after="0" w:line="245" w:lineRule="auto"/>
        <w:tabs>
          <w:tab w:leader="none" w:pos="2120" w:val="left"/>
        </w:tabs>
        <w:numPr>
          <w:ilvl w:val="0"/>
          <w:numId w:val="32"/>
        </w:numPr>
        <w:rPr>
          <w:rFonts w:ascii="Arial" w:cs="Arial" w:eastAsia="Arial" w:hAnsi="Arial"/>
          <w:sz w:val="11"/>
          <w:szCs w:val="11"/>
          <w:color w:val="auto"/>
        </w:rPr>
      </w:pPr>
      <w:r>
        <w:rPr>
          <w:rFonts w:ascii="Arial" w:cs="Arial" w:eastAsia="Arial" w:hAnsi="Arial"/>
          <w:sz w:val="11"/>
          <w:szCs w:val="11"/>
          <w:color w:val="auto"/>
        </w:rPr>
        <w:t>Scale licensing of our brands through a growing portfolio of partners from theme park operators to toy companies, for consumers to experience our brands and drive communities of friendship and fandom around them.</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1"/>
          <w:szCs w:val="11"/>
          <w:i w:val="1"/>
          <w:iCs w:val="1"/>
          <w:u w:val="single" w:color="auto"/>
          <w:color w:val="auto"/>
        </w:rPr>
        <w:t>People</w:t>
      </w:r>
    </w:p>
    <w:p>
      <w:pPr>
        <w:spacing w:after="0" w:line="91" w:lineRule="exact"/>
        <w:rPr>
          <w:sz w:val="20"/>
          <w:szCs w:val="20"/>
          <w:color w:val="auto"/>
        </w:rPr>
      </w:pPr>
    </w:p>
    <w:p>
      <w:pPr>
        <w:ind w:left="2120" w:right="1099" w:hanging="148"/>
        <w:spacing w:after="0" w:line="245" w:lineRule="auto"/>
        <w:tabs>
          <w:tab w:leader="none" w:pos="2120" w:val="left"/>
        </w:tabs>
        <w:numPr>
          <w:ilvl w:val="0"/>
          <w:numId w:val="33"/>
        </w:numPr>
        <w:rPr>
          <w:rFonts w:ascii="Arial" w:cs="Arial" w:eastAsia="Arial" w:hAnsi="Arial"/>
          <w:sz w:val="11"/>
          <w:szCs w:val="11"/>
          <w:color w:val="auto"/>
        </w:rPr>
      </w:pPr>
      <w:r>
        <w:rPr>
          <w:rFonts w:ascii="Arial" w:cs="Arial" w:eastAsia="Arial" w:hAnsi="Arial"/>
          <w:sz w:val="11"/>
          <w:szCs w:val="11"/>
          <w:color w:val="auto"/>
        </w:rPr>
        <w:t>Invest in our people at all levels of our organization and continue to foster a diverse and inclusive culture that drives accountability and focuses on profitability.</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1"/>
          <w:szCs w:val="11"/>
          <w:i w:val="1"/>
          <w:iCs w:val="1"/>
          <w:u w:val="single" w:color="auto"/>
          <w:color w:val="auto"/>
        </w:rPr>
        <w:t>Operational Excellence</w:t>
      </w:r>
    </w:p>
    <w:p>
      <w:pPr>
        <w:spacing w:after="0" w:line="91" w:lineRule="exact"/>
        <w:rPr>
          <w:sz w:val="20"/>
          <w:szCs w:val="20"/>
          <w:color w:val="auto"/>
        </w:rPr>
      </w:pPr>
    </w:p>
    <w:p>
      <w:pPr>
        <w:ind w:left="1980"/>
        <w:spacing w:after="0"/>
        <w:tabs>
          <w:tab w:leader="none" w:pos="210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0"/>
          <w:szCs w:val="10"/>
          <w:color w:val="auto"/>
        </w:rPr>
        <w:t>Execute operational savings initiatives, including supply chain transformation, to improve operating results and reinvest in our business.</w:t>
      </w:r>
    </w:p>
    <w:p>
      <w:pPr>
        <w:spacing w:after="0" w:line="204"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009BDE"/>
        </w:rPr>
        <w:t>Blueprint 2.0 and Impact on 2023 Compensation Decisions</w:t>
      </w:r>
    </w:p>
    <w:p>
      <w:pPr>
        <w:spacing w:after="0" w:line="84" w:lineRule="exact"/>
        <w:rPr>
          <w:sz w:val="20"/>
          <w:szCs w:val="20"/>
          <w:color w:val="auto"/>
        </w:rPr>
      </w:pPr>
    </w:p>
    <w:p>
      <w:pPr>
        <w:ind w:left="1980" w:right="959"/>
        <w:spacing w:after="0" w:line="241" w:lineRule="auto"/>
        <w:rPr>
          <w:sz w:val="20"/>
          <w:szCs w:val="20"/>
          <w:color w:val="auto"/>
        </w:rPr>
      </w:pPr>
      <w:r>
        <w:rPr>
          <w:rFonts w:ascii="Arial" w:cs="Arial" w:eastAsia="Arial" w:hAnsi="Arial"/>
          <w:sz w:val="11"/>
          <w:szCs w:val="11"/>
          <w:color w:val="auto"/>
        </w:rPr>
        <w:t>To ensure success of our new Blueprint 2.0 strategy, the Committee understands that it is critical to align our executive compensation program with the goals of the strategy. As previously announced, we expect to attain operational excellence by focusing and scaling our operations with a plan to achieve 20% adjusted operating profit margin by full-year 2027, and deliver annual run rate cost savings between $250 and $300 million by 2025. If we can achieve these goals, we believe our total shareholder return will improve as well.</w:t>
      </w:r>
    </w:p>
    <w:p>
      <w:pPr>
        <w:spacing w:after="0" w:line="95" w:lineRule="exact"/>
        <w:rPr>
          <w:sz w:val="20"/>
          <w:szCs w:val="20"/>
          <w:color w:val="auto"/>
        </w:rPr>
      </w:pPr>
    </w:p>
    <w:p>
      <w:pPr>
        <w:ind w:left="1980" w:right="859"/>
        <w:spacing w:after="0" w:line="239" w:lineRule="auto"/>
        <w:rPr>
          <w:sz w:val="20"/>
          <w:szCs w:val="20"/>
          <w:color w:val="auto"/>
        </w:rPr>
      </w:pPr>
      <w:r>
        <w:rPr>
          <w:rFonts w:ascii="Arial" w:cs="Arial" w:eastAsia="Arial" w:hAnsi="Arial"/>
          <w:sz w:val="11"/>
          <w:szCs w:val="11"/>
          <w:color w:val="auto"/>
        </w:rPr>
        <w:t>Our executive compensation plan design for 2023 takes these goals into account. For fiscal 2023, our annual incentive plan will contain financial performance metrics, which the Committee believes captures the most important aspects of the top and bottom line performance of the Company as well as the Company’s change in strategic direction and transformation efforts. Namely, total net revenue (weighted at 40%), operating profit margin (weighted at 40%) and metrics around performance relating to our transformation efforts, most notably specific targets for costs savings as part of the Company’s operational excellence program (collectively weighted at 20%). For the business area metrics, the Committee determined to use revenue and operating profit margin of the business area, each weighted at 40%, and similarly added metrics around performance against our transformation efforts for the business area (weighted 20%) stressing the importance of the Company’s transformation efforts. The cash flow metric from prior years has been removed as a metric for this year’s annual incentive plan, to focus on the progress of our transformation efforts, as that is a key component to the success of our Blueprint 2.0 strategy.</w:t>
      </w:r>
    </w:p>
    <w:p>
      <w:pPr>
        <w:spacing w:after="0" w:line="99" w:lineRule="exact"/>
        <w:rPr>
          <w:sz w:val="20"/>
          <w:szCs w:val="20"/>
          <w:color w:val="auto"/>
        </w:rPr>
      </w:pPr>
    </w:p>
    <w:p>
      <w:pPr>
        <w:ind w:left="1980" w:right="899"/>
        <w:spacing w:after="0"/>
        <w:rPr>
          <w:sz w:val="20"/>
          <w:szCs w:val="20"/>
          <w:color w:val="auto"/>
        </w:rPr>
      </w:pPr>
      <w:r>
        <w:rPr>
          <w:rFonts w:ascii="Arial" w:cs="Arial" w:eastAsia="Arial" w:hAnsi="Arial"/>
          <w:sz w:val="11"/>
          <w:szCs w:val="11"/>
          <w:color w:val="auto"/>
        </w:rPr>
        <w:t>In 2023, the metrics for the performance contingent stock awards, which represent 50% of total LTI for our NEOs, have also been revised to focus on the metrics which the Committee believes capture the most important aspects of the Company’s long term performance. Namely, Diluted EPS (weighted at 50%) and return on invested capital (ROIC) (weighted at 50%), subject to +/- 25% modifier for the Company’s relative Total Shareholder Return (TSR) performance against the S&amp;P 500 TSR comparator group. The TSR modifier replaces the revenue metric used in prior years to stress the importance of improving our 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60325</wp:posOffset>
            </wp:positionV>
            <wp:extent cx="3971925" cy="21717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3"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29</w:t>
      </w:r>
    </w:p>
    <w:p>
      <w:pPr>
        <w:sectPr>
          <w:pgSz w:w="11900" w:h="16838" w:orient="portrait"/>
          <w:cols w:equalWidth="0" w:num="1">
            <w:col w:w="10159"/>
          </w:cols>
          <w:pgMar w:left="300" w:top="372" w:right="1440"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009BDE"/>
        </w:rPr>
        <w:t>2022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1595120</wp:posOffset>
            </wp:positionH>
            <wp:positionV relativeFrom="paragraph">
              <wp:posOffset>109220</wp:posOffset>
            </wp:positionV>
            <wp:extent cx="3977640" cy="238887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3977640" cy="2388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980" w:right="859"/>
        <w:spacing w:after="0" w:line="264" w:lineRule="auto"/>
        <w:rPr>
          <w:sz w:val="20"/>
          <w:szCs w:val="20"/>
          <w:color w:val="auto"/>
        </w:rPr>
      </w:pPr>
      <w:r>
        <w:rPr>
          <w:rFonts w:ascii="Arial" w:cs="Arial" w:eastAsia="Arial" w:hAnsi="Arial"/>
          <w:sz w:val="11"/>
          <w:szCs w:val="11"/>
          <w:i w:val="1"/>
          <w:iCs w:val="1"/>
          <w:color w:val="auto"/>
        </w:rPr>
        <w:t xml:space="preserve">Adjusted operating profit, adjusted net earnings and adjusted earnings per diluted share are non-GAAP financial measures as defined under SEC rules. A reconciliation of these non-GAAP financial measures to GAAP is provided in </w:t>
      </w:r>
      <w:r>
        <w:rPr>
          <w:rFonts w:ascii="Arial" w:cs="Arial" w:eastAsia="Arial" w:hAnsi="Arial"/>
          <w:sz w:val="11"/>
          <w:szCs w:val="11"/>
          <w:i w:val="1"/>
          <w:iCs w:val="1"/>
          <w:u w:val="single" w:color="auto"/>
          <w:color w:val="auto"/>
        </w:rPr>
        <w:t>Appendix A</w:t>
      </w:r>
      <w:r>
        <w:rPr>
          <w:rFonts w:ascii="Arial" w:cs="Arial" w:eastAsia="Arial" w:hAnsi="Arial"/>
          <w:sz w:val="11"/>
          <w:szCs w:val="11"/>
          <w:i w:val="1"/>
          <w:iCs w:val="1"/>
          <w:color w:val="auto"/>
        </w:rPr>
        <w:t xml:space="preserve"> to this Proxy Statement.</w:t>
      </w:r>
    </w:p>
    <w:p>
      <w:pPr>
        <w:spacing w:after="0" w:line="188"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009BDE"/>
        </w:rPr>
        <w:t>2022 Compensation Payouts Aligned with Performance</w:t>
      </w:r>
    </w:p>
    <w:p>
      <w:pPr>
        <w:spacing w:after="0" w:line="111" w:lineRule="exact"/>
        <w:rPr>
          <w:sz w:val="20"/>
          <w:szCs w:val="20"/>
          <w:color w:val="auto"/>
        </w:rPr>
      </w:pPr>
    </w:p>
    <w:p>
      <w:pPr>
        <w:ind w:left="1980" w:right="859"/>
        <w:spacing w:after="0" w:line="239" w:lineRule="auto"/>
        <w:rPr>
          <w:sz w:val="20"/>
          <w:szCs w:val="20"/>
          <w:color w:val="auto"/>
        </w:rPr>
      </w:pPr>
      <w:r>
        <w:rPr>
          <w:rFonts w:ascii="Arial" w:cs="Arial" w:eastAsia="Arial" w:hAnsi="Arial"/>
          <w:sz w:val="11"/>
          <w:szCs w:val="11"/>
          <w:color w:val="auto"/>
        </w:rPr>
        <w:t>Our compensation program is aligned with performance.This alignment is evidenced by our results in 2022. With respect to the 2022 annual incentive plan, the Committee reviewed the performance of the Company and its business areas against the annual incentive plan targets for fiscal year 2022. The Company payout factor for awards under the 2022 annual incentive plan, as shared with the Committee, would have been 70% of target. The Committee reviewed the base incentive awards that would have been received by the NEOs using the Company and business area performance. In addition to the NEO’s individual performance, the Committee also considered the Company’s underperformance, the Company’s transformation efforts, its new strategy and focus areas under Blueprint 2.0 and cost reduction measures taken by the Company intended to position the Company for future success. After this review, the Committee determined to exercise negative discretion and reduce the Company payout factor to 20% of target for senior leaders and 25% for remaining employees. Following this determination, including recommendations from both our CEO and CFO that they receive no bonus for 2022, the Committee considered such recommendation and determined to award no payout for each of Mr. Cocks, Ms. Thomas and Mr. Nyman. Ms. Williams received a modified bonus of 75% of target under her bonus formula, reflecting a reduced payout for all senior executives due to the Company’s overall performance while acknowledging Wizards’ solid performance. Mr. Throop’s bonus was 80.9% of target based on calculations pursuant to the terms of his employment agreement. With respect to our long-term incentive awards, for 2022, a payout of 57% was achieved for the 2020-2022 three metric performance contingent stock award award and a payout of 45% for the 2020-2022 two metric performance contingent stock award. See “Long-Term Incentive Compensation — Performance Contingent Stock Awards” below. These payouts under the annual incentive plan and LTI program further evidence our pay for performance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62230</wp:posOffset>
            </wp:positionV>
            <wp:extent cx="3971925" cy="21717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6"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30</w:t>
      </w:r>
    </w:p>
    <w:p>
      <w:pPr>
        <w:sectPr>
          <w:pgSz w:w="11900" w:h="16838" w:orient="portrait"/>
          <w:cols w:equalWidth="0" w:num="1">
            <w:col w:w="10159"/>
          </w:cols>
          <w:pgMar w:left="300" w:top="372" w:right="1440"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Cash Returned to Shareholders</w:t>
      </w:r>
    </w:p>
    <w:p>
      <w:pPr>
        <w:spacing w:after="0" w:line="86" w:lineRule="exact"/>
        <w:rPr>
          <w:sz w:val="20"/>
          <w:szCs w:val="20"/>
          <w:color w:val="auto"/>
        </w:rPr>
      </w:pPr>
    </w:p>
    <w:p>
      <w:pPr>
        <w:ind w:left="1980" w:right="859"/>
        <w:spacing w:after="0" w:line="241" w:lineRule="auto"/>
        <w:rPr>
          <w:sz w:val="20"/>
          <w:szCs w:val="20"/>
          <w:color w:val="auto"/>
        </w:rPr>
      </w:pPr>
      <w:r>
        <w:rPr>
          <w:rFonts w:ascii="Arial" w:cs="Arial" w:eastAsia="Arial" w:hAnsi="Arial"/>
          <w:sz w:val="11"/>
          <w:szCs w:val="11"/>
          <w:color w:val="auto"/>
        </w:rPr>
        <w:t>Providing value and return to our shareholders are fundamental corporate objectives. The table below shows the amounts we have returned to our shareholders since 2018, in the form of both cash dividends and share repurchases. As the table indicates, in 2020, we suspended our share repurchase program as we prioritized our goal of returning our gross debt to EBITDA target of 2 to 2.5x following our borrowing of funds for the acquisition of eOne. In 2022, we reinstated our share repurchase program on a limited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99695</wp:posOffset>
            </wp:positionV>
            <wp:extent cx="3429000" cy="205740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34290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Net Revenues</w:t>
      </w:r>
    </w:p>
    <w:p>
      <w:pPr>
        <w:spacing w:after="0" w:line="113" w:lineRule="exact"/>
        <w:rPr>
          <w:sz w:val="20"/>
          <w:szCs w:val="20"/>
          <w:color w:val="auto"/>
        </w:rPr>
      </w:pPr>
    </w:p>
    <w:p>
      <w:pPr>
        <w:ind w:left="1980" w:right="1079"/>
        <w:spacing w:after="0" w:line="245" w:lineRule="auto"/>
        <w:rPr>
          <w:sz w:val="20"/>
          <w:szCs w:val="20"/>
          <w:color w:val="auto"/>
        </w:rPr>
      </w:pPr>
      <w:r>
        <w:rPr>
          <w:rFonts w:ascii="Arial" w:cs="Arial" w:eastAsia="Arial" w:hAnsi="Arial"/>
          <w:sz w:val="11"/>
          <w:szCs w:val="11"/>
          <w:color w:val="auto"/>
        </w:rPr>
        <w:t>The graph below charts the Company’s net revenues (in millions of dollars) for every fiscal year since 2018. For fiscal years 2020, 2021 and 2022 net revenues include revenues from eOne, which was acquired in the first fiscal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-4445</wp:posOffset>
            </wp:positionV>
            <wp:extent cx="4046220" cy="233743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4046220" cy="2337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31</w:t>
      </w:r>
    </w:p>
    <w:p>
      <w:pPr>
        <w:sectPr>
          <w:pgSz w:w="11900" w:h="16838" w:orient="portrait"/>
          <w:cols w:equalWidth="0" w:num="1">
            <w:col w:w="10159"/>
          </w:cols>
          <w:pgMar w:left="300" w:top="372" w:right="1440" w:bottom="1440" w:gutter="0" w:footer="0" w:header="0"/>
        </w:sectPr>
      </w:pPr>
    </w:p>
    <w:bookmarkStart w:id="53" w:name="page54"/>
    <w:bookmarkEnd w:id="5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jc w:val="both"/>
        <w:ind w:left="1980" w:right="979"/>
        <w:spacing w:after="0" w:line="278" w:lineRule="auto"/>
        <w:rPr>
          <w:sz w:val="20"/>
          <w:szCs w:val="20"/>
          <w:color w:val="auto"/>
        </w:rPr>
      </w:pPr>
      <w:r>
        <w:rPr>
          <w:rFonts w:ascii="Arial" w:cs="Arial" w:eastAsia="Arial" w:hAnsi="Arial"/>
          <w:sz w:val="10"/>
          <w:szCs w:val="10"/>
          <w:color w:val="auto"/>
        </w:rPr>
        <w:t xml:space="preserve">The tables below provide the following for each of the fiscal years 2018-2022: the Company’s GAAP diluted earnings per share (adjusted earnings per share in green); operating cash flow; and operating profit margin (adjusted operating profit margin in green). The results for fiscal years 2020, 2021 and 2022 include the results of eOne. </w:t>
      </w:r>
      <w:r>
        <w:rPr>
          <w:rFonts w:ascii="Arial" w:cs="Arial" w:eastAsia="Arial" w:hAnsi="Arial"/>
          <w:sz w:val="10"/>
          <w:szCs w:val="10"/>
          <w:i w:val="1"/>
          <w:iCs w:val="1"/>
          <w:color w:val="auto"/>
        </w:rPr>
        <w:t>A reconciliation of our GAAP to Non-GAAP financial measures is included in</w:t>
      </w:r>
      <w:r>
        <w:rPr>
          <w:rFonts w:ascii="Arial" w:cs="Arial" w:eastAsia="Arial" w:hAnsi="Arial"/>
          <w:sz w:val="10"/>
          <w:szCs w:val="10"/>
          <w:color w:val="auto"/>
        </w:rPr>
        <w:t xml:space="preserve"> </w:t>
      </w:r>
      <w:r>
        <w:rPr>
          <w:rFonts w:ascii="Arial" w:cs="Arial" w:eastAsia="Arial" w:hAnsi="Arial"/>
          <w:sz w:val="10"/>
          <w:szCs w:val="10"/>
          <w:i w:val="1"/>
          <w:iCs w:val="1"/>
          <w:u w:val="single" w:color="auto"/>
          <w:color w:val="auto"/>
        </w:rPr>
        <w:t>Appendix A</w:t>
      </w:r>
      <w:r>
        <w:rPr>
          <w:rFonts w:ascii="Arial" w:cs="Arial" w:eastAsia="Arial" w:hAnsi="Arial"/>
          <w:sz w:val="10"/>
          <w:szCs w:val="10"/>
          <w:color w:val="auto"/>
        </w:rPr>
        <w:t xml:space="preserve"> </w:t>
      </w:r>
      <w:r>
        <w:rPr>
          <w:rFonts w:ascii="Arial" w:cs="Arial" w:eastAsia="Arial" w:hAnsi="Arial"/>
          <w:sz w:val="10"/>
          <w:szCs w:val="10"/>
          <w:i w:val="1"/>
          <w:iCs w:val="1"/>
          <w:color w:val="auto"/>
        </w:rPr>
        <w:t>to this Proxy Statement</w:t>
      </w: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980" w:right="939"/>
        <w:spacing w:after="0" w:line="245" w:lineRule="auto"/>
        <w:rPr>
          <w:sz w:val="20"/>
          <w:szCs w:val="20"/>
          <w:color w:val="auto"/>
        </w:rPr>
      </w:pPr>
      <w:r>
        <w:rPr>
          <w:rFonts w:ascii="Arial" w:cs="Arial" w:eastAsia="Arial" w:hAnsi="Arial"/>
          <w:sz w:val="11"/>
          <w:szCs w:val="11"/>
          <w:color w:val="auto"/>
        </w:rPr>
        <w:t>The table below compares the total return on our shares of common stock over the designated periods to the returns for the S&amp;P 500 Index and Russell 1000 Consumer Discretionary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97790</wp:posOffset>
            </wp:positionV>
            <wp:extent cx="4046220" cy="217170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4046220"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32</w:t>
      </w:r>
    </w:p>
    <w:p>
      <w:pPr>
        <w:sectPr>
          <w:pgSz w:w="11900" w:h="16838" w:orient="portrait"/>
          <w:cols w:equalWidth="0" w:num="1">
            <w:col w:w="10159"/>
          </w:cols>
          <w:pgMar w:left="300" w:top="372" w:right="1440" w:bottom="1440" w:gutter="0" w:footer="0" w:header="0"/>
        </w:sectPr>
      </w:pPr>
    </w:p>
    <w:bookmarkStart w:id="54" w:name="page55"/>
    <w:bookmarkEnd w:id="5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Our total shareholder return in recent years has been adversely affected by a number of exogenous factors. For example, in 2018, the bankruptcy and restructuring of Toys“R“Us resulted in the loss of one of the most significant customers to our consumer products business. In 2019, the Company’s business was adversely affected by the tariff environment, particularly the imposition or threat of tariffs on our products manufactured in China for import into the U.S. Beginning in 2020 and shortly after our acquisition of eOne in December 2019, the COVID-19 pandemic had a material impact across our businesses, including the shutdown of entertainment operations, retail store closures and supply chain challenges — many of these challenges continued through 2020, 2021 and into parts of 2022. 2022 was also adversely affected due to the high inflation and interest rates and challenged economic conditions experienced in many of our key markets, which has affected consumer discretionary spending.</w:t>
      </w:r>
    </w:p>
    <w:p>
      <w:pPr>
        <w:spacing w:after="0" w:line="19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Shareholder Engagement</w:t>
      </w:r>
    </w:p>
    <w:p>
      <w:pPr>
        <w:spacing w:after="0" w:line="113" w:lineRule="exact"/>
        <w:rPr>
          <w:sz w:val="20"/>
          <w:szCs w:val="20"/>
          <w:color w:val="auto"/>
        </w:rPr>
      </w:pPr>
    </w:p>
    <w:p>
      <w:pPr>
        <w:ind w:left="1980" w:right="899"/>
        <w:spacing w:after="0" w:line="241" w:lineRule="auto"/>
        <w:rPr>
          <w:sz w:val="20"/>
          <w:szCs w:val="20"/>
          <w:color w:val="auto"/>
        </w:rPr>
      </w:pPr>
      <w:r>
        <w:rPr>
          <w:rFonts w:ascii="Arial" w:cs="Arial" w:eastAsia="Arial" w:hAnsi="Arial"/>
          <w:sz w:val="11"/>
          <w:szCs w:val="11"/>
          <w:color w:val="auto"/>
        </w:rPr>
        <w:t>We engage with our major shareholders on ESG, governance and compensation matters on a regular basis. We do this as part of our commitment to build relationships, be responsive to shareholders and ensure that our actions are informed by the viewpoints of our investors. Our shareholders supported our Say-on-Pay votes in the last three years, with favorable votes of 94.6%, 81.3% and 88.0% of the shares voted at the 2020, 2021 and 2022 Annual Meetings, respectively. Our average favorable approval of our Say-on-Pay votes over the past five years has been 91.5%.</w:t>
      </w:r>
    </w:p>
    <w:p>
      <w:pPr>
        <w:spacing w:after="0" w:line="95" w:lineRule="exact"/>
        <w:rPr>
          <w:sz w:val="20"/>
          <w:szCs w:val="20"/>
          <w:color w:val="auto"/>
        </w:rPr>
      </w:pPr>
    </w:p>
    <w:p>
      <w:pPr>
        <w:ind w:left="1980" w:right="859"/>
        <w:spacing w:after="0" w:line="239" w:lineRule="auto"/>
        <w:rPr>
          <w:sz w:val="20"/>
          <w:szCs w:val="20"/>
          <w:color w:val="auto"/>
        </w:rPr>
      </w:pPr>
      <w:r>
        <w:rPr>
          <w:rFonts w:ascii="Arial" w:cs="Arial" w:eastAsia="Arial" w:hAnsi="Arial"/>
          <w:sz w:val="11"/>
          <w:szCs w:val="11"/>
          <w:color w:val="auto"/>
        </w:rPr>
        <w:t>In 2022 and early 2023, we proactively extended an invitation to our top 30 shareholders (holding in aggregate approximately 53% of our outstanding shares) to meet and we had discussions with those who accepted our invitation. We also spoke with shareholders who reached out to us. The chair of the Board participated in a number of these conversations. During these engagement discussions, as described above in our “Proxy Summary”, we discussed our compensation policies and practices, performance metrics and consideration of ESG measures in compensation decisions. The feedback we received from our shareholders was discussed in detail by our Board and its committees. Shareholders we have spoken to indicated that they were supportive of us having incorporated ESG measures into our annual incentive plan, which we began including in 2021, as well as a relative TSR modifier to our performance contingent stock units, which we did for our 2023 fiscal year. We also removed the revenue metric from our performance contingent stock units for 2023 based on shareholder feedback that including such metric could be viewed as rewarding participants twice for the same metric considering we have the metric in our short term incentive plan as well. Based on our continuing dialogue with our significant shareholders and the strong support we have seen for our compensation programs, we believe our current compensation program reflects the views of our shareholders and strongly drives our pay for performance objectives.</w:t>
      </w:r>
    </w:p>
    <w:p>
      <w:pPr>
        <w:spacing w:after="0" w:line="197"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Executive Compensation Program Structure and Alignment with Performance</w:t>
      </w:r>
    </w:p>
    <w:p>
      <w:pPr>
        <w:spacing w:after="0" w:line="104" w:lineRule="exact"/>
        <w:rPr>
          <w:sz w:val="20"/>
          <w:szCs w:val="20"/>
          <w:color w:val="auto"/>
        </w:rPr>
      </w:pPr>
    </w:p>
    <w:p>
      <w:pPr>
        <w:ind w:left="1980" w:right="839"/>
        <w:spacing w:after="0" w:line="239" w:lineRule="auto"/>
        <w:rPr>
          <w:sz w:val="20"/>
          <w:szCs w:val="20"/>
          <w:color w:val="auto"/>
        </w:rPr>
      </w:pPr>
      <w:r>
        <w:rPr>
          <w:rFonts w:ascii="Arial" w:cs="Arial" w:eastAsia="Arial" w:hAnsi="Arial"/>
          <w:sz w:val="11"/>
          <w:szCs w:val="11"/>
          <w:color w:val="auto"/>
        </w:rPr>
        <w:t>The Committee has implemented a carefully structured executive compensation program that is tightly linked to long-term shareholder value creation. The program incorporates a combination of short-term and long-term forms of compensation that are structured to incentivize company performance and the achievement of corporate and business unit objectives the Committee believes are critical to driving sustained long-term shareholder value. At the same time, the program incorporates elements that ensure the Company attracts and retains top executive talent with the creativity, innovation, relentless drive and diverse skills in branded-play, digital gaming, consumer products, media and technology, storytelling and entertainment that are critical to the successful execution of our Blueprint 2.0 strategy. As our strategy evolves, the Committee reviews the compensation program to ensure that it supports the underlying strategy of the Company and enables us to attract and retain key talent to execute on our strategy. See above under the heading “Blueprint 2.0 and Impact on 2023 Compensation Decisions” for more information on changes made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62230</wp:posOffset>
            </wp:positionV>
            <wp:extent cx="3971925" cy="21717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5"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33</w:t>
      </w:r>
    </w:p>
    <w:p>
      <w:pPr>
        <w:sectPr>
          <w:pgSz w:w="11900" w:h="16838" w:orient="portrait"/>
          <w:cols w:equalWidth="0" w:num="1">
            <w:col w:w="10159"/>
          </w:cols>
          <w:pgMar w:left="300" w:top="372" w:right="1440" w:bottom="1440" w:gutter="0" w:footer="0" w:header="0"/>
        </w:sectPr>
      </w:pPr>
    </w:p>
    <w:bookmarkStart w:id="55" w:name="page56"/>
    <w:bookmarkEnd w:id="5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879"/>
        <w:spacing w:after="0" w:line="242" w:lineRule="auto"/>
        <w:rPr>
          <w:sz w:val="20"/>
          <w:szCs w:val="20"/>
          <w:color w:val="auto"/>
        </w:rPr>
      </w:pPr>
      <w:r>
        <w:rPr>
          <w:rFonts w:ascii="Arial" w:cs="Arial" w:eastAsia="Arial" w:hAnsi="Arial"/>
          <w:sz w:val="11"/>
          <w:szCs w:val="11"/>
          <w:color w:val="auto"/>
        </w:rPr>
        <w:t>In support of this linkage to long-term shareholder value creation, a significant portion of the total compensation opportunity for our NEOs is performance-based and at-risk. The chart below shows that, for 2022, 84.3% of our CEO’s total target compensation was at-risk, while 68.1% of his total target compensation was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99060</wp:posOffset>
            </wp:positionV>
            <wp:extent cx="2931795" cy="156591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2931795" cy="156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following chart summarizes the components of our 2022 compensation program for NEOs other than Mr. Stoddart.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101600</wp:posOffset>
            </wp:positionV>
            <wp:extent cx="4663440" cy="2114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4663440" cy="211455"/>
                    </a:xfrm>
                    <a:prstGeom prst="rect">
                      <a:avLst/>
                    </a:prstGeom>
                    <a:noFill/>
                  </pic:spPr>
                </pic:pic>
              </a:graphicData>
            </a:graphic>
          </wp:anchor>
        </w:drawing>
      </w:r>
    </w:p>
    <w:p>
      <w:pPr>
        <w:spacing w:after="0" w:line="194"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FFFFFF"/>
        </w:rPr>
        <w:t>Compensation Program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82550</wp:posOffset>
            </wp:positionV>
            <wp:extent cx="4663440" cy="18288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4663440" cy="182880"/>
                    </a:xfrm>
                    <a:prstGeom prst="rect">
                      <a:avLst/>
                    </a:prstGeom>
                    <a:noFill/>
                  </pic:spPr>
                </pic:pic>
              </a:graphicData>
            </a:graphic>
          </wp:anchor>
        </w:drawing>
      </w:r>
    </w:p>
    <w:p>
      <w:pPr>
        <w:spacing w:after="0" w:line="146"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2022 Executive Compensation Program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65405</wp:posOffset>
            </wp:positionV>
            <wp:extent cx="4663440" cy="571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44" w:lineRule="exact"/>
        <w:rPr>
          <w:sz w:val="20"/>
          <w:szCs w:val="20"/>
          <w:color w:val="auto"/>
        </w:rPr>
      </w:pPr>
    </w:p>
    <w:p>
      <w:pPr>
        <w:ind w:left="2020"/>
        <w:spacing w:after="0"/>
        <w:rPr>
          <w:sz w:val="20"/>
          <w:szCs w:val="20"/>
          <w:color w:val="auto"/>
        </w:rPr>
      </w:pPr>
      <w:r>
        <w:rPr>
          <w:rFonts w:ascii="Arial" w:cs="Arial" w:eastAsia="Arial" w:hAnsi="Arial"/>
          <w:sz w:val="11"/>
          <w:szCs w:val="11"/>
          <w:b w:val="1"/>
          <w:bCs w:val="1"/>
          <w:color w:val="auto"/>
        </w:rPr>
        <w:t>Type of Annual Cash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52070</wp:posOffset>
            </wp:positionV>
            <wp:extent cx="4663440" cy="571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36" w:lineRule="exact"/>
        <w:rPr>
          <w:sz w:val="20"/>
          <w:szCs w:val="20"/>
          <w:color w:val="auto"/>
        </w:rPr>
      </w:pPr>
    </w:p>
    <w:p>
      <w:pPr>
        <w:ind w:left="2020"/>
        <w:spacing w:after="0"/>
        <w:tabs>
          <w:tab w:leader="none" w:pos="2980" w:val="left"/>
        </w:tabs>
        <w:rPr>
          <w:sz w:val="20"/>
          <w:szCs w:val="20"/>
          <w:color w:val="auto"/>
        </w:rPr>
      </w:pPr>
      <w:r>
        <w:rPr>
          <w:rFonts w:ascii="Arial" w:cs="Arial" w:eastAsia="Arial" w:hAnsi="Arial"/>
          <w:sz w:val="11"/>
          <w:szCs w:val="11"/>
          <w:color w:val="auto"/>
        </w:rPr>
        <w:t>Base Salary</w:t>
      </w:r>
      <w:r>
        <w:rPr>
          <w:sz w:val="20"/>
          <w:szCs w:val="20"/>
          <w:color w:val="auto"/>
        </w:rPr>
        <w:tab/>
      </w:r>
      <w:r>
        <w:rPr>
          <w:rFonts w:ascii="Arial" w:cs="Arial" w:eastAsia="Arial" w:hAnsi="Arial"/>
          <w:sz w:val="10"/>
          <w:szCs w:val="10"/>
          <w:color w:val="auto"/>
        </w:rPr>
        <w:t>•  Fixed compensation</w:t>
      </w:r>
    </w:p>
    <w:p>
      <w:pPr>
        <w:spacing w:after="0" w:line="81" w:lineRule="exact"/>
        <w:rPr>
          <w:sz w:val="20"/>
          <w:szCs w:val="20"/>
          <w:color w:val="auto"/>
        </w:rPr>
      </w:pPr>
    </w:p>
    <w:p>
      <w:pPr>
        <w:ind w:left="3000"/>
        <w:spacing w:after="0"/>
        <w:rPr>
          <w:sz w:val="20"/>
          <w:szCs w:val="20"/>
          <w:color w:val="auto"/>
        </w:rPr>
      </w:pPr>
      <w:r>
        <w:rPr>
          <w:rFonts w:ascii="Arial" w:cs="Arial" w:eastAsia="Arial" w:hAnsi="Arial"/>
          <w:sz w:val="11"/>
          <w:szCs w:val="11"/>
          <w:color w:val="auto"/>
        </w:rPr>
        <w:t>•  Set at a market competitive level, in light of individual experience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50165</wp:posOffset>
            </wp:positionV>
            <wp:extent cx="4663440" cy="571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32" w:lineRule="exact"/>
        <w:rPr>
          <w:sz w:val="20"/>
          <w:szCs w:val="20"/>
          <w:color w:val="auto"/>
        </w:rPr>
      </w:pPr>
    </w:p>
    <w:p>
      <w:pPr>
        <w:ind w:left="2020"/>
        <w:spacing w:after="0"/>
        <w:tabs>
          <w:tab w:leader="none" w:pos="2980" w:val="left"/>
        </w:tabs>
        <w:rPr>
          <w:sz w:val="20"/>
          <w:szCs w:val="20"/>
          <w:color w:val="auto"/>
        </w:rPr>
      </w:pPr>
      <w:r>
        <w:rPr>
          <w:rFonts w:ascii="Arial" w:cs="Arial" w:eastAsia="Arial" w:hAnsi="Arial"/>
          <w:sz w:val="11"/>
          <w:szCs w:val="11"/>
          <w:color w:val="auto"/>
        </w:rPr>
        <w:t>Annual</w:t>
      </w:r>
      <w:r>
        <w:rPr>
          <w:sz w:val="20"/>
          <w:szCs w:val="20"/>
          <w:color w:val="auto"/>
        </w:rPr>
        <w:tab/>
      </w:r>
      <w:r>
        <w:rPr>
          <w:rFonts w:ascii="Arial" w:cs="Arial" w:eastAsia="Arial" w:hAnsi="Arial"/>
          <w:sz w:val="11"/>
          <w:szCs w:val="11"/>
          <w:color w:val="auto"/>
        </w:rPr>
        <w:t>•  Performance-based</w:t>
      </w:r>
    </w:p>
    <w:p>
      <w:pPr>
        <w:ind w:left="2020"/>
        <w:spacing w:after="0" w:line="187" w:lineRule="auto"/>
        <w:rPr>
          <w:sz w:val="20"/>
          <w:szCs w:val="20"/>
          <w:color w:val="auto"/>
        </w:rPr>
      </w:pPr>
      <w:r>
        <w:rPr>
          <w:rFonts w:ascii="Arial" w:cs="Arial" w:eastAsia="Arial" w:hAnsi="Arial"/>
          <w:sz w:val="9"/>
          <w:szCs w:val="9"/>
          <w:color w:val="auto"/>
        </w:rPr>
        <w:t>Incentive Awards</w:t>
      </w:r>
    </w:p>
    <w:p>
      <w:pPr>
        <w:ind w:left="3000"/>
        <w:spacing w:after="0"/>
        <w:rPr>
          <w:sz w:val="20"/>
          <w:szCs w:val="20"/>
          <w:color w:val="auto"/>
        </w:rPr>
      </w:pPr>
      <w:r>
        <w:rPr>
          <w:rFonts w:ascii="Arial" w:cs="Arial" w:eastAsia="Arial" w:hAnsi="Arial"/>
          <w:sz w:val="11"/>
          <w:szCs w:val="11"/>
          <w:color w:val="auto"/>
        </w:rPr>
        <w:t>•  Tied to company, business area and individual achievement against stated annual financial and strategic goals</w:t>
      </w:r>
    </w:p>
    <w:p>
      <w:pPr>
        <w:spacing w:after="0" w:line="81" w:lineRule="exact"/>
        <w:rPr>
          <w:sz w:val="20"/>
          <w:szCs w:val="20"/>
          <w:color w:val="auto"/>
        </w:rPr>
      </w:pPr>
    </w:p>
    <w:p>
      <w:pPr>
        <w:ind w:left="3000"/>
        <w:spacing w:after="0"/>
        <w:rPr>
          <w:sz w:val="20"/>
          <w:szCs w:val="20"/>
          <w:color w:val="auto"/>
        </w:rPr>
      </w:pPr>
      <w:r>
        <w:rPr>
          <w:rFonts w:ascii="Arial" w:cs="Arial" w:eastAsia="Arial" w:hAnsi="Arial"/>
          <w:sz w:val="11"/>
          <w:szCs w:val="11"/>
          <w:color w:val="auto"/>
        </w:rPr>
        <w:t>•  Aligns management behavior with maximizing shareholder value</w:t>
      </w:r>
    </w:p>
    <w:p>
      <w:pPr>
        <w:spacing w:after="0" w:line="81" w:lineRule="exact"/>
        <w:rPr>
          <w:sz w:val="20"/>
          <w:szCs w:val="20"/>
          <w:color w:val="auto"/>
        </w:rPr>
      </w:pPr>
    </w:p>
    <w:p>
      <w:pPr>
        <w:ind w:left="3000"/>
        <w:spacing w:after="0"/>
        <w:rPr>
          <w:sz w:val="20"/>
          <w:szCs w:val="20"/>
          <w:color w:val="auto"/>
        </w:rPr>
      </w:pPr>
      <w:r>
        <w:rPr>
          <w:rFonts w:ascii="Arial" w:cs="Arial" w:eastAsia="Arial" w:hAnsi="Arial"/>
          <w:sz w:val="11"/>
          <w:szCs w:val="11"/>
          <w:color w:val="auto"/>
        </w:rPr>
        <w:t>•  Performance measures evaluated</w:t>
      </w:r>
    </w:p>
    <w:p>
      <w:pPr>
        <w:spacing w:after="0" w:line="81" w:lineRule="exact"/>
        <w:rPr>
          <w:sz w:val="20"/>
          <w:szCs w:val="20"/>
          <w:color w:val="auto"/>
        </w:rPr>
      </w:pPr>
    </w:p>
    <w:p>
      <w:pPr>
        <w:ind w:left="3100"/>
        <w:spacing w:after="0"/>
        <w:rPr>
          <w:sz w:val="20"/>
          <w:szCs w:val="20"/>
          <w:color w:val="auto"/>
        </w:rPr>
      </w:pPr>
      <w:r>
        <w:rPr>
          <w:rFonts w:ascii="Arial" w:cs="Arial" w:eastAsia="Arial" w:hAnsi="Arial"/>
          <w:sz w:val="11"/>
          <w:szCs w:val="11"/>
          <w:color w:val="auto"/>
        </w:rPr>
        <w:t>-  Total Net Revenues</w:t>
      </w:r>
    </w:p>
    <w:p>
      <w:pPr>
        <w:spacing w:after="0" w:line="54" w:lineRule="exact"/>
        <w:rPr>
          <w:sz w:val="20"/>
          <w:szCs w:val="20"/>
          <w:color w:val="auto"/>
        </w:rPr>
      </w:pPr>
    </w:p>
    <w:p>
      <w:pPr>
        <w:ind w:left="3100"/>
        <w:spacing w:after="0"/>
        <w:rPr>
          <w:sz w:val="20"/>
          <w:szCs w:val="20"/>
          <w:color w:val="auto"/>
        </w:rPr>
      </w:pPr>
      <w:r>
        <w:rPr>
          <w:rFonts w:ascii="Arial" w:cs="Arial" w:eastAsia="Arial" w:hAnsi="Arial"/>
          <w:sz w:val="11"/>
          <w:szCs w:val="11"/>
          <w:color w:val="auto"/>
        </w:rPr>
        <w:t>-  Operating Profit Margin</w:t>
      </w:r>
    </w:p>
    <w:p>
      <w:pPr>
        <w:spacing w:after="0" w:line="54" w:lineRule="exact"/>
        <w:rPr>
          <w:sz w:val="20"/>
          <w:szCs w:val="20"/>
          <w:color w:val="auto"/>
        </w:rPr>
      </w:pPr>
    </w:p>
    <w:p>
      <w:pPr>
        <w:ind w:left="3100"/>
        <w:spacing w:after="0"/>
        <w:rPr>
          <w:sz w:val="20"/>
          <w:szCs w:val="20"/>
          <w:color w:val="auto"/>
        </w:rPr>
      </w:pPr>
      <w:r>
        <w:rPr>
          <w:rFonts w:ascii="Arial" w:cs="Arial" w:eastAsia="Arial" w:hAnsi="Arial"/>
          <w:sz w:val="11"/>
          <w:szCs w:val="11"/>
          <w:color w:val="auto"/>
        </w:rPr>
        <w:t>-  Free Cash Flow</w:t>
      </w:r>
    </w:p>
    <w:p>
      <w:pPr>
        <w:spacing w:after="0" w:line="81" w:lineRule="exact"/>
        <w:rPr>
          <w:sz w:val="20"/>
          <w:szCs w:val="20"/>
          <w:color w:val="auto"/>
        </w:rPr>
      </w:pPr>
    </w:p>
    <w:p>
      <w:pPr>
        <w:jc w:val="both"/>
        <w:ind w:left="3100" w:right="899" w:hanging="95"/>
        <w:spacing w:after="0" w:line="278" w:lineRule="auto"/>
        <w:rPr>
          <w:sz w:val="20"/>
          <w:szCs w:val="20"/>
          <w:color w:val="auto"/>
        </w:rPr>
      </w:pPr>
      <w:r>
        <w:rPr>
          <w:rFonts w:ascii="Arial" w:cs="Arial" w:eastAsia="Arial" w:hAnsi="Arial"/>
          <w:sz w:val="10"/>
          <w:szCs w:val="10"/>
          <w:color w:val="auto"/>
        </w:rPr>
        <w:t>•  Individual Performance Adjustment: Designed to enable us to reward for strategic and operating performance not captured by the financial metrics listed by allowing the Committee to adjust the payouts up or down based on individual performance, including, in 2022, performance against ESG goals (which included goals promoting women in leadership and racial and ethnic diversity).</w:t>
      </w:r>
    </w:p>
    <w:p>
      <w:pPr>
        <w:spacing w:after="0" w:line="47" w:lineRule="exact"/>
        <w:rPr>
          <w:sz w:val="20"/>
          <w:szCs w:val="20"/>
          <w:color w:val="auto"/>
        </w:rPr>
      </w:pPr>
    </w:p>
    <w:p>
      <w:pPr>
        <w:ind w:left="3000" w:right="919"/>
        <w:spacing w:after="0" w:line="318" w:lineRule="auto"/>
        <w:rPr>
          <w:sz w:val="20"/>
          <w:szCs w:val="20"/>
          <w:color w:val="auto"/>
        </w:rPr>
      </w:pPr>
      <w:r>
        <w:rPr>
          <w:rFonts w:ascii="Arial" w:cs="Arial" w:eastAsia="Arial" w:hAnsi="Arial"/>
          <w:sz w:val="10"/>
          <w:szCs w:val="10"/>
          <w:b w:val="1"/>
          <w:bCs w:val="1"/>
          <w:color w:val="auto"/>
        </w:rPr>
        <w:t>For 2023, we updated these metrics to remove free cash flow and replace it with a metric around performance against our transformation, including specific targets for costs savings as part of the Company’s operational excellence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24765</wp:posOffset>
            </wp:positionV>
            <wp:extent cx="4663440" cy="571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93345</wp:posOffset>
            </wp:positionV>
            <wp:extent cx="3971925" cy="21717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84"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34</w:t>
      </w:r>
    </w:p>
    <w:p>
      <w:pPr>
        <w:sectPr>
          <w:pgSz w:w="11900" w:h="16838" w:orient="portrait"/>
          <w:cols w:equalWidth="0" w:num="1">
            <w:col w:w="10159"/>
          </w:cols>
          <w:pgMar w:left="300" w:top="372" w:right="1440" w:bottom="1440" w:gutter="0" w:footer="0" w:header="0"/>
        </w:sectPr>
      </w:pPr>
    </w:p>
    <w:bookmarkStart w:id="56" w:name="page57"/>
    <w:bookmarkEnd w:id="5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tbl>
      <w:tblPr>
        <w:tblLayout w:type="fixed"/>
        <w:tblInd w:w="1980" w:type="dxa"/>
        <w:tblCellMar>
          <w:top w:w="0" w:type="dxa"/>
          <w:left w:w="0" w:type="dxa"/>
          <w:bottom w:w="0" w:type="dxa"/>
          <w:right w:w="0" w:type="dxa"/>
        </w:tblCellMar>
      </w:tblPr>
      <w:tr>
        <w:trPr>
          <w:trHeight w:val="200"/>
        </w:trPr>
        <w:tc>
          <w:tcPr>
            <w:tcW w:w="860" w:type="dxa"/>
            <w:vAlign w:val="bottom"/>
            <w:shd w:val="clear" w:color="auto" w:fill="CCEBF8"/>
          </w:tcPr>
          <w:p>
            <w:pPr>
              <w:spacing w:after="0"/>
              <w:rPr>
                <w:sz w:val="17"/>
                <w:szCs w:val="17"/>
                <w:color w:val="auto"/>
              </w:rPr>
            </w:pPr>
          </w:p>
        </w:tc>
        <w:tc>
          <w:tcPr>
            <w:tcW w:w="6480" w:type="dxa"/>
            <w:vAlign w:val="bottom"/>
            <w:shd w:val="clear" w:color="auto" w:fill="CCEBF8"/>
          </w:tcPr>
          <w:p>
            <w:pPr>
              <w:ind w:left="1260"/>
              <w:spacing w:after="0"/>
              <w:rPr>
                <w:sz w:val="20"/>
                <w:szCs w:val="20"/>
                <w:color w:val="auto"/>
              </w:rPr>
            </w:pPr>
            <w:r>
              <w:rPr>
                <w:rFonts w:ascii="Arial" w:cs="Arial" w:eastAsia="Arial" w:hAnsi="Arial"/>
                <w:sz w:val="13"/>
                <w:szCs w:val="13"/>
                <w:b w:val="1"/>
                <w:bCs w:val="1"/>
                <w:color w:val="auto"/>
              </w:rPr>
              <w:t>2022 Executive Compensation Program Elements</w:t>
            </w:r>
          </w:p>
        </w:tc>
        <w:tc>
          <w:tcPr>
            <w:tcW w:w="0" w:type="dxa"/>
            <w:vAlign w:val="bottom"/>
          </w:tcPr>
          <w:p>
            <w:pPr>
              <w:spacing w:after="0"/>
              <w:rPr>
                <w:sz w:val="1"/>
                <w:szCs w:val="1"/>
                <w:color w:val="auto"/>
              </w:rPr>
            </w:pPr>
          </w:p>
        </w:tc>
      </w:tr>
      <w:tr>
        <w:trPr>
          <w:trHeight w:val="79"/>
        </w:trPr>
        <w:tc>
          <w:tcPr>
            <w:tcW w:w="7340" w:type="dxa"/>
            <w:vAlign w:val="bottom"/>
            <w:tcBorders>
              <w:bottom w:val="single" w:sz="8" w:color="009BDE"/>
            </w:tcBorders>
            <w:gridSpan w:val="2"/>
            <w:shd w:val="clear" w:color="auto" w:fill="CCEBF8"/>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7340" w:type="dxa"/>
            <w:vAlign w:val="bottom"/>
            <w:gridSpan w:val="2"/>
          </w:tcPr>
          <w:p>
            <w:pPr>
              <w:ind w:left="40"/>
              <w:spacing w:after="0"/>
              <w:rPr>
                <w:sz w:val="20"/>
                <w:szCs w:val="20"/>
                <w:color w:val="auto"/>
              </w:rPr>
            </w:pPr>
            <w:r>
              <w:rPr>
                <w:rFonts w:ascii="Arial" w:cs="Arial" w:eastAsia="Arial" w:hAnsi="Arial"/>
                <w:sz w:val="11"/>
                <w:szCs w:val="11"/>
                <w:b w:val="1"/>
                <w:bCs w:val="1"/>
                <w:color w:val="auto"/>
              </w:rPr>
              <w:t>Type of Long-Term Incentive Compensation</w:t>
            </w:r>
          </w:p>
        </w:tc>
        <w:tc>
          <w:tcPr>
            <w:tcW w:w="0" w:type="dxa"/>
            <w:vAlign w:val="bottom"/>
          </w:tcPr>
          <w:p>
            <w:pPr>
              <w:spacing w:after="0"/>
              <w:rPr>
                <w:sz w:val="1"/>
                <w:szCs w:val="1"/>
                <w:color w:val="auto"/>
              </w:rPr>
            </w:pPr>
          </w:p>
        </w:tc>
      </w:tr>
      <w:tr>
        <w:trPr>
          <w:trHeight w:val="67"/>
        </w:trPr>
        <w:tc>
          <w:tcPr>
            <w:tcW w:w="860" w:type="dxa"/>
            <w:vAlign w:val="bottom"/>
            <w:tcBorders>
              <w:bottom w:val="single" w:sz="8" w:color="009BDE"/>
            </w:tcBorders>
          </w:tcPr>
          <w:p>
            <w:pPr>
              <w:spacing w:after="0"/>
              <w:rPr>
                <w:sz w:val="5"/>
                <w:szCs w:val="5"/>
                <w:color w:val="auto"/>
              </w:rPr>
            </w:pPr>
          </w:p>
        </w:tc>
        <w:tc>
          <w:tcPr>
            <w:tcW w:w="64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860" w:type="dxa"/>
            <w:vAlign w:val="bottom"/>
          </w:tcPr>
          <w:p>
            <w:pPr>
              <w:ind w:left="40"/>
              <w:spacing w:after="0"/>
              <w:rPr>
                <w:sz w:val="20"/>
                <w:szCs w:val="20"/>
                <w:color w:val="auto"/>
              </w:rPr>
            </w:pPr>
            <w:r>
              <w:rPr>
                <w:rFonts w:ascii="Arial" w:cs="Arial" w:eastAsia="Arial" w:hAnsi="Arial"/>
                <w:sz w:val="11"/>
                <w:szCs w:val="11"/>
                <w:color w:val="auto"/>
              </w:rPr>
              <w:t>Performance</w:t>
            </w:r>
          </w:p>
        </w:tc>
        <w:tc>
          <w:tcPr>
            <w:tcW w:w="6480" w:type="dxa"/>
            <w:vAlign w:val="bottom"/>
          </w:tcPr>
          <w:p>
            <w:pPr>
              <w:ind w:left="160"/>
              <w:spacing w:after="0"/>
              <w:rPr>
                <w:sz w:val="20"/>
                <w:szCs w:val="20"/>
                <w:color w:val="auto"/>
              </w:rPr>
            </w:pPr>
            <w:r>
              <w:rPr>
                <w:rFonts w:ascii="Arial" w:cs="Arial" w:eastAsia="Arial" w:hAnsi="Arial"/>
                <w:sz w:val="11"/>
                <w:szCs w:val="11"/>
                <w:color w:val="auto"/>
              </w:rPr>
              <w:t>•  Represented ~50% of annual target equity award value for our NEOs</w:t>
            </w:r>
          </w:p>
        </w:tc>
        <w:tc>
          <w:tcPr>
            <w:tcW w:w="0" w:type="dxa"/>
            <w:vAlign w:val="bottom"/>
          </w:tcPr>
          <w:p>
            <w:pPr>
              <w:spacing w:after="0"/>
              <w:rPr>
                <w:sz w:val="1"/>
                <w:szCs w:val="1"/>
                <w:color w:val="auto"/>
              </w:rPr>
            </w:pPr>
          </w:p>
        </w:tc>
      </w:tr>
      <w:tr>
        <w:trPr>
          <w:trHeight w:val="126"/>
        </w:trPr>
        <w:tc>
          <w:tcPr>
            <w:tcW w:w="860" w:type="dxa"/>
            <w:vAlign w:val="bottom"/>
          </w:tcPr>
          <w:p>
            <w:pPr>
              <w:ind w:left="40"/>
              <w:spacing w:after="0"/>
              <w:rPr>
                <w:sz w:val="20"/>
                <w:szCs w:val="20"/>
                <w:color w:val="auto"/>
              </w:rPr>
            </w:pPr>
            <w:r>
              <w:rPr>
                <w:rFonts w:ascii="Arial" w:cs="Arial" w:eastAsia="Arial" w:hAnsi="Arial"/>
                <w:sz w:val="11"/>
                <w:szCs w:val="11"/>
                <w:color w:val="auto"/>
              </w:rPr>
              <w:t>Contingent</w:t>
            </w:r>
          </w:p>
        </w:tc>
        <w:tc>
          <w:tcPr>
            <w:tcW w:w="6480" w:type="dxa"/>
            <w:vAlign w:val="bottom"/>
            <w:vMerge w:val="restart"/>
          </w:tcPr>
          <w:p>
            <w:pPr>
              <w:ind w:left="160"/>
              <w:spacing w:after="0"/>
              <w:rPr>
                <w:sz w:val="20"/>
                <w:szCs w:val="20"/>
                <w:color w:val="auto"/>
              </w:rPr>
            </w:pPr>
            <w:r>
              <w:rPr>
                <w:rFonts w:ascii="Arial" w:cs="Arial" w:eastAsia="Arial" w:hAnsi="Arial"/>
                <w:sz w:val="11"/>
                <w:szCs w:val="11"/>
                <w:color w:val="auto"/>
              </w:rPr>
              <w:t>•  Earned based on challenging long-term three-year goals requiring sustained strong operating performance</w:t>
            </w:r>
          </w:p>
        </w:tc>
        <w:tc>
          <w:tcPr>
            <w:tcW w:w="0" w:type="dxa"/>
            <w:vAlign w:val="bottom"/>
          </w:tcPr>
          <w:p>
            <w:pPr>
              <w:spacing w:after="0"/>
              <w:rPr>
                <w:sz w:val="1"/>
                <w:szCs w:val="1"/>
                <w:color w:val="auto"/>
              </w:rPr>
            </w:pPr>
          </w:p>
        </w:tc>
      </w:tr>
      <w:tr>
        <w:trPr>
          <w:trHeight w:val="85"/>
        </w:trPr>
        <w:tc>
          <w:tcPr>
            <w:tcW w:w="860" w:type="dxa"/>
            <w:vAlign w:val="bottom"/>
            <w:vMerge w:val="restart"/>
          </w:tcPr>
          <w:p>
            <w:pPr>
              <w:ind w:left="40"/>
              <w:spacing w:after="0"/>
              <w:rPr>
                <w:sz w:val="20"/>
                <w:szCs w:val="20"/>
                <w:color w:val="auto"/>
              </w:rPr>
            </w:pPr>
            <w:r>
              <w:rPr>
                <w:rFonts w:ascii="Arial" w:cs="Arial" w:eastAsia="Arial" w:hAnsi="Arial"/>
                <w:sz w:val="11"/>
                <w:szCs w:val="11"/>
                <w:color w:val="auto"/>
              </w:rPr>
              <w:t>Stock</w:t>
            </w:r>
          </w:p>
        </w:tc>
        <w:tc>
          <w:tcPr>
            <w:tcW w:w="6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60" w:type="dxa"/>
            <w:vAlign w:val="bottom"/>
            <w:vMerge w:val="continue"/>
          </w:tcPr>
          <w:p>
            <w:pPr>
              <w:spacing w:after="0"/>
              <w:rPr>
                <w:sz w:val="3"/>
                <w:szCs w:val="3"/>
                <w:color w:val="auto"/>
              </w:rPr>
            </w:pPr>
          </w:p>
        </w:tc>
        <w:tc>
          <w:tcPr>
            <w:tcW w:w="6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40"/>
              <w:spacing w:after="0"/>
              <w:rPr>
                <w:sz w:val="20"/>
                <w:szCs w:val="20"/>
                <w:color w:val="auto"/>
              </w:rPr>
            </w:pPr>
            <w:r>
              <w:rPr>
                <w:rFonts w:ascii="Arial" w:cs="Arial" w:eastAsia="Arial" w:hAnsi="Arial"/>
                <w:sz w:val="11"/>
                <w:szCs w:val="11"/>
                <w:color w:val="auto"/>
              </w:rPr>
              <w:t>Awards</w:t>
            </w:r>
          </w:p>
        </w:tc>
        <w:tc>
          <w:tcPr>
            <w:tcW w:w="6480" w:type="dxa"/>
            <w:vAlign w:val="bottom"/>
            <w:vMerge w:val="restart"/>
          </w:tcPr>
          <w:p>
            <w:pPr>
              <w:ind w:left="160"/>
              <w:spacing w:after="0"/>
              <w:rPr>
                <w:sz w:val="20"/>
                <w:szCs w:val="20"/>
                <w:color w:val="auto"/>
              </w:rPr>
            </w:pPr>
            <w:r>
              <w:rPr>
                <w:rFonts w:ascii="Arial" w:cs="Arial" w:eastAsia="Arial" w:hAnsi="Arial"/>
                <w:sz w:val="11"/>
                <w:szCs w:val="11"/>
                <w:color w:val="auto"/>
              </w:rPr>
              <w:t>•  Tied to achievement of EPS, Net Revenue and Return on Invested Capital (ROIC) targets over a 3-year performance period.</w:t>
            </w:r>
          </w:p>
        </w:tc>
        <w:tc>
          <w:tcPr>
            <w:tcW w:w="0" w:type="dxa"/>
            <w:vAlign w:val="bottom"/>
          </w:tcPr>
          <w:p>
            <w:pPr>
              <w:spacing w:after="0"/>
              <w:rPr>
                <w:sz w:val="1"/>
                <w:szCs w:val="1"/>
                <w:color w:val="auto"/>
              </w:rPr>
            </w:pPr>
          </w:p>
        </w:tc>
      </w:tr>
      <w:tr>
        <w:trPr>
          <w:trHeight w:val="36"/>
        </w:trPr>
        <w:tc>
          <w:tcPr>
            <w:tcW w:w="860" w:type="dxa"/>
            <w:vAlign w:val="bottom"/>
          </w:tcPr>
          <w:p>
            <w:pPr>
              <w:spacing w:after="0"/>
              <w:rPr>
                <w:sz w:val="3"/>
                <w:szCs w:val="3"/>
                <w:color w:val="auto"/>
              </w:rPr>
            </w:pPr>
          </w:p>
        </w:tc>
        <w:tc>
          <w:tcPr>
            <w:tcW w:w="64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86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1"/>
                <w:szCs w:val="11"/>
                <w:b w:val="1"/>
                <w:bCs w:val="1"/>
                <w:color w:val="auto"/>
              </w:rPr>
              <w:t>In 2023, we have updated these metrics to be EPS and ROIC, removing Net Revenue and adding a Relative TSR Modifier.</w:t>
            </w:r>
          </w:p>
        </w:tc>
        <w:tc>
          <w:tcPr>
            <w:tcW w:w="0" w:type="dxa"/>
            <w:vAlign w:val="bottom"/>
          </w:tcPr>
          <w:p>
            <w:pPr>
              <w:spacing w:after="0"/>
              <w:rPr>
                <w:sz w:val="1"/>
                <w:szCs w:val="1"/>
                <w:color w:val="auto"/>
              </w:rPr>
            </w:pPr>
          </w:p>
        </w:tc>
      </w:tr>
      <w:tr>
        <w:trPr>
          <w:trHeight w:val="76"/>
        </w:trPr>
        <w:tc>
          <w:tcPr>
            <w:tcW w:w="860" w:type="dxa"/>
            <w:vAlign w:val="bottom"/>
            <w:tcBorders>
              <w:bottom w:val="single" w:sz="8" w:color="009BDE"/>
            </w:tcBorders>
          </w:tcPr>
          <w:p>
            <w:pPr>
              <w:spacing w:after="0"/>
              <w:rPr>
                <w:sz w:val="6"/>
                <w:szCs w:val="6"/>
                <w:color w:val="auto"/>
              </w:rPr>
            </w:pPr>
          </w:p>
        </w:tc>
        <w:tc>
          <w:tcPr>
            <w:tcW w:w="648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40"/>
              <w:spacing w:after="0"/>
              <w:rPr>
                <w:sz w:val="20"/>
                <w:szCs w:val="20"/>
                <w:color w:val="auto"/>
              </w:rPr>
            </w:pPr>
            <w:r>
              <w:rPr>
                <w:rFonts w:ascii="Arial" w:cs="Arial" w:eastAsia="Arial" w:hAnsi="Arial"/>
                <w:sz w:val="11"/>
                <w:szCs w:val="11"/>
                <w:color w:val="auto"/>
              </w:rPr>
              <w:t>Stock Options</w:t>
            </w:r>
          </w:p>
        </w:tc>
        <w:tc>
          <w:tcPr>
            <w:tcW w:w="6480" w:type="dxa"/>
            <w:vAlign w:val="bottom"/>
          </w:tcPr>
          <w:p>
            <w:pPr>
              <w:ind w:left="160"/>
              <w:spacing w:after="0"/>
              <w:rPr>
                <w:sz w:val="20"/>
                <w:szCs w:val="20"/>
                <w:color w:val="auto"/>
              </w:rPr>
            </w:pPr>
            <w:r>
              <w:rPr>
                <w:rFonts w:ascii="Arial" w:cs="Arial" w:eastAsia="Arial" w:hAnsi="Arial"/>
                <w:sz w:val="11"/>
                <w:szCs w:val="11"/>
                <w:color w:val="auto"/>
              </w:rPr>
              <w:t>•  Represented ~25% of annual target equity award value for our NEOs</w:t>
            </w:r>
          </w:p>
        </w:tc>
        <w:tc>
          <w:tcPr>
            <w:tcW w:w="0" w:type="dxa"/>
            <w:vAlign w:val="bottom"/>
          </w:tcPr>
          <w:p>
            <w:pPr>
              <w:spacing w:after="0"/>
              <w:rPr>
                <w:sz w:val="1"/>
                <w:szCs w:val="1"/>
                <w:color w:val="auto"/>
              </w:rPr>
            </w:pPr>
          </w:p>
        </w:tc>
      </w:tr>
      <w:tr>
        <w:trPr>
          <w:trHeight w:val="207"/>
        </w:trPr>
        <w:tc>
          <w:tcPr>
            <w:tcW w:w="86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1"/>
                <w:szCs w:val="11"/>
                <w:color w:val="auto"/>
              </w:rPr>
              <w:t>•  7-year term</w:t>
            </w:r>
          </w:p>
        </w:tc>
        <w:tc>
          <w:tcPr>
            <w:tcW w:w="0" w:type="dxa"/>
            <w:vAlign w:val="bottom"/>
          </w:tcPr>
          <w:p>
            <w:pPr>
              <w:spacing w:after="0"/>
              <w:rPr>
                <w:sz w:val="1"/>
                <w:szCs w:val="1"/>
                <w:color w:val="auto"/>
              </w:rPr>
            </w:pPr>
          </w:p>
        </w:tc>
      </w:tr>
      <w:tr>
        <w:trPr>
          <w:trHeight w:val="207"/>
        </w:trPr>
        <w:tc>
          <w:tcPr>
            <w:tcW w:w="86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1"/>
                <w:szCs w:val="11"/>
                <w:color w:val="auto"/>
              </w:rPr>
              <w:t>•  Vest in three equal annual installments over the first three anniversaries of the grant date</w:t>
            </w:r>
          </w:p>
        </w:tc>
        <w:tc>
          <w:tcPr>
            <w:tcW w:w="0" w:type="dxa"/>
            <w:vAlign w:val="bottom"/>
          </w:tcPr>
          <w:p>
            <w:pPr>
              <w:spacing w:after="0"/>
              <w:rPr>
                <w:sz w:val="1"/>
                <w:szCs w:val="1"/>
                <w:color w:val="auto"/>
              </w:rPr>
            </w:pPr>
          </w:p>
        </w:tc>
      </w:tr>
      <w:tr>
        <w:trPr>
          <w:trHeight w:val="76"/>
        </w:trPr>
        <w:tc>
          <w:tcPr>
            <w:tcW w:w="860" w:type="dxa"/>
            <w:vAlign w:val="bottom"/>
            <w:tcBorders>
              <w:bottom w:val="single" w:sz="8" w:color="009BDE"/>
            </w:tcBorders>
          </w:tcPr>
          <w:p>
            <w:pPr>
              <w:spacing w:after="0"/>
              <w:rPr>
                <w:sz w:val="6"/>
                <w:szCs w:val="6"/>
                <w:color w:val="auto"/>
              </w:rPr>
            </w:pPr>
          </w:p>
        </w:tc>
        <w:tc>
          <w:tcPr>
            <w:tcW w:w="648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860" w:type="dxa"/>
            <w:vAlign w:val="bottom"/>
          </w:tcPr>
          <w:p>
            <w:pPr>
              <w:ind w:left="40"/>
              <w:spacing w:after="0"/>
              <w:rPr>
                <w:sz w:val="20"/>
                <w:szCs w:val="20"/>
                <w:color w:val="auto"/>
              </w:rPr>
            </w:pPr>
            <w:r>
              <w:rPr>
                <w:rFonts w:ascii="Arial" w:cs="Arial" w:eastAsia="Arial" w:hAnsi="Arial"/>
                <w:sz w:val="11"/>
                <w:szCs w:val="11"/>
                <w:color w:val="auto"/>
              </w:rPr>
              <w:t>Restricted</w:t>
            </w:r>
          </w:p>
        </w:tc>
        <w:tc>
          <w:tcPr>
            <w:tcW w:w="6480" w:type="dxa"/>
            <w:vAlign w:val="bottom"/>
          </w:tcPr>
          <w:p>
            <w:pPr>
              <w:ind w:left="160"/>
              <w:spacing w:after="0"/>
              <w:rPr>
                <w:sz w:val="20"/>
                <w:szCs w:val="20"/>
                <w:color w:val="auto"/>
              </w:rPr>
            </w:pPr>
            <w:r>
              <w:rPr>
                <w:rFonts w:ascii="Arial" w:cs="Arial" w:eastAsia="Arial" w:hAnsi="Arial"/>
                <w:sz w:val="11"/>
                <w:szCs w:val="11"/>
                <w:color w:val="auto"/>
              </w:rPr>
              <w:t>•  Represented ~25% of annual target equity award value for CEO and the other NEOs</w:t>
            </w:r>
          </w:p>
        </w:tc>
        <w:tc>
          <w:tcPr>
            <w:tcW w:w="0" w:type="dxa"/>
            <w:vAlign w:val="bottom"/>
          </w:tcPr>
          <w:p>
            <w:pPr>
              <w:spacing w:after="0"/>
              <w:rPr>
                <w:sz w:val="1"/>
                <w:szCs w:val="1"/>
                <w:color w:val="auto"/>
              </w:rPr>
            </w:pPr>
          </w:p>
        </w:tc>
      </w:tr>
      <w:tr>
        <w:trPr>
          <w:trHeight w:val="130"/>
        </w:trPr>
        <w:tc>
          <w:tcPr>
            <w:tcW w:w="860" w:type="dxa"/>
            <w:vAlign w:val="bottom"/>
          </w:tcPr>
          <w:p>
            <w:pPr>
              <w:ind w:left="40"/>
              <w:spacing w:after="0"/>
              <w:rPr>
                <w:sz w:val="20"/>
                <w:szCs w:val="20"/>
                <w:color w:val="auto"/>
              </w:rPr>
            </w:pPr>
            <w:r>
              <w:rPr>
                <w:rFonts w:ascii="Arial" w:cs="Arial" w:eastAsia="Arial" w:hAnsi="Arial"/>
                <w:sz w:val="11"/>
                <w:szCs w:val="11"/>
                <w:color w:val="auto"/>
              </w:rPr>
              <w:t>Stock Units</w:t>
            </w:r>
          </w:p>
        </w:tc>
        <w:tc>
          <w:tcPr>
            <w:tcW w:w="6480" w:type="dxa"/>
            <w:vAlign w:val="bottom"/>
            <w:vMerge w:val="restart"/>
          </w:tcPr>
          <w:p>
            <w:pPr>
              <w:ind w:left="160"/>
              <w:spacing w:after="0"/>
              <w:rPr>
                <w:sz w:val="20"/>
                <w:szCs w:val="20"/>
                <w:color w:val="auto"/>
              </w:rPr>
            </w:pPr>
            <w:r>
              <w:rPr>
                <w:rFonts w:ascii="Arial" w:cs="Arial" w:eastAsia="Arial" w:hAnsi="Arial"/>
                <w:sz w:val="11"/>
                <w:szCs w:val="11"/>
                <w:color w:val="auto"/>
              </w:rPr>
              <w:t>•  Vest in three equal annual installments over the first three anniversaries of the grant date</w:t>
            </w: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6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860" w:type="dxa"/>
            <w:vAlign w:val="bottom"/>
            <w:tcBorders>
              <w:bottom w:val="single" w:sz="8" w:color="009BDE"/>
            </w:tcBorders>
          </w:tcPr>
          <w:p>
            <w:pPr>
              <w:spacing w:after="0"/>
              <w:rPr>
                <w:sz w:val="6"/>
                <w:szCs w:val="6"/>
                <w:color w:val="auto"/>
              </w:rPr>
            </w:pPr>
          </w:p>
        </w:tc>
        <w:tc>
          <w:tcPr>
            <w:tcW w:w="648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3971925" cy="21717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5"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35</w:t>
      </w:r>
    </w:p>
    <w:p>
      <w:pPr>
        <w:sectPr>
          <w:pgSz w:w="11900" w:h="16838" w:orient="portrait"/>
          <w:cols w:equalWidth="0" w:num="1">
            <w:col w:w="10159"/>
          </w:cols>
          <w:pgMar w:left="300" w:top="372" w:right="1440" w:bottom="1440" w:gutter="0" w:footer="0" w:header="0"/>
        </w:sectPr>
      </w:pPr>
    </w:p>
    <w:bookmarkStart w:id="57" w:name="page58"/>
    <w:bookmarkEnd w:id="5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Executive Compensation Philosophy and Objectives</w:t>
      </w:r>
    </w:p>
    <w:p>
      <w:pPr>
        <w:spacing w:after="0" w:line="97" w:lineRule="exact"/>
        <w:rPr>
          <w:sz w:val="20"/>
          <w:szCs w:val="20"/>
          <w:color w:val="auto"/>
        </w:rPr>
      </w:pPr>
    </w:p>
    <w:p>
      <w:pPr>
        <w:ind w:left="1980" w:right="1079"/>
        <w:spacing w:after="0" w:line="245" w:lineRule="auto"/>
        <w:rPr>
          <w:sz w:val="20"/>
          <w:szCs w:val="20"/>
          <w:color w:val="auto"/>
        </w:rPr>
      </w:pPr>
      <w:r>
        <w:rPr>
          <w:rFonts w:ascii="Arial" w:cs="Arial" w:eastAsia="Arial" w:hAnsi="Arial"/>
          <w:sz w:val="11"/>
          <w:szCs w:val="11"/>
          <w:color w:val="auto"/>
        </w:rPr>
        <w:t>The Committee regularly reviews compensation practices to best align our compensation programs with shareholder interests, company strategy and best practices. The Committee’s fundamental objectives with our executive compensation program are to:</w:t>
      </w:r>
    </w:p>
    <w:p>
      <w:pPr>
        <w:spacing w:after="0" w:line="75" w:lineRule="exact"/>
        <w:rPr>
          <w:sz w:val="20"/>
          <w:szCs w:val="20"/>
          <w:color w:val="auto"/>
        </w:rPr>
      </w:pPr>
    </w:p>
    <w:p>
      <w:pPr>
        <w:ind w:left="2120" w:right="1179" w:hanging="148"/>
        <w:spacing w:after="0" w:line="245" w:lineRule="auto"/>
        <w:tabs>
          <w:tab w:leader="none" w:pos="2120" w:val="left"/>
        </w:tabs>
        <w:numPr>
          <w:ilvl w:val="0"/>
          <w:numId w:val="34"/>
        </w:numPr>
        <w:rPr>
          <w:rFonts w:ascii="Arial" w:cs="Arial" w:eastAsia="Arial" w:hAnsi="Arial"/>
          <w:sz w:val="11"/>
          <w:szCs w:val="11"/>
          <w:color w:val="auto"/>
        </w:rPr>
      </w:pPr>
      <w:r>
        <w:rPr>
          <w:rFonts w:ascii="Arial" w:cs="Arial" w:eastAsia="Arial" w:hAnsi="Arial"/>
          <w:sz w:val="11"/>
          <w:szCs w:val="11"/>
          <w:color w:val="auto"/>
        </w:rPr>
        <w:t>Attract, develop and retain talented executives who can contribute significantly to the achievement of the Company’s goals and deliver results in keeping with our mission to entertain and connect generations of fans through the wonder of storytelling and exhilaration of play.</w:t>
      </w:r>
    </w:p>
    <w:p>
      <w:pPr>
        <w:spacing w:after="0" w:line="74" w:lineRule="exact"/>
        <w:rPr>
          <w:rFonts w:ascii="Arial" w:cs="Arial" w:eastAsia="Arial" w:hAnsi="Arial"/>
          <w:sz w:val="11"/>
          <w:szCs w:val="11"/>
          <w:color w:val="auto"/>
        </w:rPr>
      </w:pPr>
    </w:p>
    <w:p>
      <w:pPr>
        <w:ind w:left="2120" w:hanging="148"/>
        <w:spacing w:after="0"/>
        <w:tabs>
          <w:tab w:leader="none" w:pos="2120" w:val="left"/>
        </w:tabs>
        <w:numPr>
          <w:ilvl w:val="0"/>
          <w:numId w:val="34"/>
        </w:numPr>
        <w:rPr>
          <w:rFonts w:ascii="Arial" w:cs="Arial" w:eastAsia="Arial" w:hAnsi="Arial"/>
          <w:sz w:val="11"/>
          <w:szCs w:val="11"/>
          <w:color w:val="auto"/>
        </w:rPr>
      </w:pPr>
      <w:r>
        <w:rPr>
          <w:rFonts w:ascii="Arial" w:cs="Arial" w:eastAsia="Arial" w:hAnsi="Arial"/>
          <w:sz w:val="11"/>
          <w:szCs w:val="11"/>
          <w:color w:val="auto"/>
        </w:rPr>
        <w:t>Align the interests of the Company’s executives with the medium and long-term goals of the Company and its shareholders and other stakeholders.</w:t>
      </w:r>
    </w:p>
    <w:p>
      <w:pPr>
        <w:spacing w:after="0" w:line="80" w:lineRule="exact"/>
        <w:rPr>
          <w:rFonts w:ascii="Arial" w:cs="Arial" w:eastAsia="Arial" w:hAnsi="Arial"/>
          <w:sz w:val="11"/>
          <w:szCs w:val="11"/>
          <w:color w:val="auto"/>
        </w:rPr>
      </w:pPr>
    </w:p>
    <w:p>
      <w:pPr>
        <w:ind w:left="2120" w:right="879" w:hanging="148"/>
        <w:spacing w:after="0" w:line="245" w:lineRule="auto"/>
        <w:tabs>
          <w:tab w:leader="none" w:pos="2120" w:val="left"/>
        </w:tabs>
        <w:numPr>
          <w:ilvl w:val="0"/>
          <w:numId w:val="34"/>
        </w:numPr>
        <w:rPr>
          <w:rFonts w:ascii="Arial" w:cs="Arial" w:eastAsia="Arial" w:hAnsi="Arial"/>
          <w:sz w:val="11"/>
          <w:szCs w:val="11"/>
          <w:color w:val="auto"/>
        </w:rPr>
      </w:pPr>
      <w:r>
        <w:rPr>
          <w:rFonts w:ascii="Arial" w:cs="Arial" w:eastAsia="Arial" w:hAnsi="Arial"/>
          <w:sz w:val="11"/>
          <w:szCs w:val="11"/>
          <w:color w:val="auto"/>
        </w:rPr>
        <w:t>Instill a pay-for-performance culture; a substantial majority of the compensation opportunity for the NEOs is composed of variable, performance-based compensation elements.</w:t>
      </w:r>
    </w:p>
    <w:p>
      <w:pPr>
        <w:spacing w:after="0" w:line="74" w:lineRule="exact"/>
        <w:rPr>
          <w:rFonts w:ascii="Arial" w:cs="Arial" w:eastAsia="Arial" w:hAnsi="Arial"/>
          <w:sz w:val="11"/>
          <w:szCs w:val="11"/>
          <w:color w:val="auto"/>
        </w:rPr>
      </w:pPr>
    </w:p>
    <w:p>
      <w:pPr>
        <w:ind w:left="2120" w:hanging="148"/>
        <w:spacing w:after="0"/>
        <w:tabs>
          <w:tab w:leader="none" w:pos="2120"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Reward superior performance by the Company, and its business units, as well as superior individual performance.</w:t>
      </w:r>
    </w:p>
    <w:p>
      <w:pPr>
        <w:spacing w:after="0" w:line="80" w:lineRule="exact"/>
        <w:rPr>
          <w:rFonts w:ascii="Arial" w:cs="Arial" w:eastAsia="Arial" w:hAnsi="Arial"/>
          <w:sz w:val="11"/>
          <w:szCs w:val="11"/>
          <w:color w:val="auto"/>
        </w:rPr>
      </w:pPr>
    </w:p>
    <w:p>
      <w:pPr>
        <w:ind w:left="2120" w:right="1139" w:hanging="148"/>
        <w:spacing w:after="0" w:line="245" w:lineRule="auto"/>
        <w:tabs>
          <w:tab w:leader="none" w:pos="2120" w:val="left"/>
        </w:tabs>
        <w:numPr>
          <w:ilvl w:val="0"/>
          <w:numId w:val="34"/>
        </w:numPr>
        <w:rPr>
          <w:rFonts w:ascii="Arial" w:cs="Arial" w:eastAsia="Arial" w:hAnsi="Arial"/>
          <w:sz w:val="11"/>
          <w:szCs w:val="11"/>
          <w:color w:val="auto"/>
        </w:rPr>
      </w:pPr>
      <w:r>
        <w:rPr>
          <w:rFonts w:ascii="Arial" w:cs="Arial" w:eastAsia="Arial" w:hAnsi="Arial"/>
          <w:sz w:val="11"/>
          <w:szCs w:val="11"/>
          <w:color w:val="auto"/>
        </w:rPr>
        <w:t>Accomplish these objectives effectively while managing the total cost of the Company’s executive compensation program, including by managing reasonable levels of dilution and annual share usage when granting equity-based compensation.</w:t>
      </w:r>
    </w:p>
    <w:p>
      <w:pPr>
        <w:spacing w:after="0" w:line="93" w:lineRule="exact"/>
        <w:rPr>
          <w:sz w:val="20"/>
          <w:szCs w:val="20"/>
          <w:color w:val="auto"/>
        </w:rPr>
      </w:pPr>
    </w:p>
    <w:p>
      <w:pPr>
        <w:ind w:left="1980" w:right="999"/>
        <w:spacing w:after="0" w:line="245" w:lineRule="auto"/>
        <w:rPr>
          <w:sz w:val="20"/>
          <w:szCs w:val="20"/>
          <w:color w:val="auto"/>
        </w:rPr>
      </w:pPr>
      <w:r>
        <w:rPr>
          <w:rFonts w:ascii="Arial" w:cs="Arial" w:eastAsia="Arial" w:hAnsi="Arial"/>
          <w:sz w:val="11"/>
          <w:szCs w:val="11"/>
          <w:color w:val="auto"/>
        </w:rPr>
        <w:t>The Committee believes it is critical to have a robust succession planning and management development process and seasoned talent ready to deploy into key executive positions, and our compensation programs are designed to support these objectives.</w:t>
      </w:r>
    </w:p>
    <w:p>
      <w:pPr>
        <w:spacing w:after="0" w:line="84" w:lineRule="exact"/>
        <w:rPr>
          <w:sz w:val="20"/>
          <w:szCs w:val="20"/>
          <w:color w:val="auto"/>
        </w:rPr>
      </w:pPr>
    </w:p>
    <w:p>
      <w:pPr>
        <w:ind w:left="1980" w:right="1099"/>
        <w:spacing w:after="0" w:line="245" w:lineRule="auto"/>
        <w:rPr>
          <w:sz w:val="20"/>
          <w:szCs w:val="20"/>
          <w:color w:val="auto"/>
        </w:rPr>
      </w:pPr>
      <w:r>
        <w:rPr>
          <w:rFonts w:ascii="Arial" w:cs="Arial" w:eastAsia="Arial" w:hAnsi="Arial"/>
          <w:sz w:val="11"/>
          <w:szCs w:val="11"/>
          <w:color w:val="auto"/>
        </w:rPr>
        <w:t>The Committee structures the Company’s compensation program in a way it believes appropriately aligns pay with performance without encouraging excessive risk taking or other behavior on the part of executive officers that is not in the Company’s best interests.</w:t>
      </w:r>
    </w:p>
    <w:p>
      <w:pPr>
        <w:spacing w:after="0" w:line="93" w:lineRule="exact"/>
        <w:rPr>
          <w:sz w:val="20"/>
          <w:szCs w:val="20"/>
          <w:color w:val="auto"/>
        </w:rPr>
      </w:pPr>
    </w:p>
    <w:p>
      <w:pPr>
        <w:ind w:left="1980" w:right="859"/>
        <w:spacing w:after="0" w:line="242" w:lineRule="auto"/>
        <w:rPr>
          <w:sz w:val="20"/>
          <w:szCs w:val="20"/>
          <w:color w:val="auto"/>
        </w:rPr>
      </w:pPr>
      <w:r>
        <w:rPr>
          <w:rFonts w:ascii="Arial" w:cs="Arial" w:eastAsia="Arial" w:hAnsi="Arial"/>
          <w:sz w:val="11"/>
          <w:szCs w:val="11"/>
          <w:color w:val="auto"/>
        </w:rPr>
        <w:t>Our goal is to position total target direct compensation for our NEOs within a competitive range around the peer group median that reflects the individual’s performance, criticality to the business, retention risk and future potential. For more information on the peer group used to benchmark our NEO’s compensation, please see below under the heading “Compensation Process — Peer Group and Benchmarking to the Market.”</w:t>
      </w:r>
    </w:p>
    <w:p>
      <w:pPr>
        <w:spacing w:after="0" w:line="94" w:lineRule="exact"/>
        <w:rPr>
          <w:sz w:val="20"/>
          <w:szCs w:val="20"/>
          <w:color w:val="auto"/>
        </w:rPr>
      </w:pPr>
    </w:p>
    <w:p>
      <w:pPr>
        <w:ind w:left="1980" w:right="939"/>
        <w:spacing w:after="0"/>
        <w:rPr>
          <w:sz w:val="20"/>
          <w:szCs w:val="20"/>
          <w:color w:val="auto"/>
        </w:rPr>
      </w:pPr>
      <w:r>
        <w:rPr>
          <w:rFonts w:ascii="Arial" w:cs="Arial" w:eastAsia="Arial" w:hAnsi="Arial"/>
          <w:sz w:val="11"/>
          <w:szCs w:val="11"/>
          <w:color w:val="auto"/>
        </w:rPr>
        <w:t>All equity and non-equity incentive plan compensation is subject to the Board-approved Clawback Policy. The policy provides that if an accounting restatement is required due to the Company’s material non-compliance with any accounting requirements, then the Company will use reasonable efforts to recover from all of the Company’s executive officers, regardless of whether they were at fault or not in the circumstances leading to the restatement, any excess in the incentive compensation they earned over the prior three years over what they would have earned if there had not been a material non-compliance in the financial statements. In the event the officer’s misconduct, violation of Company policy or fraud contributed to the need for a restatement, then the Company will use reasonable efforts to recover up to 100% of the affected incentive compensation. The Company plans to review and amend, if necessary, its policy to ensure compliance with applicable Nasdaq listing standards that become effective.</w:t>
      </w:r>
    </w:p>
    <w:p>
      <w:pPr>
        <w:spacing w:after="0" w:line="19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Strong Compensation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111125</wp:posOffset>
            </wp:positionV>
            <wp:extent cx="4663440" cy="17716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4663440" cy="177165"/>
                    </a:xfrm>
                    <a:prstGeom prst="rect">
                      <a:avLst/>
                    </a:prstGeom>
                    <a:noFill/>
                  </pic:spPr>
                </pic:pic>
              </a:graphicData>
            </a:graphic>
          </wp:anchor>
        </w:drawing>
      </w:r>
    </w:p>
    <w:p>
      <w:pPr>
        <w:spacing w:after="0" w:line="182"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009BDE"/>
        </w:rPr>
        <w:t>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111125</wp:posOffset>
            </wp:positionV>
            <wp:extent cx="74295" cy="6858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74295" cy="6858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111125</wp:posOffset>
            </wp:positionV>
            <wp:extent cx="74295" cy="6858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74295" cy="68580"/>
                    </a:xfrm>
                    <a:prstGeom prst="rect">
                      <a:avLst/>
                    </a:prstGeom>
                    <a:noFill/>
                  </pic:spPr>
                </pic:pic>
              </a:graphicData>
            </a:graphic>
          </wp:anchor>
        </w:drawing>
      </w:r>
    </w:p>
    <w:p>
      <w:pPr>
        <w:spacing w:after="0" w:line="165" w:lineRule="exact"/>
        <w:rPr>
          <w:sz w:val="20"/>
          <w:szCs w:val="20"/>
          <w:color w:val="auto"/>
        </w:rPr>
      </w:pPr>
    </w:p>
    <w:tbl>
      <w:tblPr>
        <w:tblLayout w:type="fixed"/>
        <w:tblInd w:w="1980" w:type="dxa"/>
        <w:tblCellMar>
          <w:top w:w="0" w:type="dxa"/>
          <w:left w:w="0" w:type="dxa"/>
          <w:bottom w:w="0" w:type="dxa"/>
          <w:right w:w="0" w:type="dxa"/>
        </w:tblCellMar>
      </w:tblPr>
      <w:tr>
        <w:trPr>
          <w:trHeight w:val="130"/>
        </w:trPr>
        <w:tc>
          <w:tcPr>
            <w:tcW w:w="3740" w:type="dxa"/>
            <w:vAlign w:val="bottom"/>
          </w:tcPr>
          <w:p>
            <w:pPr>
              <w:ind w:left="100"/>
              <w:spacing w:after="0"/>
              <w:rPr>
                <w:sz w:val="20"/>
                <w:szCs w:val="20"/>
                <w:color w:val="auto"/>
              </w:rPr>
            </w:pPr>
            <w:r>
              <w:rPr>
                <w:rFonts w:ascii="Arial" w:cs="Arial" w:eastAsia="Arial" w:hAnsi="Arial"/>
                <w:sz w:val="11"/>
                <w:szCs w:val="11"/>
                <w:color w:val="auto"/>
              </w:rPr>
              <w:t xml:space="preserve">     Robust shareholder engagement process</w:t>
            </w:r>
          </w:p>
        </w:tc>
        <w:tc>
          <w:tcPr>
            <w:tcW w:w="3600" w:type="dxa"/>
            <w:vAlign w:val="bottom"/>
          </w:tcPr>
          <w:p>
            <w:pPr>
              <w:ind w:left="120"/>
              <w:spacing w:after="0"/>
              <w:rPr>
                <w:sz w:val="20"/>
                <w:szCs w:val="20"/>
                <w:color w:val="auto"/>
              </w:rPr>
            </w:pPr>
            <w:r>
              <w:rPr>
                <w:rFonts w:ascii="Arial" w:cs="Arial" w:eastAsia="Arial" w:hAnsi="Arial"/>
                <w:sz w:val="11"/>
                <w:szCs w:val="11"/>
                <w:color w:val="auto"/>
              </w:rPr>
              <w:t xml:space="preserve">     Fully independent Compensation Committee</w:t>
            </w:r>
          </w:p>
        </w:tc>
        <w:tc>
          <w:tcPr>
            <w:tcW w:w="0" w:type="dxa"/>
            <w:vAlign w:val="bottom"/>
          </w:tcPr>
          <w:p>
            <w:pPr>
              <w:spacing w:after="0"/>
              <w:rPr>
                <w:sz w:val="1"/>
                <w:szCs w:val="1"/>
                <w:color w:val="auto"/>
              </w:rPr>
            </w:pPr>
          </w:p>
        </w:tc>
      </w:tr>
      <w:tr>
        <w:trPr>
          <w:trHeight w:val="216"/>
        </w:trPr>
        <w:tc>
          <w:tcPr>
            <w:tcW w:w="3740" w:type="dxa"/>
            <w:vAlign w:val="bottom"/>
          </w:tcPr>
          <w:p>
            <w:pPr>
              <w:ind w:left="100"/>
              <w:spacing w:after="0"/>
              <w:rPr>
                <w:sz w:val="20"/>
                <w:szCs w:val="20"/>
                <w:color w:val="auto"/>
              </w:rPr>
            </w:pPr>
            <w:r>
              <w:rPr>
                <w:rFonts w:ascii="Arial" w:cs="Arial" w:eastAsia="Arial" w:hAnsi="Arial"/>
                <w:sz w:val="11"/>
                <w:szCs w:val="11"/>
                <w:color w:val="auto"/>
              </w:rPr>
              <w:t xml:space="preserve">     Program informed by and responsive to shareholder input</w:t>
            </w:r>
          </w:p>
        </w:tc>
        <w:tc>
          <w:tcPr>
            <w:tcW w:w="3600" w:type="dxa"/>
            <w:vAlign w:val="bottom"/>
          </w:tcPr>
          <w:p>
            <w:pPr>
              <w:ind w:left="120"/>
              <w:spacing w:after="0"/>
              <w:rPr>
                <w:sz w:val="20"/>
                <w:szCs w:val="20"/>
                <w:color w:val="auto"/>
              </w:rPr>
            </w:pPr>
            <w:r>
              <w:rPr>
                <w:rFonts w:ascii="Arial" w:cs="Arial" w:eastAsia="Arial" w:hAnsi="Arial"/>
                <w:sz w:val="11"/>
                <w:szCs w:val="11"/>
                <w:color w:val="auto"/>
              </w:rPr>
              <w:t xml:space="preserve">     Independent Compensation Consultant</w:t>
            </w:r>
          </w:p>
        </w:tc>
        <w:tc>
          <w:tcPr>
            <w:tcW w:w="0" w:type="dxa"/>
            <w:vAlign w:val="bottom"/>
          </w:tcPr>
          <w:p>
            <w:pPr>
              <w:spacing w:after="0"/>
              <w:rPr>
                <w:sz w:val="1"/>
                <w:szCs w:val="1"/>
                <w:color w:val="auto"/>
              </w:rPr>
            </w:pPr>
          </w:p>
        </w:tc>
      </w:tr>
      <w:tr>
        <w:trPr>
          <w:trHeight w:val="216"/>
        </w:trPr>
        <w:tc>
          <w:tcPr>
            <w:tcW w:w="3740" w:type="dxa"/>
            <w:vAlign w:val="bottom"/>
          </w:tcPr>
          <w:p>
            <w:pPr>
              <w:ind w:left="100"/>
              <w:spacing w:after="0"/>
              <w:rPr>
                <w:sz w:val="20"/>
                <w:szCs w:val="20"/>
                <w:color w:val="auto"/>
              </w:rPr>
            </w:pPr>
            <w:r>
              <w:rPr>
                <w:rFonts w:ascii="Arial" w:cs="Arial" w:eastAsia="Arial" w:hAnsi="Arial"/>
                <w:sz w:val="11"/>
                <w:szCs w:val="11"/>
                <w:color w:val="auto"/>
                <w:w w:val="99"/>
              </w:rPr>
              <w:t xml:space="preserve">     Substantial portion of compensation is variable and performance-based</w:t>
            </w:r>
          </w:p>
        </w:tc>
        <w:tc>
          <w:tcPr>
            <w:tcW w:w="3600" w:type="dxa"/>
            <w:vAlign w:val="bottom"/>
          </w:tcPr>
          <w:p>
            <w:pPr>
              <w:ind w:left="120"/>
              <w:spacing w:after="0"/>
              <w:rPr>
                <w:sz w:val="20"/>
                <w:szCs w:val="20"/>
                <w:color w:val="auto"/>
              </w:rPr>
            </w:pPr>
            <w:r>
              <w:rPr>
                <w:rFonts w:ascii="Arial" w:cs="Arial" w:eastAsia="Arial" w:hAnsi="Arial"/>
                <w:sz w:val="11"/>
                <w:szCs w:val="11"/>
                <w:color w:val="auto"/>
              </w:rPr>
              <w:t xml:space="preserve">     Incentive programs do not incentivize excessive risk taking</w:t>
            </w:r>
          </w:p>
        </w:tc>
        <w:tc>
          <w:tcPr>
            <w:tcW w:w="0" w:type="dxa"/>
            <w:vAlign w:val="bottom"/>
          </w:tcPr>
          <w:p>
            <w:pPr>
              <w:spacing w:after="0"/>
              <w:rPr>
                <w:sz w:val="1"/>
                <w:szCs w:val="1"/>
                <w:color w:val="auto"/>
              </w:rPr>
            </w:pPr>
          </w:p>
        </w:tc>
      </w:tr>
      <w:tr>
        <w:trPr>
          <w:trHeight w:val="212"/>
        </w:trPr>
        <w:tc>
          <w:tcPr>
            <w:tcW w:w="3740" w:type="dxa"/>
            <w:vAlign w:val="bottom"/>
          </w:tcPr>
          <w:p>
            <w:pPr>
              <w:ind w:left="100"/>
              <w:spacing w:after="0"/>
              <w:rPr>
                <w:sz w:val="20"/>
                <w:szCs w:val="20"/>
                <w:color w:val="auto"/>
              </w:rPr>
            </w:pPr>
            <w:r>
              <w:rPr>
                <w:rFonts w:ascii="Arial" w:cs="Arial" w:eastAsia="Arial" w:hAnsi="Arial"/>
                <w:sz w:val="11"/>
                <w:szCs w:val="11"/>
                <w:color w:val="auto"/>
              </w:rPr>
              <w:t xml:space="preserve">     Aligned with shareholder value creation</w:t>
            </w:r>
          </w:p>
        </w:tc>
        <w:tc>
          <w:tcPr>
            <w:tcW w:w="3600" w:type="dxa"/>
            <w:vAlign w:val="bottom"/>
          </w:tcPr>
          <w:p>
            <w:pPr>
              <w:ind w:left="120"/>
              <w:spacing w:after="0"/>
              <w:rPr>
                <w:sz w:val="20"/>
                <w:szCs w:val="20"/>
                <w:color w:val="auto"/>
              </w:rPr>
            </w:pPr>
            <w:r>
              <w:rPr>
                <w:rFonts w:ascii="Arial" w:cs="Arial" w:eastAsia="Arial" w:hAnsi="Arial"/>
                <w:sz w:val="11"/>
                <w:szCs w:val="11"/>
                <w:color w:val="auto"/>
              </w:rPr>
              <w:t xml:space="preserve">     Robust anti-hedging and pledging policies prohibiting pledging or</w:t>
            </w:r>
          </w:p>
        </w:tc>
        <w:tc>
          <w:tcPr>
            <w:tcW w:w="0" w:type="dxa"/>
            <w:vAlign w:val="bottom"/>
          </w:tcPr>
          <w:p>
            <w:pPr>
              <w:spacing w:after="0"/>
              <w:rPr>
                <w:sz w:val="1"/>
                <w:szCs w:val="1"/>
                <w:color w:val="auto"/>
              </w:rPr>
            </w:pPr>
          </w:p>
        </w:tc>
      </w:tr>
      <w:tr>
        <w:trPr>
          <w:trHeight w:val="130"/>
        </w:trPr>
        <w:tc>
          <w:tcPr>
            <w:tcW w:w="3740" w:type="dxa"/>
            <w:vAlign w:val="bottom"/>
            <w:vMerge w:val="restart"/>
          </w:tcPr>
          <w:p>
            <w:pPr>
              <w:ind w:left="100"/>
              <w:spacing w:after="0"/>
              <w:rPr>
                <w:sz w:val="20"/>
                <w:szCs w:val="20"/>
                <w:color w:val="auto"/>
              </w:rPr>
            </w:pPr>
            <w:r>
              <w:rPr>
                <w:rFonts w:ascii="Arial" w:cs="Arial" w:eastAsia="Arial" w:hAnsi="Arial"/>
                <w:sz w:val="11"/>
                <w:szCs w:val="11"/>
                <w:color w:val="auto"/>
              </w:rPr>
              <w:t xml:space="preserve">     Significant share ownership and retention requirements</w:t>
            </w:r>
          </w:p>
        </w:tc>
        <w:tc>
          <w:tcPr>
            <w:tcW w:w="3600" w:type="dxa"/>
            <w:vAlign w:val="bottom"/>
          </w:tcPr>
          <w:p>
            <w:pPr>
              <w:ind w:left="220"/>
              <w:spacing w:after="0"/>
              <w:rPr>
                <w:sz w:val="20"/>
                <w:szCs w:val="20"/>
                <w:color w:val="auto"/>
              </w:rPr>
            </w:pPr>
            <w:r>
              <w:rPr>
                <w:rFonts w:ascii="Arial" w:cs="Arial" w:eastAsia="Arial" w:hAnsi="Arial"/>
                <w:sz w:val="11"/>
                <w:szCs w:val="11"/>
                <w:color w:val="auto"/>
              </w:rPr>
              <w:t>hedging of Company stock</w:t>
            </w:r>
          </w:p>
        </w:tc>
        <w:tc>
          <w:tcPr>
            <w:tcW w:w="0" w:type="dxa"/>
            <w:vAlign w:val="bottom"/>
          </w:tcPr>
          <w:p>
            <w:pPr>
              <w:spacing w:after="0"/>
              <w:rPr>
                <w:sz w:val="1"/>
                <w:szCs w:val="1"/>
                <w:color w:val="auto"/>
              </w:rPr>
            </w:pPr>
          </w:p>
        </w:tc>
      </w:tr>
      <w:tr>
        <w:trPr>
          <w:trHeight w:val="90"/>
        </w:trPr>
        <w:tc>
          <w:tcPr>
            <w:tcW w:w="3740" w:type="dxa"/>
            <w:vAlign w:val="bottom"/>
            <w:vMerge w:val="continue"/>
          </w:tcPr>
          <w:p>
            <w:pPr>
              <w:spacing w:after="0"/>
              <w:rPr>
                <w:sz w:val="7"/>
                <w:szCs w:val="7"/>
                <w:color w:val="auto"/>
              </w:rPr>
            </w:pPr>
          </w:p>
        </w:tc>
        <w:tc>
          <w:tcPr>
            <w:tcW w:w="3600" w:type="dxa"/>
            <w:vAlign w:val="bottom"/>
            <w:vMerge w:val="restart"/>
          </w:tcPr>
          <w:p>
            <w:pPr>
              <w:ind w:left="120"/>
              <w:spacing w:after="0"/>
              <w:rPr>
                <w:sz w:val="20"/>
                <w:szCs w:val="20"/>
                <w:color w:val="auto"/>
              </w:rPr>
            </w:pPr>
            <w:r>
              <w:rPr>
                <w:rFonts w:ascii="Arial" w:cs="Arial" w:eastAsia="Arial" w:hAnsi="Arial"/>
                <w:sz w:val="11"/>
                <w:szCs w:val="11"/>
                <w:color w:val="auto"/>
              </w:rPr>
              <w:t xml:space="preserve">     Double-trigger change in control provisions for equity grants</w:t>
            </w:r>
          </w:p>
        </w:tc>
        <w:tc>
          <w:tcPr>
            <w:tcW w:w="0" w:type="dxa"/>
            <w:vAlign w:val="bottom"/>
          </w:tcPr>
          <w:p>
            <w:pPr>
              <w:spacing w:after="0"/>
              <w:rPr>
                <w:sz w:val="1"/>
                <w:szCs w:val="1"/>
                <w:color w:val="auto"/>
              </w:rPr>
            </w:pPr>
          </w:p>
        </w:tc>
      </w:tr>
      <w:tr>
        <w:trPr>
          <w:trHeight w:val="126"/>
        </w:trPr>
        <w:tc>
          <w:tcPr>
            <w:tcW w:w="3740" w:type="dxa"/>
            <w:vAlign w:val="bottom"/>
            <w:vMerge w:val="restart"/>
          </w:tcPr>
          <w:p>
            <w:pPr>
              <w:ind w:left="320"/>
              <w:spacing w:after="0"/>
              <w:rPr>
                <w:sz w:val="20"/>
                <w:szCs w:val="20"/>
                <w:color w:val="auto"/>
              </w:rPr>
            </w:pPr>
            <w:r>
              <w:rPr>
                <w:rFonts w:ascii="Arial" w:cs="Arial" w:eastAsia="Arial" w:hAnsi="Arial"/>
                <w:sz w:val="11"/>
                <w:szCs w:val="11"/>
                <w:color w:val="auto"/>
              </w:rPr>
              <w:t xml:space="preserve">     5x base salary for CEO</w:t>
            </w:r>
          </w:p>
        </w:tc>
        <w:tc>
          <w:tcPr>
            <w:tcW w:w="3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740" w:type="dxa"/>
            <w:vAlign w:val="bottom"/>
            <w:vMerge w:val="continue"/>
          </w:tcPr>
          <w:p>
            <w:pPr>
              <w:spacing w:after="0"/>
              <w:rPr>
                <w:sz w:val="7"/>
                <w:szCs w:val="7"/>
                <w:color w:val="auto"/>
              </w:rPr>
            </w:pPr>
          </w:p>
        </w:tc>
        <w:tc>
          <w:tcPr>
            <w:tcW w:w="3600" w:type="dxa"/>
            <w:vAlign w:val="bottom"/>
            <w:vMerge w:val="restart"/>
          </w:tcPr>
          <w:p>
            <w:pPr>
              <w:ind w:left="120"/>
              <w:spacing w:after="0"/>
              <w:rPr>
                <w:sz w:val="20"/>
                <w:szCs w:val="20"/>
                <w:color w:val="auto"/>
              </w:rPr>
            </w:pPr>
            <w:r>
              <w:rPr>
                <w:rFonts w:ascii="Arial" w:cs="Arial" w:eastAsia="Arial" w:hAnsi="Arial"/>
                <w:sz w:val="11"/>
                <w:szCs w:val="11"/>
                <w:color w:val="auto"/>
              </w:rPr>
              <w:t xml:space="preserve">     Maximum payout caps under incentive plans</w:t>
            </w:r>
          </w:p>
        </w:tc>
        <w:tc>
          <w:tcPr>
            <w:tcW w:w="0" w:type="dxa"/>
            <w:vAlign w:val="bottom"/>
          </w:tcPr>
          <w:p>
            <w:pPr>
              <w:spacing w:after="0"/>
              <w:rPr>
                <w:sz w:val="1"/>
                <w:szCs w:val="1"/>
                <w:color w:val="auto"/>
              </w:rPr>
            </w:pPr>
          </w:p>
        </w:tc>
      </w:tr>
      <w:tr>
        <w:trPr>
          <w:trHeight w:val="126"/>
        </w:trPr>
        <w:tc>
          <w:tcPr>
            <w:tcW w:w="3740" w:type="dxa"/>
            <w:vAlign w:val="bottom"/>
            <w:vMerge w:val="restart"/>
          </w:tcPr>
          <w:p>
            <w:pPr>
              <w:ind w:left="320"/>
              <w:spacing w:after="0"/>
              <w:rPr>
                <w:sz w:val="20"/>
                <w:szCs w:val="20"/>
                <w:color w:val="auto"/>
              </w:rPr>
            </w:pPr>
            <w:r>
              <w:rPr>
                <w:rFonts w:ascii="Arial" w:cs="Arial" w:eastAsia="Arial" w:hAnsi="Arial"/>
                <w:sz w:val="11"/>
                <w:szCs w:val="11"/>
                <w:color w:val="auto"/>
              </w:rPr>
              <w:t xml:space="preserve">     2x base salary for other NEOs</w:t>
            </w:r>
          </w:p>
        </w:tc>
        <w:tc>
          <w:tcPr>
            <w:tcW w:w="3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740" w:type="dxa"/>
            <w:vAlign w:val="bottom"/>
            <w:vMerge w:val="continue"/>
          </w:tcPr>
          <w:p>
            <w:pPr>
              <w:spacing w:after="0"/>
              <w:rPr>
                <w:sz w:val="7"/>
                <w:szCs w:val="7"/>
                <w:color w:val="auto"/>
              </w:rPr>
            </w:pPr>
          </w:p>
        </w:tc>
        <w:tc>
          <w:tcPr>
            <w:tcW w:w="3600" w:type="dxa"/>
            <w:vAlign w:val="bottom"/>
            <w:vMerge w:val="restart"/>
          </w:tcPr>
          <w:p>
            <w:pPr>
              <w:ind w:left="120"/>
              <w:spacing w:after="0"/>
              <w:rPr>
                <w:sz w:val="20"/>
                <w:szCs w:val="20"/>
                <w:color w:val="auto"/>
              </w:rPr>
            </w:pPr>
            <w:r>
              <w:rPr>
                <w:rFonts w:ascii="Arial" w:cs="Arial" w:eastAsia="Arial" w:hAnsi="Arial"/>
                <w:sz w:val="11"/>
                <w:szCs w:val="11"/>
                <w:color w:val="auto"/>
              </w:rPr>
              <w:t xml:space="preserve">     No tax gross-ups</w:t>
            </w:r>
          </w:p>
        </w:tc>
        <w:tc>
          <w:tcPr>
            <w:tcW w:w="0" w:type="dxa"/>
            <w:vAlign w:val="bottom"/>
          </w:tcPr>
          <w:p>
            <w:pPr>
              <w:spacing w:after="0"/>
              <w:rPr>
                <w:sz w:val="1"/>
                <w:szCs w:val="1"/>
                <w:color w:val="auto"/>
              </w:rPr>
            </w:pPr>
          </w:p>
        </w:tc>
      </w:tr>
      <w:tr>
        <w:trPr>
          <w:trHeight w:val="126"/>
        </w:trPr>
        <w:tc>
          <w:tcPr>
            <w:tcW w:w="3740" w:type="dxa"/>
            <w:vAlign w:val="bottom"/>
            <w:vMerge w:val="restart"/>
          </w:tcPr>
          <w:p>
            <w:pPr>
              <w:ind w:left="100"/>
              <w:spacing w:after="0"/>
              <w:rPr>
                <w:sz w:val="20"/>
                <w:szCs w:val="20"/>
                <w:color w:val="auto"/>
              </w:rPr>
            </w:pPr>
            <w:r>
              <w:rPr>
                <w:rFonts w:ascii="Arial" w:cs="Arial" w:eastAsia="Arial" w:hAnsi="Arial"/>
                <w:sz w:val="11"/>
                <w:szCs w:val="11"/>
                <w:color w:val="auto"/>
              </w:rPr>
              <w:t xml:space="preserve">     NEOs must hold 50% of net shares received upon option exercises or</w:t>
            </w:r>
          </w:p>
        </w:tc>
        <w:tc>
          <w:tcPr>
            <w:tcW w:w="3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740" w:type="dxa"/>
            <w:vAlign w:val="bottom"/>
            <w:vMerge w:val="continue"/>
          </w:tcPr>
          <w:p>
            <w:pPr>
              <w:spacing w:after="0"/>
              <w:rPr>
                <w:sz w:val="7"/>
                <w:szCs w:val="7"/>
                <w:color w:val="auto"/>
              </w:rPr>
            </w:pPr>
          </w:p>
        </w:tc>
        <w:tc>
          <w:tcPr>
            <w:tcW w:w="3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740" w:type="dxa"/>
            <w:vAlign w:val="bottom"/>
          </w:tcPr>
          <w:p>
            <w:pPr>
              <w:ind w:left="200"/>
              <w:spacing w:after="0"/>
              <w:rPr>
                <w:sz w:val="20"/>
                <w:szCs w:val="20"/>
                <w:color w:val="auto"/>
              </w:rPr>
            </w:pPr>
            <w:r>
              <w:rPr>
                <w:rFonts w:ascii="Arial" w:cs="Arial" w:eastAsia="Arial" w:hAnsi="Arial"/>
                <w:sz w:val="11"/>
                <w:szCs w:val="11"/>
                <w:color w:val="auto"/>
              </w:rPr>
              <w:t>award vesting until they achieve the required ownership levels</w:t>
            </w:r>
          </w:p>
        </w:tc>
        <w:tc>
          <w:tcPr>
            <w:tcW w:w="3600" w:type="dxa"/>
            <w:vAlign w:val="bottom"/>
          </w:tcPr>
          <w:p>
            <w:pPr>
              <w:ind w:left="120"/>
              <w:spacing w:after="0"/>
              <w:rPr>
                <w:sz w:val="20"/>
                <w:szCs w:val="20"/>
                <w:color w:val="auto"/>
              </w:rPr>
            </w:pPr>
            <w:r>
              <w:rPr>
                <w:rFonts w:ascii="Arial" w:cs="Arial" w:eastAsia="Arial" w:hAnsi="Arial"/>
                <w:sz w:val="11"/>
                <w:szCs w:val="11"/>
                <w:color w:val="auto"/>
              </w:rPr>
              <w:t xml:space="preserve">     No excessive perquisites</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3600" w:type="dxa"/>
            <w:vAlign w:val="bottom"/>
          </w:tcPr>
          <w:p>
            <w:pPr>
              <w:ind w:left="120"/>
              <w:spacing w:after="0"/>
              <w:rPr>
                <w:sz w:val="20"/>
                <w:szCs w:val="20"/>
                <w:color w:val="auto"/>
              </w:rPr>
            </w:pPr>
            <w:r>
              <w:rPr>
                <w:rFonts w:ascii="Arial" w:cs="Arial" w:eastAsia="Arial" w:hAnsi="Arial"/>
                <w:sz w:val="11"/>
                <w:szCs w:val="11"/>
                <w:color w:val="auto"/>
              </w:rPr>
              <w:t xml:space="preserve">     No repricing of equity incentive awards</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3600" w:type="dxa"/>
            <w:vAlign w:val="bottom"/>
          </w:tcPr>
          <w:p>
            <w:pPr>
              <w:ind w:left="120"/>
              <w:spacing w:after="0"/>
              <w:rPr>
                <w:sz w:val="20"/>
                <w:szCs w:val="20"/>
                <w:color w:val="auto"/>
              </w:rPr>
            </w:pPr>
            <w:r>
              <w:rPr>
                <w:rFonts w:ascii="Arial" w:cs="Arial" w:eastAsia="Arial" w:hAnsi="Arial"/>
                <w:sz w:val="11"/>
                <w:szCs w:val="11"/>
                <w:color w:val="auto"/>
              </w:rPr>
              <w:t xml:space="preserve">     Strong Clawback Policy</w:t>
            </w:r>
          </w:p>
        </w:tc>
        <w:tc>
          <w:tcPr>
            <w:tcW w:w="0" w:type="dxa"/>
            <w:vAlign w:val="bottom"/>
          </w:tcPr>
          <w:p>
            <w:pPr>
              <w:spacing w:after="0"/>
              <w:rPr>
                <w:sz w:val="1"/>
                <w:szCs w:val="1"/>
                <w:color w:val="auto"/>
              </w:rPr>
            </w:pPr>
          </w:p>
        </w:tc>
      </w:tr>
      <w:tr>
        <w:trPr>
          <w:trHeight w:val="58"/>
        </w:trPr>
        <w:tc>
          <w:tcPr>
            <w:tcW w:w="3740" w:type="dxa"/>
            <w:vAlign w:val="bottom"/>
            <w:tcBorders>
              <w:bottom w:val="single" w:sz="8" w:color="009BDE"/>
            </w:tcBorders>
          </w:tcPr>
          <w:p>
            <w:pPr>
              <w:spacing w:after="0"/>
              <w:rPr>
                <w:sz w:val="5"/>
                <w:szCs w:val="5"/>
                <w:color w:val="auto"/>
              </w:rPr>
            </w:pPr>
          </w:p>
        </w:tc>
        <w:tc>
          <w:tcPr>
            <w:tcW w:w="360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-1308100</wp:posOffset>
            </wp:positionV>
            <wp:extent cx="74295" cy="6858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74295" cy="6858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-1170940</wp:posOffset>
            </wp:positionV>
            <wp:extent cx="74295" cy="6858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74295" cy="6858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-1033780</wp:posOffset>
            </wp:positionV>
            <wp:extent cx="74295" cy="6858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74295" cy="6858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-896620</wp:posOffset>
            </wp:positionV>
            <wp:extent cx="74295" cy="6858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74295" cy="68580"/>
                    </a:xfrm>
                    <a:prstGeom prst="rect">
                      <a:avLst/>
                    </a:prstGeom>
                    <a:noFill/>
                  </pic:spPr>
                </pic:pic>
              </a:graphicData>
            </a:graphic>
          </wp:anchor>
        </w:drawing>
        <w:drawing>
          <wp:anchor simplePos="0" relativeHeight="251657728" behindDoc="1" locked="0" layoutInCell="0" allowOverlap="1">
            <wp:simplePos x="0" y="0"/>
            <wp:positionH relativeFrom="column">
              <wp:posOffset>1389380</wp:posOffset>
            </wp:positionH>
            <wp:positionV relativeFrom="paragraph">
              <wp:posOffset>-759460</wp:posOffset>
            </wp:positionV>
            <wp:extent cx="74295" cy="6858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74295" cy="68580"/>
                    </a:xfrm>
                    <a:prstGeom prst="rect">
                      <a:avLst/>
                    </a:prstGeom>
                    <a:noFill/>
                  </pic:spPr>
                </pic:pic>
              </a:graphicData>
            </a:graphic>
          </wp:anchor>
        </w:drawing>
        <w:drawing>
          <wp:anchor simplePos="0" relativeHeight="251657728" behindDoc="1" locked="0" layoutInCell="0" allowOverlap="1">
            <wp:simplePos x="0" y="0"/>
            <wp:positionH relativeFrom="column">
              <wp:posOffset>1389380</wp:posOffset>
            </wp:positionH>
            <wp:positionV relativeFrom="paragraph">
              <wp:posOffset>-622300</wp:posOffset>
            </wp:positionV>
            <wp:extent cx="74295" cy="6858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74295" cy="6858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-485140</wp:posOffset>
            </wp:positionV>
            <wp:extent cx="74295" cy="6858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74295" cy="6858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-1308100</wp:posOffset>
            </wp:positionV>
            <wp:extent cx="74295" cy="6858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74295" cy="6858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-1170940</wp:posOffset>
            </wp:positionV>
            <wp:extent cx="74295" cy="6858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74295" cy="6858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-1033780</wp:posOffset>
            </wp:positionV>
            <wp:extent cx="74295" cy="6858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74295" cy="6858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-816610</wp:posOffset>
            </wp:positionV>
            <wp:extent cx="74295" cy="6858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74295" cy="6858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-679450</wp:posOffset>
            </wp:positionV>
            <wp:extent cx="74295" cy="6858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74295" cy="6858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-542290</wp:posOffset>
            </wp:positionV>
            <wp:extent cx="74295" cy="6858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74295" cy="6858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-405130</wp:posOffset>
            </wp:positionV>
            <wp:extent cx="74295" cy="6858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74295" cy="6858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-267970</wp:posOffset>
            </wp:positionV>
            <wp:extent cx="74295" cy="6858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74295" cy="6858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-130810</wp:posOffset>
            </wp:positionV>
            <wp:extent cx="74295" cy="6858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74295" cy="6858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62865</wp:posOffset>
            </wp:positionV>
            <wp:extent cx="3971925" cy="21717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6"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36</w:t>
      </w:r>
    </w:p>
    <w:p>
      <w:pPr>
        <w:sectPr>
          <w:pgSz w:w="11900" w:h="16838" w:orient="portrait"/>
          <w:cols w:equalWidth="0" w:num="1">
            <w:col w:w="10159"/>
          </w:cols>
          <w:pgMar w:left="300" w:top="372" w:right="1440" w:bottom="1440" w:gutter="0" w:footer="0" w:header="0"/>
        </w:sectPr>
      </w:pPr>
    </w:p>
    <w:bookmarkStart w:id="58" w:name="page59"/>
    <w:bookmarkEnd w:id="5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Compensation Process</w:t>
      </w:r>
    </w:p>
    <w:p>
      <w:pPr>
        <w:spacing w:after="0" w:line="70" w:lineRule="exact"/>
        <w:rPr>
          <w:sz w:val="20"/>
          <w:szCs w:val="20"/>
          <w:color w:val="auto"/>
        </w:rPr>
      </w:pPr>
    </w:p>
    <w:p>
      <w:pPr>
        <w:jc w:val="center"/>
        <w:ind w:right="-120"/>
        <w:spacing w:after="0"/>
        <w:rPr>
          <w:sz w:val="20"/>
          <w:szCs w:val="20"/>
          <w:color w:val="auto"/>
        </w:rPr>
      </w:pPr>
      <w:r>
        <w:rPr>
          <w:rFonts w:ascii="Arial" w:cs="Arial" w:eastAsia="Arial" w:hAnsi="Arial"/>
          <w:sz w:val="11"/>
          <w:szCs w:val="11"/>
          <w:color w:val="auto"/>
        </w:rPr>
        <w:t>Hasbro’s executive compensation program is structured with input, analysis, review and/or oversight from various sources, including:</w:t>
      </w:r>
    </w:p>
    <w:p>
      <w:pPr>
        <w:spacing w:after="0" w:line="81" w:lineRule="exact"/>
        <w:rPr>
          <w:sz w:val="20"/>
          <w:szCs w:val="20"/>
          <w:color w:val="auto"/>
        </w:rPr>
      </w:pPr>
    </w:p>
    <w:p>
      <w:pPr>
        <w:ind w:left="2120" w:hanging="148"/>
        <w:spacing w:after="0"/>
        <w:tabs>
          <w:tab w:leader="none" w:pos="2120"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 Compensation Committee (the “Committee”);</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 full Board;</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 Committee’s independent compensation consultant, Meridian Compensation Partners LLC (“Meridian”);</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 Company’s Executive Vice President &amp; Chief People Officer;</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 Company’s Chief Executive Officer; and</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35"/>
        </w:numPr>
        <w:rPr>
          <w:rFonts w:ascii="Arial" w:cs="Arial" w:eastAsia="Arial" w:hAnsi="Arial"/>
          <w:sz w:val="11"/>
          <w:szCs w:val="11"/>
          <w:color w:val="auto"/>
        </w:rPr>
      </w:pPr>
      <w:r>
        <w:rPr>
          <w:rFonts w:ascii="Arial" w:cs="Arial" w:eastAsia="Arial" w:hAnsi="Arial"/>
          <w:sz w:val="11"/>
          <w:szCs w:val="11"/>
          <w:color w:val="auto"/>
        </w:rPr>
        <w:t>Market studies and other comparative compensation information.</w:t>
      </w:r>
    </w:p>
    <w:p>
      <w:pPr>
        <w:spacing w:after="0" w:line="99" w:lineRule="exact"/>
        <w:rPr>
          <w:sz w:val="20"/>
          <w:szCs w:val="20"/>
          <w:color w:val="auto"/>
        </w:rPr>
      </w:pPr>
    </w:p>
    <w:p>
      <w:pPr>
        <w:ind w:left="1980" w:right="959"/>
        <w:spacing w:after="0" w:line="242" w:lineRule="auto"/>
        <w:rPr>
          <w:sz w:val="20"/>
          <w:szCs w:val="20"/>
          <w:color w:val="auto"/>
        </w:rPr>
      </w:pPr>
      <w:r>
        <w:rPr>
          <w:rFonts w:ascii="Arial" w:cs="Arial" w:eastAsia="Arial" w:hAnsi="Arial"/>
          <w:sz w:val="11"/>
          <w:szCs w:val="11"/>
          <w:color w:val="auto"/>
        </w:rPr>
        <w:t>All final decisions regarding the performance and compensation and retention programs for the Company’s executive officers, including the NEOs, are made by the Committee. The performance and compensation package for the Company’s Chief Executive Officer is also reviewed and approved by the full Board, without the Chief Executive Officer being present.</w:t>
      </w:r>
    </w:p>
    <w:p>
      <w:pPr>
        <w:spacing w:after="0" w:line="94" w:lineRule="exact"/>
        <w:rPr>
          <w:sz w:val="20"/>
          <w:szCs w:val="20"/>
          <w:color w:val="auto"/>
        </w:rPr>
      </w:pPr>
    </w:p>
    <w:p>
      <w:pPr>
        <w:ind w:left="1980" w:right="899"/>
        <w:spacing w:after="0" w:line="241" w:lineRule="auto"/>
        <w:rPr>
          <w:sz w:val="20"/>
          <w:szCs w:val="20"/>
          <w:color w:val="auto"/>
        </w:rPr>
      </w:pPr>
      <w:r>
        <w:rPr>
          <w:rFonts w:ascii="Arial" w:cs="Arial" w:eastAsia="Arial" w:hAnsi="Arial"/>
          <w:sz w:val="11"/>
          <w:szCs w:val="11"/>
          <w:color w:val="auto"/>
        </w:rPr>
        <w:t>In structuring the various compensation elements, the Company and Committee review each element on both an individual basis and in totality as part of an overall compensation package. This process includes reviewing tally sheets for each of the executive officers that set forth total target direct compensation, and within that total summarize the target level for each element and the portion of total target direct compensation comprised of the various compensation elements.</w:t>
      </w:r>
    </w:p>
    <w:p>
      <w:pPr>
        <w:spacing w:after="0" w:line="86" w:lineRule="exact"/>
        <w:rPr>
          <w:sz w:val="20"/>
          <w:szCs w:val="20"/>
          <w:color w:val="auto"/>
        </w:rPr>
      </w:pPr>
    </w:p>
    <w:p>
      <w:pPr>
        <w:ind w:left="1980" w:right="1019"/>
        <w:spacing w:after="0" w:line="241" w:lineRule="auto"/>
        <w:rPr>
          <w:sz w:val="20"/>
          <w:szCs w:val="20"/>
          <w:color w:val="auto"/>
        </w:rPr>
      </w:pPr>
      <w:r>
        <w:rPr>
          <w:rFonts w:ascii="Arial" w:cs="Arial" w:eastAsia="Arial" w:hAnsi="Arial"/>
          <w:sz w:val="11"/>
          <w:szCs w:val="11"/>
          <w:color w:val="auto"/>
        </w:rPr>
        <w:t>For NEOs other than the CEO, the CEO makes recommendations to the Committee for each executive’s compensation package. The Committee then discusses these recommendations with the CEO, both with and without the presence of the Company’s EVP &amp; Chief People Officer. The Committee further reviews and discusses all recommendations in executive session and, as part of these discussions, the Committee discusses the recommendations with representatives from Meridian.</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Peer Group and Benchmarking to the Market</w:t>
      </w:r>
    </w:p>
    <w:p>
      <w:pPr>
        <w:spacing w:after="0" w:line="113"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In designing the fiscal 2022 executive compensation program, the Committee reviewed certain market data as a market check for each of the NEO’s, including: (i) base salary, (ii) total target cash compensation (comprised of base salary and target management incentive plan award) and (iii) total target direct compensation (comprised of base salary, target short-term incentive award and target long-term incentive award). This market information is one element reviewed by the Committee. The Committee does not simply set compensation levels at a certain benchmark level or within a certain benchmark range.</w:t>
      </w:r>
    </w:p>
    <w:p>
      <w:pPr>
        <w:spacing w:after="0" w:line="97" w:lineRule="exact"/>
        <w:rPr>
          <w:sz w:val="20"/>
          <w:szCs w:val="20"/>
          <w:color w:val="auto"/>
        </w:rPr>
      </w:pPr>
    </w:p>
    <w:p>
      <w:pPr>
        <w:ind w:left="1980" w:right="919"/>
        <w:spacing w:after="0" w:line="241" w:lineRule="auto"/>
        <w:rPr>
          <w:sz w:val="20"/>
          <w:szCs w:val="20"/>
          <w:color w:val="auto"/>
        </w:rPr>
      </w:pPr>
      <w:r>
        <w:rPr>
          <w:rFonts w:ascii="Arial" w:cs="Arial" w:eastAsia="Arial" w:hAnsi="Arial"/>
          <w:sz w:val="11"/>
          <w:szCs w:val="11"/>
          <w:color w:val="auto"/>
        </w:rPr>
        <w:t>As the Company has developed into a global branded play and entertainment leader, the companies with which Hasbro competes for executive talent have broadened considerably and the skills and expertise required of Hasbro’s executives have greatly increased. The Company competes with a broad range of companies that focus on immersive storytelling across brands, including those operating in the digital gaming, entertainment and media industries, in the hiring and retention of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3971925" cy="21717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37</w:t>
      </w:r>
    </w:p>
    <w:p>
      <w:pPr>
        <w:sectPr>
          <w:pgSz w:w="11900" w:h="16838" w:orient="portrait"/>
          <w:cols w:equalWidth="0" w:num="1">
            <w:col w:w="10159"/>
          </w:cols>
          <w:pgMar w:left="300" w:top="372" w:right="1440" w:bottom="1440" w:gutter="0" w:footer="0" w:header="0"/>
        </w:sectPr>
      </w:pPr>
    </w:p>
    <w:bookmarkStart w:id="59" w:name="page60"/>
    <w:bookmarkEnd w:id="5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1039"/>
        <w:spacing w:after="0" w:line="245" w:lineRule="auto"/>
        <w:rPr>
          <w:sz w:val="20"/>
          <w:szCs w:val="20"/>
          <w:color w:val="auto"/>
        </w:rPr>
      </w:pPr>
      <w:r>
        <w:rPr>
          <w:rFonts w:ascii="Arial" w:cs="Arial" w:eastAsia="Arial" w:hAnsi="Arial"/>
          <w:sz w:val="11"/>
          <w:szCs w:val="11"/>
          <w:color w:val="auto"/>
        </w:rPr>
        <w:t>The Committee, with the assistance of its independent compensation consultant, annually reviews the compensation peer group. The fiscal year 2022 peer group is as follows:</w:t>
      </w:r>
    </w:p>
    <w:p>
      <w:pPr>
        <w:spacing w:after="0" w:line="198" w:lineRule="exact"/>
        <w:rPr>
          <w:sz w:val="20"/>
          <w:szCs w:val="20"/>
          <w:color w:val="auto"/>
        </w:rPr>
      </w:pPr>
    </w:p>
    <w:tbl>
      <w:tblPr>
        <w:tblLayout w:type="fixed"/>
        <w:tblInd w:w="1980" w:type="dxa"/>
        <w:tblCellMar>
          <w:top w:w="0" w:type="dxa"/>
          <w:left w:w="0" w:type="dxa"/>
          <w:bottom w:w="0" w:type="dxa"/>
          <w:right w:w="0" w:type="dxa"/>
        </w:tblCellMar>
      </w:tblPr>
      <w:tr>
        <w:trPr>
          <w:trHeight w:val="142"/>
        </w:trPr>
        <w:tc>
          <w:tcPr>
            <w:tcW w:w="1760" w:type="dxa"/>
            <w:vAlign w:val="bottom"/>
          </w:tcPr>
          <w:p>
            <w:pPr>
              <w:spacing w:after="0"/>
              <w:rPr>
                <w:sz w:val="20"/>
                <w:szCs w:val="20"/>
                <w:color w:val="auto"/>
              </w:rPr>
            </w:pPr>
            <w:r>
              <w:rPr>
                <w:rFonts w:ascii="Arial" w:cs="Arial" w:eastAsia="Arial" w:hAnsi="Arial"/>
                <w:sz w:val="11"/>
                <w:szCs w:val="11"/>
                <w:b w:val="1"/>
                <w:bCs w:val="1"/>
                <w:i w:val="1"/>
                <w:iCs w:val="1"/>
                <w:color w:val="009BDE"/>
              </w:rPr>
              <w:t>2022 Peer Group</w:t>
            </w:r>
          </w:p>
        </w:tc>
        <w:tc>
          <w:tcPr>
            <w:tcW w:w="15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360"/>
        </w:trPr>
        <w:tc>
          <w:tcPr>
            <w:tcW w:w="1760" w:type="dxa"/>
            <w:vAlign w:val="bottom"/>
          </w:tcPr>
          <w:p>
            <w:pPr>
              <w:ind w:left="40"/>
              <w:spacing w:after="0"/>
              <w:rPr>
                <w:sz w:val="20"/>
                <w:szCs w:val="20"/>
                <w:color w:val="auto"/>
              </w:rPr>
            </w:pPr>
            <w:r>
              <w:rPr>
                <w:rFonts w:ascii="Arial" w:cs="Arial" w:eastAsia="Arial" w:hAnsi="Arial"/>
                <w:sz w:val="11"/>
                <w:szCs w:val="11"/>
                <w:color w:val="auto"/>
              </w:rPr>
              <w:t>Netflix, Inc.</w:t>
            </w:r>
          </w:p>
        </w:tc>
        <w:tc>
          <w:tcPr>
            <w:tcW w:w="1580" w:type="dxa"/>
            <w:vAlign w:val="bottom"/>
          </w:tcPr>
          <w:p>
            <w:pPr>
              <w:ind w:left="80"/>
              <w:spacing w:after="0"/>
              <w:rPr>
                <w:sz w:val="20"/>
                <w:szCs w:val="20"/>
                <w:color w:val="auto"/>
              </w:rPr>
            </w:pPr>
            <w:r>
              <w:rPr>
                <w:rFonts w:ascii="Arial" w:cs="Arial" w:eastAsia="Arial" w:hAnsi="Arial"/>
                <w:sz w:val="11"/>
                <w:szCs w:val="11"/>
                <w:color w:val="auto"/>
              </w:rPr>
              <w:t>Discovery*</w:t>
            </w:r>
          </w:p>
        </w:tc>
        <w:tc>
          <w:tcPr>
            <w:tcW w:w="1600" w:type="dxa"/>
            <w:vAlign w:val="bottom"/>
          </w:tcPr>
          <w:p>
            <w:pPr>
              <w:ind w:left="260"/>
              <w:spacing w:after="0"/>
              <w:rPr>
                <w:sz w:val="20"/>
                <w:szCs w:val="20"/>
                <w:color w:val="auto"/>
              </w:rPr>
            </w:pPr>
            <w:r>
              <w:rPr>
                <w:rFonts w:ascii="Arial" w:cs="Arial" w:eastAsia="Arial" w:hAnsi="Arial"/>
                <w:sz w:val="11"/>
                <w:szCs w:val="11"/>
                <w:color w:val="auto"/>
              </w:rPr>
              <w:t>Electronic Arts, Inc.</w:t>
            </w:r>
          </w:p>
        </w:tc>
        <w:tc>
          <w:tcPr>
            <w:tcW w:w="2400" w:type="dxa"/>
            <w:vAlign w:val="bottom"/>
          </w:tcPr>
          <w:p>
            <w:pPr>
              <w:ind w:left="420"/>
              <w:spacing w:after="0"/>
              <w:rPr>
                <w:sz w:val="20"/>
                <w:szCs w:val="20"/>
                <w:color w:val="auto"/>
              </w:rPr>
            </w:pPr>
            <w:r>
              <w:rPr>
                <w:rFonts w:ascii="Arial" w:cs="Arial" w:eastAsia="Arial" w:hAnsi="Arial"/>
                <w:sz w:val="11"/>
                <w:szCs w:val="11"/>
                <w:color w:val="auto"/>
              </w:rPr>
              <w:t>Lions Gate Entertainment Corp.</w:t>
            </w:r>
          </w:p>
        </w:tc>
      </w:tr>
      <w:tr>
        <w:trPr>
          <w:trHeight w:val="67"/>
        </w:trPr>
        <w:tc>
          <w:tcPr>
            <w:tcW w:w="1760" w:type="dxa"/>
            <w:vAlign w:val="bottom"/>
            <w:tcBorders>
              <w:bottom w:val="single" w:sz="8" w:color="009BDE"/>
            </w:tcBorders>
          </w:tcPr>
          <w:p>
            <w:pPr>
              <w:spacing w:after="0"/>
              <w:rPr>
                <w:sz w:val="5"/>
                <w:szCs w:val="5"/>
                <w:color w:val="auto"/>
              </w:rPr>
            </w:pPr>
          </w:p>
        </w:tc>
        <w:tc>
          <w:tcPr>
            <w:tcW w:w="1580" w:type="dxa"/>
            <w:vAlign w:val="bottom"/>
            <w:tcBorders>
              <w:bottom w:val="single" w:sz="8" w:color="009BDE"/>
            </w:tcBorders>
          </w:tcPr>
          <w:p>
            <w:pPr>
              <w:spacing w:after="0"/>
              <w:rPr>
                <w:sz w:val="5"/>
                <w:szCs w:val="5"/>
                <w:color w:val="auto"/>
              </w:rPr>
            </w:pPr>
          </w:p>
        </w:tc>
        <w:tc>
          <w:tcPr>
            <w:tcW w:w="1600" w:type="dxa"/>
            <w:vAlign w:val="bottom"/>
            <w:tcBorders>
              <w:bottom w:val="single" w:sz="8" w:color="009BDE"/>
            </w:tcBorders>
          </w:tcPr>
          <w:p>
            <w:pPr>
              <w:spacing w:after="0"/>
              <w:rPr>
                <w:sz w:val="5"/>
                <w:szCs w:val="5"/>
                <w:color w:val="auto"/>
              </w:rPr>
            </w:pPr>
          </w:p>
        </w:tc>
        <w:tc>
          <w:tcPr>
            <w:tcW w:w="2400" w:type="dxa"/>
            <w:vAlign w:val="bottom"/>
            <w:tcBorders>
              <w:bottom w:val="single" w:sz="8" w:color="009BDE"/>
            </w:tcBorders>
          </w:tcPr>
          <w:p>
            <w:pPr>
              <w:spacing w:after="0"/>
              <w:rPr>
                <w:sz w:val="5"/>
                <w:szCs w:val="5"/>
                <w:color w:val="auto"/>
              </w:rPr>
            </w:pPr>
          </w:p>
        </w:tc>
      </w:tr>
      <w:tr>
        <w:trPr>
          <w:trHeight w:val="179"/>
        </w:trPr>
        <w:tc>
          <w:tcPr>
            <w:tcW w:w="1760" w:type="dxa"/>
            <w:vAlign w:val="bottom"/>
          </w:tcPr>
          <w:p>
            <w:pPr>
              <w:ind w:left="40"/>
              <w:spacing w:after="0"/>
              <w:rPr>
                <w:sz w:val="20"/>
                <w:szCs w:val="20"/>
                <w:color w:val="auto"/>
              </w:rPr>
            </w:pPr>
            <w:r>
              <w:rPr>
                <w:rFonts w:ascii="Arial" w:cs="Arial" w:eastAsia="Arial" w:hAnsi="Arial"/>
                <w:sz w:val="11"/>
                <w:szCs w:val="11"/>
                <w:color w:val="auto"/>
              </w:rPr>
              <w:t>The Estee Lauder Companies Inc.</w:t>
            </w:r>
          </w:p>
        </w:tc>
        <w:tc>
          <w:tcPr>
            <w:tcW w:w="1580" w:type="dxa"/>
            <w:vAlign w:val="bottom"/>
          </w:tcPr>
          <w:p>
            <w:pPr>
              <w:ind w:left="80"/>
              <w:spacing w:after="0"/>
              <w:rPr>
                <w:sz w:val="20"/>
                <w:szCs w:val="20"/>
                <w:color w:val="auto"/>
              </w:rPr>
            </w:pPr>
            <w:r>
              <w:rPr>
                <w:rFonts w:ascii="Arial" w:cs="Arial" w:eastAsia="Arial" w:hAnsi="Arial"/>
                <w:sz w:val="11"/>
                <w:szCs w:val="11"/>
                <w:color w:val="auto"/>
              </w:rPr>
              <w:t>The Interpublic Group of</w:t>
            </w:r>
          </w:p>
        </w:tc>
        <w:tc>
          <w:tcPr>
            <w:tcW w:w="160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30"/>
        </w:trPr>
        <w:tc>
          <w:tcPr>
            <w:tcW w:w="1760" w:type="dxa"/>
            <w:vAlign w:val="bottom"/>
          </w:tcPr>
          <w:p>
            <w:pPr>
              <w:spacing w:after="0"/>
              <w:rPr>
                <w:sz w:val="11"/>
                <w:szCs w:val="11"/>
                <w:color w:val="auto"/>
              </w:rPr>
            </w:pPr>
          </w:p>
        </w:tc>
        <w:tc>
          <w:tcPr>
            <w:tcW w:w="1580" w:type="dxa"/>
            <w:vAlign w:val="bottom"/>
          </w:tcPr>
          <w:p>
            <w:pPr>
              <w:ind w:left="80"/>
              <w:spacing w:after="0"/>
              <w:rPr>
                <w:sz w:val="20"/>
                <w:szCs w:val="20"/>
                <w:color w:val="auto"/>
              </w:rPr>
            </w:pPr>
            <w:r>
              <w:rPr>
                <w:rFonts w:ascii="Arial" w:cs="Arial" w:eastAsia="Arial" w:hAnsi="Arial"/>
                <w:sz w:val="11"/>
                <w:szCs w:val="11"/>
                <w:color w:val="auto"/>
              </w:rPr>
              <w:t>Companies, Inc.</w:t>
            </w:r>
          </w:p>
        </w:tc>
        <w:tc>
          <w:tcPr>
            <w:tcW w:w="1600" w:type="dxa"/>
            <w:vAlign w:val="bottom"/>
          </w:tcPr>
          <w:p>
            <w:pPr>
              <w:ind w:left="260"/>
              <w:spacing w:after="0"/>
              <w:rPr>
                <w:sz w:val="20"/>
                <w:szCs w:val="20"/>
                <w:color w:val="auto"/>
              </w:rPr>
            </w:pPr>
            <w:r>
              <w:rPr>
                <w:rFonts w:ascii="Arial" w:cs="Arial" w:eastAsia="Arial" w:hAnsi="Arial"/>
                <w:sz w:val="11"/>
                <w:szCs w:val="11"/>
                <w:color w:val="auto"/>
              </w:rPr>
              <w:t>Under Armour, Inc.</w:t>
            </w:r>
          </w:p>
        </w:tc>
        <w:tc>
          <w:tcPr>
            <w:tcW w:w="2400" w:type="dxa"/>
            <w:vAlign w:val="bottom"/>
          </w:tcPr>
          <w:p>
            <w:pPr>
              <w:ind w:left="420"/>
              <w:spacing w:after="0"/>
              <w:rPr>
                <w:sz w:val="20"/>
                <w:szCs w:val="20"/>
                <w:color w:val="auto"/>
              </w:rPr>
            </w:pPr>
            <w:r>
              <w:rPr>
                <w:rFonts w:ascii="Arial" w:cs="Arial" w:eastAsia="Arial" w:hAnsi="Arial"/>
                <w:sz w:val="11"/>
                <w:szCs w:val="11"/>
                <w:color w:val="auto"/>
              </w:rPr>
              <w:t>Lululemon Athletica, Inc.</w:t>
            </w:r>
          </w:p>
        </w:tc>
      </w:tr>
      <w:tr>
        <w:trPr>
          <w:trHeight w:val="67"/>
        </w:trPr>
        <w:tc>
          <w:tcPr>
            <w:tcW w:w="1760" w:type="dxa"/>
            <w:vAlign w:val="bottom"/>
            <w:tcBorders>
              <w:bottom w:val="single" w:sz="8" w:color="009BDE"/>
            </w:tcBorders>
          </w:tcPr>
          <w:p>
            <w:pPr>
              <w:spacing w:after="0"/>
              <w:rPr>
                <w:sz w:val="5"/>
                <w:szCs w:val="5"/>
                <w:color w:val="auto"/>
              </w:rPr>
            </w:pPr>
          </w:p>
        </w:tc>
        <w:tc>
          <w:tcPr>
            <w:tcW w:w="1580" w:type="dxa"/>
            <w:vAlign w:val="bottom"/>
            <w:tcBorders>
              <w:bottom w:val="single" w:sz="8" w:color="009BDE"/>
            </w:tcBorders>
          </w:tcPr>
          <w:p>
            <w:pPr>
              <w:spacing w:after="0"/>
              <w:rPr>
                <w:sz w:val="5"/>
                <w:szCs w:val="5"/>
                <w:color w:val="auto"/>
              </w:rPr>
            </w:pPr>
          </w:p>
        </w:tc>
        <w:tc>
          <w:tcPr>
            <w:tcW w:w="1600" w:type="dxa"/>
            <w:vAlign w:val="bottom"/>
            <w:tcBorders>
              <w:bottom w:val="single" w:sz="8" w:color="009BDE"/>
            </w:tcBorders>
          </w:tcPr>
          <w:p>
            <w:pPr>
              <w:spacing w:after="0"/>
              <w:rPr>
                <w:sz w:val="5"/>
                <w:szCs w:val="5"/>
                <w:color w:val="auto"/>
              </w:rPr>
            </w:pPr>
          </w:p>
        </w:tc>
        <w:tc>
          <w:tcPr>
            <w:tcW w:w="2400" w:type="dxa"/>
            <w:vAlign w:val="bottom"/>
            <w:tcBorders>
              <w:bottom w:val="single" w:sz="8" w:color="009BDE"/>
            </w:tcBorders>
          </w:tcPr>
          <w:p>
            <w:pPr>
              <w:spacing w:after="0"/>
              <w:rPr>
                <w:sz w:val="5"/>
                <w:szCs w:val="5"/>
                <w:color w:val="auto"/>
              </w:rPr>
            </w:pPr>
          </w:p>
        </w:tc>
      </w:tr>
      <w:tr>
        <w:trPr>
          <w:trHeight w:val="183"/>
        </w:trPr>
        <w:tc>
          <w:tcPr>
            <w:tcW w:w="1760" w:type="dxa"/>
            <w:vAlign w:val="bottom"/>
          </w:tcPr>
          <w:p>
            <w:pPr>
              <w:ind w:left="40"/>
              <w:spacing w:after="0"/>
              <w:rPr>
                <w:sz w:val="20"/>
                <w:szCs w:val="20"/>
                <w:color w:val="auto"/>
              </w:rPr>
            </w:pPr>
            <w:r>
              <w:rPr>
                <w:rFonts w:ascii="Arial" w:cs="Arial" w:eastAsia="Arial" w:hAnsi="Arial"/>
                <w:sz w:val="11"/>
                <w:szCs w:val="11"/>
                <w:color w:val="auto"/>
              </w:rPr>
              <w:t>Fox Corporation</w:t>
            </w:r>
          </w:p>
        </w:tc>
        <w:tc>
          <w:tcPr>
            <w:tcW w:w="1580" w:type="dxa"/>
            <w:vAlign w:val="bottom"/>
          </w:tcPr>
          <w:p>
            <w:pPr>
              <w:ind w:left="80"/>
              <w:spacing w:after="0"/>
              <w:rPr>
                <w:sz w:val="20"/>
                <w:szCs w:val="20"/>
                <w:color w:val="auto"/>
              </w:rPr>
            </w:pPr>
            <w:r>
              <w:rPr>
                <w:rFonts w:ascii="Arial" w:cs="Arial" w:eastAsia="Arial" w:hAnsi="Arial"/>
                <w:sz w:val="11"/>
                <w:szCs w:val="11"/>
                <w:color w:val="auto"/>
              </w:rPr>
              <w:t>Activision Blizzard, Inc.</w:t>
            </w:r>
          </w:p>
        </w:tc>
        <w:tc>
          <w:tcPr>
            <w:tcW w:w="1600" w:type="dxa"/>
            <w:vAlign w:val="bottom"/>
          </w:tcPr>
          <w:p>
            <w:pPr>
              <w:ind w:left="260"/>
              <w:spacing w:after="0"/>
              <w:rPr>
                <w:sz w:val="20"/>
                <w:szCs w:val="20"/>
                <w:color w:val="auto"/>
              </w:rPr>
            </w:pPr>
            <w:r>
              <w:rPr>
                <w:rFonts w:ascii="Arial" w:cs="Arial" w:eastAsia="Arial" w:hAnsi="Arial"/>
                <w:sz w:val="11"/>
                <w:szCs w:val="11"/>
                <w:color w:val="auto"/>
              </w:rPr>
              <w:t>Skechers USA, Inc.</w:t>
            </w:r>
          </w:p>
        </w:tc>
        <w:tc>
          <w:tcPr>
            <w:tcW w:w="2400" w:type="dxa"/>
            <w:vAlign w:val="bottom"/>
          </w:tcPr>
          <w:p>
            <w:pPr>
              <w:ind w:left="420"/>
              <w:spacing w:after="0"/>
              <w:rPr>
                <w:sz w:val="20"/>
                <w:szCs w:val="20"/>
                <w:color w:val="auto"/>
              </w:rPr>
            </w:pPr>
            <w:r>
              <w:rPr>
                <w:rFonts w:ascii="Arial" w:cs="Arial" w:eastAsia="Arial" w:hAnsi="Arial"/>
                <w:sz w:val="11"/>
                <w:szCs w:val="11"/>
                <w:color w:val="auto"/>
              </w:rPr>
              <w:t>Take-Two Interactive Software, Inc.**</w:t>
            </w:r>
          </w:p>
        </w:tc>
      </w:tr>
      <w:tr>
        <w:trPr>
          <w:trHeight w:val="67"/>
        </w:trPr>
        <w:tc>
          <w:tcPr>
            <w:tcW w:w="1760" w:type="dxa"/>
            <w:vAlign w:val="bottom"/>
            <w:tcBorders>
              <w:bottom w:val="single" w:sz="8" w:color="009BDE"/>
            </w:tcBorders>
          </w:tcPr>
          <w:p>
            <w:pPr>
              <w:spacing w:after="0"/>
              <w:rPr>
                <w:sz w:val="5"/>
                <w:szCs w:val="5"/>
                <w:color w:val="auto"/>
              </w:rPr>
            </w:pPr>
          </w:p>
        </w:tc>
        <w:tc>
          <w:tcPr>
            <w:tcW w:w="1580" w:type="dxa"/>
            <w:vAlign w:val="bottom"/>
            <w:tcBorders>
              <w:bottom w:val="single" w:sz="8" w:color="009BDE"/>
            </w:tcBorders>
          </w:tcPr>
          <w:p>
            <w:pPr>
              <w:spacing w:after="0"/>
              <w:rPr>
                <w:sz w:val="5"/>
                <w:szCs w:val="5"/>
                <w:color w:val="auto"/>
              </w:rPr>
            </w:pPr>
          </w:p>
        </w:tc>
        <w:tc>
          <w:tcPr>
            <w:tcW w:w="1600" w:type="dxa"/>
            <w:vAlign w:val="bottom"/>
            <w:tcBorders>
              <w:bottom w:val="single" w:sz="8" w:color="009BDE"/>
            </w:tcBorders>
          </w:tcPr>
          <w:p>
            <w:pPr>
              <w:spacing w:after="0"/>
              <w:rPr>
                <w:sz w:val="5"/>
                <w:szCs w:val="5"/>
                <w:color w:val="auto"/>
              </w:rPr>
            </w:pPr>
          </w:p>
        </w:tc>
        <w:tc>
          <w:tcPr>
            <w:tcW w:w="2400" w:type="dxa"/>
            <w:vAlign w:val="bottom"/>
            <w:tcBorders>
              <w:bottom w:val="single" w:sz="8" w:color="009BDE"/>
            </w:tcBorders>
          </w:tcPr>
          <w:p>
            <w:pPr>
              <w:spacing w:after="0"/>
              <w:rPr>
                <w:sz w:val="5"/>
                <w:szCs w:val="5"/>
                <w:color w:val="auto"/>
              </w:rPr>
            </w:pPr>
          </w:p>
        </w:tc>
      </w:tr>
      <w:tr>
        <w:trPr>
          <w:trHeight w:val="183"/>
        </w:trPr>
        <w:tc>
          <w:tcPr>
            <w:tcW w:w="1760" w:type="dxa"/>
            <w:vAlign w:val="bottom"/>
          </w:tcPr>
          <w:p>
            <w:pPr>
              <w:ind w:left="40"/>
              <w:spacing w:after="0"/>
              <w:rPr>
                <w:sz w:val="20"/>
                <w:szCs w:val="20"/>
                <w:color w:val="auto"/>
              </w:rPr>
            </w:pPr>
            <w:r>
              <w:rPr>
                <w:rFonts w:ascii="Arial" w:cs="Arial" w:eastAsia="Arial" w:hAnsi="Arial"/>
                <w:sz w:val="11"/>
                <w:szCs w:val="11"/>
                <w:color w:val="auto"/>
              </w:rPr>
              <w:t>Live Nation Entertainment, Inc.</w:t>
            </w:r>
          </w:p>
        </w:tc>
        <w:tc>
          <w:tcPr>
            <w:tcW w:w="1580" w:type="dxa"/>
            <w:vAlign w:val="bottom"/>
          </w:tcPr>
          <w:p>
            <w:pPr>
              <w:ind w:left="80"/>
              <w:spacing w:after="0"/>
              <w:rPr>
                <w:sz w:val="20"/>
                <w:szCs w:val="20"/>
                <w:color w:val="auto"/>
              </w:rPr>
            </w:pPr>
            <w:r>
              <w:rPr>
                <w:rFonts w:ascii="Arial" w:cs="Arial" w:eastAsia="Arial" w:hAnsi="Arial"/>
                <w:sz w:val="11"/>
                <w:szCs w:val="11"/>
                <w:color w:val="auto"/>
              </w:rPr>
              <w:t>Ralph Lauren Corporation</w:t>
            </w:r>
          </w:p>
        </w:tc>
        <w:tc>
          <w:tcPr>
            <w:tcW w:w="1600" w:type="dxa"/>
            <w:vAlign w:val="bottom"/>
          </w:tcPr>
          <w:p>
            <w:pPr>
              <w:ind w:left="260"/>
              <w:spacing w:after="0"/>
              <w:rPr>
                <w:sz w:val="20"/>
                <w:szCs w:val="20"/>
                <w:color w:val="auto"/>
              </w:rPr>
            </w:pPr>
            <w:r>
              <w:rPr>
                <w:rFonts w:ascii="Arial" w:cs="Arial" w:eastAsia="Arial" w:hAnsi="Arial"/>
                <w:sz w:val="11"/>
                <w:szCs w:val="11"/>
                <w:color w:val="auto"/>
              </w:rPr>
              <w:t>Mattel, Inc.</w:t>
            </w:r>
          </w:p>
        </w:tc>
        <w:tc>
          <w:tcPr>
            <w:tcW w:w="2400" w:type="dxa"/>
            <w:vAlign w:val="bottom"/>
          </w:tcPr>
          <w:p>
            <w:pPr>
              <w:ind w:left="420"/>
              <w:spacing w:after="0"/>
              <w:rPr>
                <w:sz w:val="20"/>
                <w:szCs w:val="20"/>
                <w:color w:val="auto"/>
              </w:rPr>
            </w:pPr>
            <w:r>
              <w:rPr>
                <w:rFonts w:ascii="Arial" w:cs="Arial" w:eastAsia="Arial" w:hAnsi="Arial"/>
                <w:sz w:val="11"/>
                <w:szCs w:val="11"/>
                <w:color w:val="auto"/>
              </w:rPr>
              <w:t>Zynga,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42545</wp:posOffset>
            </wp:positionV>
            <wp:extent cx="4663440" cy="571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13" w:lineRule="exact"/>
        <w:rPr>
          <w:sz w:val="20"/>
          <w:szCs w:val="20"/>
          <w:color w:val="auto"/>
        </w:rPr>
      </w:pPr>
    </w:p>
    <w:p>
      <w:pPr>
        <w:ind w:left="2260" w:hanging="288"/>
        <w:spacing w:after="0"/>
        <w:tabs>
          <w:tab w:leader="none" w:pos="2260" w:val="left"/>
        </w:tabs>
        <w:numPr>
          <w:ilvl w:val="0"/>
          <w:numId w:val="36"/>
        </w:numPr>
        <w:rPr>
          <w:rFonts w:ascii="Arial" w:cs="Arial" w:eastAsia="Arial" w:hAnsi="Arial"/>
          <w:sz w:val="10"/>
          <w:szCs w:val="10"/>
          <w:color w:val="auto"/>
        </w:rPr>
      </w:pPr>
      <w:r>
        <w:rPr>
          <w:rFonts w:ascii="Arial" w:cs="Arial" w:eastAsia="Arial" w:hAnsi="Arial"/>
          <w:sz w:val="10"/>
          <w:szCs w:val="10"/>
          <w:color w:val="auto"/>
        </w:rPr>
        <w:t>Discovery acquired Warner Brothers in April 2022.</w:t>
      </w:r>
    </w:p>
    <w:p>
      <w:pPr>
        <w:spacing w:after="0" w:line="47" w:lineRule="exact"/>
        <w:rPr>
          <w:sz w:val="20"/>
          <w:szCs w:val="20"/>
          <w:color w:val="auto"/>
        </w:rPr>
      </w:pPr>
    </w:p>
    <w:p>
      <w:pPr>
        <w:ind w:left="2260" w:hanging="288"/>
        <w:spacing w:after="0"/>
        <w:tabs>
          <w:tab w:leader="none" w:pos="2260" w:val="left"/>
        </w:tabs>
        <w:numPr>
          <w:ilvl w:val="0"/>
          <w:numId w:val="37"/>
        </w:numPr>
        <w:rPr>
          <w:rFonts w:ascii="Arial" w:cs="Arial" w:eastAsia="Arial" w:hAnsi="Arial"/>
          <w:sz w:val="10"/>
          <w:szCs w:val="10"/>
          <w:color w:val="auto"/>
        </w:rPr>
      </w:pPr>
      <w:r>
        <w:rPr>
          <w:rFonts w:ascii="Arial" w:cs="Arial" w:eastAsia="Arial" w:hAnsi="Arial"/>
          <w:sz w:val="10"/>
          <w:szCs w:val="10"/>
          <w:color w:val="auto"/>
        </w:rPr>
        <w:t>Take-Two Interactive Software, Inc. acquired Zynga in May 2022.</w:t>
      </w:r>
    </w:p>
    <w:p>
      <w:pPr>
        <w:spacing w:after="0" w:line="90" w:lineRule="exact"/>
        <w:rPr>
          <w:sz w:val="20"/>
          <w:szCs w:val="20"/>
          <w:color w:val="auto"/>
        </w:rPr>
      </w:pPr>
    </w:p>
    <w:p>
      <w:pPr>
        <w:ind w:left="1980" w:right="859"/>
        <w:spacing w:after="0" w:line="245" w:lineRule="auto"/>
        <w:rPr>
          <w:sz w:val="20"/>
          <w:szCs w:val="20"/>
          <w:color w:val="auto"/>
        </w:rPr>
      </w:pPr>
      <w:r>
        <w:rPr>
          <w:rFonts w:ascii="Arial" w:cs="Arial" w:eastAsia="Arial" w:hAnsi="Arial"/>
          <w:sz w:val="11"/>
          <w:szCs w:val="11"/>
          <w:color w:val="auto"/>
        </w:rPr>
        <w:t>The Committee reviews market data, including from the peer group, as part of assessing the appropriateness and reasonableness of compensation levels and mix of compensation elements to ensure that the compensation program:</w:t>
      </w:r>
    </w:p>
    <w:p>
      <w:pPr>
        <w:spacing w:after="0" w:line="93" w:lineRule="exact"/>
        <w:rPr>
          <w:sz w:val="20"/>
          <w:szCs w:val="20"/>
          <w:color w:val="auto"/>
        </w:rPr>
      </w:pPr>
    </w:p>
    <w:p>
      <w:pPr>
        <w:ind w:left="2120" w:hanging="148"/>
        <w:spacing w:after="0"/>
        <w:tabs>
          <w:tab w:leader="none" w:pos="2120" w:val="left"/>
        </w:tabs>
        <w:numPr>
          <w:ilvl w:val="0"/>
          <w:numId w:val="38"/>
        </w:numPr>
        <w:rPr>
          <w:rFonts w:ascii="Arial" w:cs="Arial" w:eastAsia="Arial" w:hAnsi="Arial"/>
          <w:sz w:val="11"/>
          <w:szCs w:val="11"/>
          <w:color w:val="auto"/>
        </w:rPr>
      </w:pPr>
      <w:r>
        <w:rPr>
          <w:rFonts w:ascii="Arial" w:cs="Arial" w:eastAsia="Arial" w:hAnsi="Arial"/>
          <w:sz w:val="11"/>
          <w:szCs w:val="11"/>
          <w:color w:val="auto"/>
        </w:rPr>
        <w:t>is appropriate and effective in furthering Company goals;</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38"/>
        </w:numPr>
        <w:rPr>
          <w:rFonts w:ascii="Arial" w:cs="Arial" w:eastAsia="Arial" w:hAnsi="Arial"/>
          <w:sz w:val="11"/>
          <w:szCs w:val="11"/>
          <w:color w:val="auto"/>
        </w:rPr>
      </w:pPr>
      <w:r>
        <w:rPr>
          <w:rFonts w:ascii="Arial" w:cs="Arial" w:eastAsia="Arial" w:hAnsi="Arial"/>
          <w:sz w:val="11"/>
          <w:szCs w:val="11"/>
          <w:color w:val="auto"/>
        </w:rPr>
        <w:t>provides adequate retention incentive for top-performing executives;</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38"/>
        </w:numPr>
        <w:rPr>
          <w:rFonts w:ascii="Arial" w:cs="Arial" w:eastAsia="Arial" w:hAnsi="Arial"/>
          <w:sz w:val="11"/>
          <w:szCs w:val="11"/>
          <w:color w:val="auto"/>
        </w:rPr>
      </w:pPr>
      <w:r>
        <w:rPr>
          <w:rFonts w:ascii="Arial" w:cs="Arial" w:eastAsia="Arial" w:hAnsi="Arial"/>
          <w:sz w:val="11"/>
          <w:szCs w:val="11"/>
          <w:color w:val="auto"/>
        </w:rPr>
        <w:t>aligns pay with performance; and</w:t>
      </w:r>
    </w:p>
    <w:p>
      <w:pPr>
        <w:spacing w:after="0" w:line="80" w:lineRule="exact"/>
        <w:rPr>
          <w:rFonts w:ascii="Arial" w:cs="Arial" w:eastAsia="Arial" w:hAnsi="Arial"/>
          <w:sz w:val="11"/>
          <w:szCs w:val="11"/>
          <w:color w:val="auto"/>
        </w:rPr>
      </w:pPr>
    </w:p>
    <w:p>
      <w:pPr>
        <w:ind w:left="2120" w:right="1179" w:hanging="148"/>
        <w:spacing w:after="0" w:line="245" w:lineRule="auto"/>
        <w:tabs>
          <w:tab w:leader="none" w:pos="2120" w:val="left"/>
        </w:tabs>
        <w:numPr>
          <w:ilvl w:val="0"/>
          <w:numId w:val="38"/>
        </w:numPr>
        <w:rPr>
          <w:rFonts w:ascii="Arial" w:cs="Arial" w:eastAsia="Arial" w:hAnsi="Arial"/>
          <w:sz w:val="11"/>
          <w:szCs w:val="11"/>
          <w:color w:val="auto"/>
        </w:rPr>
      </w:pPr>
      <w:r>
        <w:rPr>
          <w:rFonts w:ascii="Arial" w:cs="Arial" w:eastAsia="Arial" w:hAnsi="Arial"/>
          <w:sz w:val="11"/>
          <w:szCs w:val="11"/>
          <w:color w:val="auto"/>
        </w:rPr>
        <w:t>fairly rewards executives for their performance and contribution to the achievement of the Company’s goals, rather than in having compensation packages align to a certain range of market data of the Company’s peers.</w:t>
      </w:r>
    </w:p>
    <w:p>
      <w:pPr>
        <w:spacing w:after="0" w:line="93" w:lineRule="exact"/>
        <w:rPr>
          <w:sz w:val="20"/>
          <w:szCs w:val="20"/>
          <w:color w:val="auto"/>
        </w:rPr>
      </w:pPr>
    </w:p>
    <w:p>
      <w:pPr>
        <w:ind w:left="1980" w:right="1119"/>
        <w:spacing w:after="0" w:line="245" w:lineRule="auto"/>
        <w:rPr>
          <w:sz w:val="20"/>
          <w:szCs w:val="20"/>
          <w:color w:val="auto"/>
        </w:rPr>
      </w:pPr>
      <w:r>
        <w:rPr>
          <w:rFonts w:ascii="Arial" w:cs="Arial" w:eastAsia="Arial" w:hAnsi="Arial"/>
          <w:sz w:val="11"/>
          <w:szCs w:val="11"/>
          <w:color w:val="auto"/>
        </w:rPr>
        <w:t>According to market data reviewed by the Committee, the 2022 total target direct compensation for NEOs was within a reasonable range of the 50th percentile of total target direct compensation for comparable positions at companies in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149860</wp:posOffset>
            </wp:positionV>
            <wp:extent cx="4577715" cy="92583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4577715" cy="925830"/>
                    </a:xfrm>
                    <a:prstGeom prst="rect">
                      <a:avLst/>
                    </a:prstGeom>
                    <a:noFill/>
                  </pic:spPr>
                </pic:pic>
              </a:graphicData>
            </a:graphic>
          </wp:anchor>
        </w:drawing>
      </w:r>
    </w:p>
    <w:p>
      <w:pPr>
        <w:spacing w:after="0" w:line="223" w:lineRule="exact"/>
        <w:rPr>
          <w:sz w:val="20"/>
          <w:szCs w:val="20"/>
          <w:color w:val="auto"/>
        </w:rPr>
      </w:pPr>
    </w:p>
    <w:p>
      <w:pPr>
        <w:ind w:left="2180"/>
        <w:spacing w:after="0"/>
        <w:rPr>
          <w:sz w:val="20"/>
          <w:szCs w:val="20"/>
          <w:color w:val="auto"/>
        </w:rPr>
      </w:pPr>
      <w:r>
        <w:rPr>
          <w:rFonts w:ascii="Arial" w:cs="Arial" w:eastAsia="Arial" w:hAnsi="Arial"/>
          <w:sz w:val="11"/>
          <w:szCs w:val="11"/>
          <w:b w:val="1"/>
          <w:bCs w:val="1"/>
          <w:i w:val="1"/>
          <w:iCs w:val="1"/>
          <w:color w:val="009BDE"/>
        </w:rPr>
        <w:t>2023 Peer Group</w:t>
      </w:r>
    </w:p>
    <w:p>
      <w:pPr>
        <w:spacing w:after="0" w:line="93" w:lineRule="exact"/>
        <w:rPr>
          <w:sz w:val="20"/>
          <w:szCs w:val="20"/>
          <w:color w:val="auto"/>
        </w:rPr>
      </w:pPr>
    </w:p>
    <w:p>
      <w:pPr>
        <w:ind w:left="2180" w:right="1159"/>
        <w:spacing w:after="0" w:line="239" w:lineRule="auto"/>
        <w:rPr>
          <w:sz w:val="20"/>
          <w:szCs w:val="20"/>
          <w:color w:val="auto"/>
        </w:rPr>
      </w:pPr>
      <w:r>
        <w:rPr>
          <w:rFonts w:ascii="Arial" w:cs="Arial" w:eastAsia="Arial" w:hAnsi="Arial"/>
          <w:sz w:val="11"/>
          <w:szCs w:val="11"/>
          <w:color w:val="auto"/>
        </w:rPr>
        <w:t>For determining the fiscal year 2023 peer group, the Committee, with assistance from its independent compensation consultant, reviewed the compensation peer group and determined that it would be appropriate to make adjustments that increase the focus on digital gaming companies. Additionally, the Committee reviewed the revenue and market capitalization of each company in the peer group to ensure that such company was an appropriate comparator. Based on this analysis, the Committee approved changes to the peer group that provided for the addition of Roblox and the removal of Warner Bros. Discovery. Roblox was added as they are the only public gaming company with revenues greater than $1.0B not currently part of the peer group and Hasbro is increasingly competing for talent in the gaming industry. Warner Brothers was removed as a result of the acquisition of Warner Brothers by Discovery primarily due to the fact that following the acquisition, Discovery was disproportionately sized from a revenue perspective to Hasbro. For 2023, the compensation peer group reflects a mix of companies with which Hasbro competes with for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125095</wp:posOffset>
            </wp:positionV>
            <wp:extent cx="3971925" cy="21717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235"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38</w:t>
      </w:r>
    </w:p>
    <w:p>
      <w:pPr>
        <w:sectPr>
          <w:pgSz w:w="11900" w:h="16838" w:orient="portrait"/>
          <w:cols w:equalWidth="0" w:num="1">
            <w:col w:w="10159"/>
          </w:cols>
          <w:pgMar w:left="300" w:top="372" w:right="1440" w:bottom="1440" w:gutter="0" w:footer="0" w:header="0"/>
        </w:sectPr>
      </w:pPr>
    </w:p>
    <w:bookmarkStart w:id="60" w:name="page61"/>
    <w:bookmarkEnd w:id="6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Role of the Independent Compensation Consultant</w:t>
      </w:r>
    </w:p>
    <w:p>
      <w:pPr>
        <w:spacing w:after="0" w:line="113" w:lineRule="exact"/>
        <w:rPr>
          <w:sz w:val="20"/>
          <w:szCs w:val="20"/>
          <w:color w:val="auto"/>
        </w:rPr>
      </w:pPr>
    </w:p>
    <w:p>
      <w:pPr>
        <w:ind w:left="1980" w:right="859"/>
        <w:spacing w:after="0" w:line="269" w:lineRule="auto"/>
        <w:rPr>
          <w:sz w:val="20"/>
          <w:szCs w:val="20"/>
          <w:color w:val="auto"/>
        </w:rPr>
      </w:pPr>
      <w:r>
        <w:rPr>
          <w:rFonts w:ascii="Arial" w:cs="Arial" w:eastAsia="Arial" w:hAnsi="Arial"/>
          <w:sz w:val="10"/>
          <w:szCs w:val="10"/>
          <w:color w:val="auto"/>
        </w:rPr>
        <w:t>In reviewing and establishing the fiscal 2022 compensation program for the Company’s executive officers, the Committee received input and recommendations from representatives from Meridian, which was retained by, and which reports directly to, the Committee. Meridian advised the Committee with respect to the Committee’s review of the Company’s executive compensation programs and provided additional information as to whether the Company’s proposed executive compensation programs were competitive, fair to the Company and the executives, reflected strong alignment between pay and performance, provided appropriate incentive to and retention of the executives and were effective in promoting the performance of the Company’s executives and achievement of the Company’s business and financial goals. Meridian did not provide any other services to Hasbro in 2022.</w:t>
      </w:r>
    </w:p>
    <w:p>
      <w:pPr>
        <w:spacing w:after="0" w:line="82" w:lineRule="exact"/>
        <w:rPr>
          <w:sz w:val="20"/>
          <w:szCs w:val="20"/>
          <w:color w:val="auto"/>
        </w:rPr>
      </w:pPr>
    </w:p>
    <w:p>
      <w:pPr>
        <w:ind w:left="1980" w:right="879"/>
        <w:spacing w:after="0" w:line="241" w:lineRule="auto"/>
        <w:rPr>
          <w:sz w:val="20"/>
          <w:szCs w:val="20"/>
          <w:color w:val="auto"/>
        </w:rPr>
      </w:pPr>
      <w:r>
        <w:rPr>
          <w:rFonts w:ascii="Arial" w:cs="Arial" w:eastAsia="Arial" w:hAnsi="Arial"/>
          <w:sz w:val="11"/>
          <w:szCs w:val="11"/>
          <w:color w:val="auto"/>
        </w:rPr>
        <w:t>The Committee recognizes that it is essential to receive objective advice from compensation consultants that are independent. Therefore, the Committee maintains a policy requiring an annual assessment of compensation consultant independence based on the NASDAQ’s requirements. The Committee concluded that Meridian was independent and had no conflicts of interest or other relationships that may impair their independence during their service to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3971925" cy="21717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39</w:t>
      </w:r>
    </w:p>
    <w:p>
      <w:pPr>
        <w:sectPr>
          <w:pgSz w:w="11900" w:h="16838" w:orient="portrait"/>
          <w:cols w:equalWidth="0" w:num="1">
            <w:col w:w="10159"/>
          </w:cols>
          <w:pgMar w:left="300" w:top="372" w:right="1440" w:bottom="1440" w:gutter="0" w:footer="0" w:header="0"/>
        </w:sectPr>
      </w:pPr>
    </w:p>
    <w:bookmarkStart w:id="61" w:name="page62"/>
    <w:bookmarkEnd w:id="6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Executive Compensation Program Elements</w:t>
      </w:r>
    </w:p>
    <w:p>
      <w:pPr>
        <w:spacing w:after="0" w:line="70" w:lineRule="exact"/>
        <w:rPr>
          <w:sz w:val="20"/>
          <w:szCs w:val="20"/>
          <w:color w:val="auto"/>
        </w:rPr>
      </w:pPr>
    </w:p>
    <w:p>
      <w:pPr>
        <w:ind w:left="1980" w:right="959"/>
        <w:spacing w:after="0" w:line="245" w:lineRule="auto"/>
        <w:rPr>
          <w:sz w:val="20"/>
          <w:szCs w:val="20"/>
          <w:color w:val="auto"/>
        </w:rPr>
      </w:pPr>
      <w:r>
        <w:rPr>
          <w:rFonts w:ascii="Arial" w:cs="Arial" w:eastAsia="Arial" w:hAnsi="Arial"/>
          <w:sz w:val="11"/>
          <w:szCs w:val="11"/>
          <w:color w:val="auto"/>
        </w:rPr>
        <w:t>The NEOs receive a mix of fixed and variable compensation. The following discussion summarizes the various elements of the executive compensation program.</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Variable and Performance-Based Compensation Elements</w:t>
      </w:r>
    </w:p>
    <w:p>
      <w:pPr>
        <w:spacing w:after="0" w:line="86" w:lineRule="exact"/>
        <w:rPr>
          <w:sz w:val="20"/>
          <w:szCs w:val="20"/>
          <w:color w:val="auto"/>
        </w:rPr>
      </w:pPr>
    </w:p>
    <w:p>
      <w:pPr>
        <w:ind w:left="1980" w:right="919"/>
        <w:spacing w:after="0" w:line="241" w:lineRule="auto"/>
        <w:rPr>
          <w:sz w:val="20"/>
          <w:szCs w:val="20"/>
          <w:color w:val="auto"/>
        </w:rPr>
      </w:pPr>
      <w:r>
        <w:rPr>
          <w:rFonts w:ascii="Arial" w:cs="Arial" w:eastAsia="Arial" w:hAnsi="Arial"/>
          <w:sz w:val="11"/>
          <w:szCs w:val="11"/>
          <w:color w:val="auto"/>
        </w:rPr>
        <w:t>A significant portion of the total compensation opportunity for our NEOs is performance-based. When structuring incentive compensation, the Committee identifies the performance metrics it considers most important for driving Company value and return to shareholders. The Committee then ties incentive compensation to performance against those metrics. For 2022, the Committee determined that the following forms of compensation and performance metrics were appropriate for aligning executive compensation with Company performance and shareholder interests.</w:t>
      </w:r>
    </w:p>
    <w:p>
      <w:pPr>
        <w:spacing w:after="0" w:line="157" w:lineRule="exact"/>
        <w:rPr>
          <w:sz w:val="20"/>
          <w:szCs w:val="20"/>
          <w:color w:val="auto"/>
        </w:rPr>
      </w:pPr>
    </w:p>
    <w:tbl>
      <w:tblPr>
        <w:tblLayout w:type="fixed"/>
        <w:tblInd w:w="1980" w:type="dxa"/>
        <w:tblCellMar>
          <w:top w:w="0" w:type="dxa"/>
          <w:left w:w="0" w:type="dxa"/>
          <w:bottom w:w="0" w:type="dxa"/>
          <w:right w:w="0" w:type="dxa"/>
        </w:tblCellMar>
      </w:tblPr>
      <w:tr>
        <w:trPr>
          <w:trHeight w:val="144"/>
        </w:trPr>
        <w:tc>
          <w:tcPr>
            <w:tcW w:w="720" w:type="dxa"/>
            <w:vAlign w:val="bottom"/>
            <w:shd w:val="clear" w:color="auto" w:fill="CCEBF8"/>
          </w:tcPr>
          <w:p>
            <w:pPr>
              <w:spacing w:after="0"/>
              <w:rPr>
                <w:sz w:val="12"/>
                <w:szCs w:val="12"/>
                <w:color w:val="auto"/>
              </w:rPr>
            </w:pPr>
          </w:p>
        </w:tc>
        <w:tc>
          <w:tcPr>
            <w:tcW w:w="2220" w:type="dxa"/>
            <w:vAlign w:val="bottom"/>
            <w:shd w:val="clear" w:color="auto" w:fill="CCEBF8"/>
          </w:tcPr>
          <w:p>
            <w:pPr>
              <w:jc w:val="center"/>
              <w:ind w:right="628"/>
              <w:spacing w:after="0"/>
              <w:rPr>
                <w:sz w:val="20"/>
                <w:szCs w:val="20"/>
                <w:color w:val="auto"/>
              </w:rPr>
            </w:pPr>
            <w:r>
              <w:rPr>
                <w:rFonts w:ascii="Arial" w:cs="Arial" w:eastAsia="Arial" w:hAnsi="Arial"/>
                <w:sz w:val="10"/>
                <w:szCs w:val="10"/>
                <w:b w:val="1"/>
                <w:bCs w:val="1"/>
                <w:color w:val="009BDE"/>
                <w:w w:val="96"/>
              </w:rPr>
              <w:t>Component of Incentive</w:t>
            </w:r>
          </w:p>
        </w:tc>
        <w:tc>
          <w:tcPr>
            <w:tcW w:w="2020" w:type="dxa"/>
            <w:vAlign w:val="bottom"/>
            <w:shd w:val="clear" w:color="auto" w:fill="CCEBF8"/>
          </w:tcPr>
          <w:p>
            <w:pPr>
              <w:spacing w:after="0"/>
              <w:rPr>
                <w:sz w:val="12"/>
                <w:szCs w:val="12"/>
                <w:color w:val="auto"/>
              </w:rPr>
            </w:pPr>
          </w:p>
        </w:tc>
        <w:tc>
          <w:tcPr>
            <w:tcW w:w="2380" w:type="dxa"/>
            <w:vAlign w:val="bottom"/>
            <w:shd w:val="clear" w:color="auto" w:fill="CCEBF8"/>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20" w:type="dxa"/>
            <w:vAlign w:val="bottom"/>
            <w:tcBorders>
              <w:bottom w:val="single" w:sz="8" w:color="009BDE"/>
            </w:tcBorders>
            <w:shd w:val="clear" w:color="auto" w:fill="CCEBF8"/>
          </w:tcPr>
          <w:p>
            <w:pPr>
              <w:spacing w:after="0"/>
              <w:rPr>
                <w:sz w:val="10"/>
                <w:szCs w:val="10"/>
                <w:color w:val="auto"/>
              </w:rPr>
            </w:pPr>
          </w:p>
        </w:tc>
        <w:tc>
          <w:tcPr>
            <w:tcW w:w="2220" w:type="dxa"/>
            <w:vAlign w:val="bottom"/>
            <w:tcBorders>
              <w:bottom w:val="single" w:sz="8" w:color="009BDE"/>
            </w:tcBorders>
            <w:shd w:val="clear" w:color="auto" w:fill="CCEBF8"/>
          </w:tcPr>
          <w:p>
            <w:pPr>
              <w:jc w:val="center"/>
              <w:ind w:right="628"/>
              <w:spacing w:after="0"/>
              <w:rPr>
                <w:sz w:val="20"/>
                <w:szCs w:val="20"/>
                <w:color w:val="auto"/>
              </w:rPr>
            </w:pPr>
            <w:r>
              <w:rPr>
                <w:rFonts w:ascii="Arial" w:cs="Arial" w:eastAsia="Arial" w:hAnsi="Arial"/>
                <w:sz w:val="10"/>
                <w:szCs w:val="10"/>
                <w:b w:val="1"/>
                <w:bCs w:val="1"/>
                <w:color w:val="009BDE"/>
                <w:w w:val="94"/>
              </w:rPr>
              <w:t>Compensation</w:t>
            </w:r>
          </w:p>
        </w:tc>
        <w:tc>
          <w:tcPr>
            <w:tcW w:w="2020" w:type="dxa"/>
            <w:vAlign w:val="bottom"/>
            <w:tcBorders>
              <w:bottom w:val="single" w:sz="8" w:color="009BDE"/>
            </w:tcBorders>
            <w:shd w:val="clear" w:color="auto" w:fill="CCEBF8"/>
          </w:tcPr>
          <w:p>
            <w:pPr>
              <w:ind w:left="660"/>
              <w:spacing w:after="0"/>
              <w:rPr>
                <w:sz w:val="20"/>
                <w:szCs w:val="20"/>
                <w:color w:val="auto"/>
              </w:rPr>
            </w:pPr>
            <w:r>
              <w:rPr>
                <w:rFonts w:ascii="Arial" w:cs="Arial" w:eastAsia="Arial" w:hAnsi="Arial"/>
                <w:sz w:val="10"/>
                <w:szCs w:val="10"/>
                <w:b w:val="1"/>
                <w:bCs w:val="1"/>
                <w:color w:val="009BDE"/>
              </w:rPr>
              <w:t>Performance Metrics</w:t>
            </w:r>
          </w:p>
        </w:tc>
        <w:tc>
          <w:tcPr>
            <w:tcW w:w="2380" w:type="dxa"/>
            <w:vAlign w:val="bottom"/>
            <w:tcBorders>
              <w:bottom w:val="single" w:sz="8" w:color="009BDE"/>
            </w:tcBorders>
            <w:shd w:val="clear" w:color="auto" w:fill="CCEBF8"/>
          </w:tcPr>
          <w:p>
            <w:pPr>
              <w:ind w:left="1080"/>
              <w:spacing w:after="0"/>
              <w:rPr>
                <w:sz w:val="20"/>
                <w:szCs w:val="20"/>
                <w:color w:val="auto"/>
              </w:rPr>
            </w:pPr>
            <w:r>
              <w:rPr>
                <w:rFonts w:ascii="Arial" w:cs="Arial" w:eastAsia="Arial" w:hAnsi="Arial"/>
                <w:sz w:val="10"/>
                <w:szCs w:val="10"/>
                <w:b w:val="1"/>
                <w:bCs w:val="1"/>
                <w:color w:val="009BDE"/>
              </w:rPr>
              <w:t>Objectives</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1"/>
                <w:szCs w:val="11"/>
                <w:color w:val="auto"/>
              </w:rPr>
              <w:t>Total Net Revenue</w:t>
            </w:r>
          </w:p>
        </w:tc>
        <w:tc>
          <w:tcPr>
            <w:tcW w:w="2380" w:type="dxa"/>
            <w:vAlign w:val="bottom"/>
          </w:tcPr>
          <w:p>
            <w:pPr>
              <w:ind w:left="260"/>
              <w:spacing w:after="0"/>
              <w:rPr>
                <w:sz w:val="20"/>
                <w:szCs w:val="20"/>
                <w:color w:val="auto"/>
              </w:rPr>
            </w:pPr>
            <w:r>
              <w:rPr>
                <w:rFonts w:ascii="Arial" w:cs="Arial" w:eastAsia="Arial" w:hAnsi="Arial"/>
                <w:sz w:val="11"/>
                <w:szCs w:val="11"/>
                <w:color w:val="auto"/>
              </w:rPr>
              <w:t>Measures annual top line growth</w:t>
            </w:r>
          </w:p>
        </w:tc>
        <w:tc>
          <w:tcPr>
            <w:tcW w:w="0" w:type="dxa"/>
            <w:vAlign w:val="bottom"/>
          </w:tcPr>
          <w:p>
            <w:pPr>
              <w:spacing w:after="0"/>
              <w:rPr>
                <w:sz w:val="1"/>
                <w:szCs w:val="1"/>
                <w:color w:val="auto"/>
              </w:rPr>
            </w:pPr>
          </w:p>
        </w:tc>
      </w:tr>
      <w:tr>
        <w:trPr>
          <w:trHeight w:val="67"/>
        </w:trPr>
        <w:tc>
          <w:tcPr>
            <w:tcW w:w="7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2020" w:type="dxa"/>
            <w:vAlign w:val="bottom"/>
            <w:tcBorders>
              <w:bottom w:val="single" w:sz="8" w:color="009BDE"/>
            </w:tcBorders>
          </w:tcPr>
          <w:p>
            <w:pPr>
              <w:spacing w:after="0"/>
              <w:rPr>
                <w:sz w:val="5"/>
                <w:szCs w:val="5"/>
                <w:color w:val="auto"/>
              </w:rPr>
            </w:pPr>
          </w:p>
        </w:tc>
        <w:tc>
          <w:tcPr>
            <w:tcW w:w="23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720" w:type="dxa"/>
            <w:vAlign w:val="bottom"/>
            <w:vMerge w:val="restart"/>
          </w:tcPr>
          <w:p>
            <w:pPr>
              <w:ind w:left="40"/>
              <w:spacing w:after="0"/>
              <w:rPr>
                <w:sz w:val="20"/>
                <w:szCs w:val="20"/>
                <w:color w:val="auto"/>
              </w:rPr>
            </w:pPr>
            <w:r>
              <w:rPr>
                <w:rFonts w:ascii="Arial" w:cs="Arial" w:eastAsia="Arial" w:hAnsi="Arial"/>
                <w:sz w:val="11"/>
                <w:szCs w:val="11"/>
                <w:color w:val="auto"/>
              </w:rPr>
              <w:t>Annual</w:t>
            </w:r>
          </w:p>
        </w:tc>
        <w:tc>
          <w:tcPr>
            <w:tcW w:w="2220" w:type="dxa"/>
            <w:vAlign w:val="bottom"/>
          </w:tcPr>
          <w:p>
            <w:pPr>
              <w:spacing w:after="0"/>
              <w:rPr>
                <w:sz w:val="10"/>
                <w:szCs w:val="10"/>
                <w:color w:val="auto"/>
              </w:rPr>
            </w:pPr>
          </w:p>
        </w:tc>
        <w:tc>
          <w:tcPr>
            <w:tcW w:w="2020" w:type="dxa"/>
            <w:vAlign w:val="bottom"/>
          </w:tcPr>
          <w:p>
            <w:pPr>
              <w:ind w:left="80"/>
              <w:spacing w:after="0" w:line="116" w:lineRule="exact"/>
              <w:rPr>
                <w:sz w:val="20"/>
                <w:szCs w:val="20"/>
                <w:color w:val="auto"/>
              </w:rPr>
            </w:pPr>
            <w:r>
              <w:rPr>
                <w:rFonts w:ascii="Arial" w:cs="Arial" w:eastAsia="Arial" w:hAnsi="Arial"/>
                <w:sz w:val="11"/>
                <w:szCs w:val="11"/>
                <w:color w:val="auto"/>
              </w:rPr>
              <w:t>Operating Profit Margin</w:t>
            </w:r>
          </w:p>
        </w:tc>
        <w:tc>
          <w:tcPr>
            <w:tcW w:w="2380" w:type="dxa"/>
            <w:vAlign w:val="bottom"/>
          </w:tcPr>
          <w:p>
            <w:pPr>
              <w:ind w:left="260"/>
              <w:spacing w:after="0" w:line="116" w:lineRule="exact"/>
              <w:rPr>
                <w:sz w:val="20"/>
                <w:szCs w:val="20"/>
                <w:color w:val="auto"/>
              </w:rPr>
            </w:pPr>
            <w:r>
              <w:rPr>
                <w:rFonts w:ascii="Arial" w:cs="Arial" w:eastAsia="Arial" w:hAnsi="Arial"/>
                <w:sz w:val="11"/>
                <w:szCs w:val="11"/>
                <w:color w:val="auto"/>
              </w:rPr>
              <w:t>Measures ability to maximize profitability</w:t>
            </w:r>
          </w:p>
        </w:tc>
        <w:tc>
          <w:tcPr>
            <w:tcW w:w="0" w:type="dxa"/>
            <w:vAlign w:val="bottom"/>
          </w:tcPr>
          <w:p>
            <w:pPr>
              <w:spacing w:after="0"/>
              <w:rPr>
                <w:sz w:val="1"/>
                <w:szCs w:val="1"/>
                <w:color w:val="auto"/>
              </w:rPr>
            </w:pPr>
          </w:p>
        </w:tc>
      </w:tr>
      <w:tr>
        <w:trPr>
          <w:trHeight w:val="99"/>
        </w:trPr>
        <w:tc>
          <w:tcPr>
            <w:tcW w:w="720" w:type="dxa"/>
            <w:vAlign w:val="bottom"/>
            <w:vMerge w:val="continue"/>
          </w:tcPr>
          <w:p>
            <w:pPr>
              <w:spacing w:after="0"/>
              <w:rPr>
                <w:sz w:val="8"/>
                <w:szCs w:val="8"/>
                <w:color w:val="auto"/>
              </w:rPr>
            </w:pPr>
          </w:p>
        </w:tc>
        <w:tc>
          <w:tcPr>
            <w:tcW w:w="22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380" w:type="dxa"/>
            <w:vAlign w:val="bottom"/>
          </w:tcPr>
          <w:p>
            <w:pPr>
              <w:ind w:left="260"/>
              <w:spacing w:after="0" w:line="99" w:lineRule="exact"/>
              <w:rPr>
                <w:sz w:val="20"/>
                <w:szCs w:val="20"/>
                <w:color w:val="auto"/>
              </w:rPr>
            </w:pPr>
            <w:r>
              <w:rPr>
                <w:rFonts w:ascii="Arial" w:cs="Arial" w:eastAsia="Arial" w:hAnsi="Arial"/>
                <w:sz w:val="11"/>
                <w:szCs w:val="11"/>
                <w:color w:val="auto"/>
              </w:rPr>
              <w:t>and drive shareholder value</w:t>
            </w:r>
          </w:p>
        </w:tc>
        <w:tc>
          <w:tcPr>
            <w:tcW w:w="0" w:type="dxa"/>
            <w:vAlign w:val="bottom"/>
          </w:tcPr>
          <w:p>
            <w:pPr>
              <w:spacing w:after="0"/>
              <w:rPr>
                <w:sz w:val="1"/>
                <w:szCs w:val="1"/>
                <w:color w:val="auto"/>
              </w:rPr>
            </w:pPr>
          </w:p>
        </w:tc>
      </w:tr>
      <w:tr>
        <w:trPr>
          <w:trHeight w:val="98"/>
        </w:trPr>
        <w:tc>
          <w:tcPr>
            <w:tcW w:w="720" w:type="dxa"/>
            <w:vAlign w:val="bottom"/>
          </w:tcPr>
          <w:p>
            <w:pPr>
              <w:ind w:left="40"/>
              <w:spacing w:after="0" w:line="78" w:lineRule="exact"/>
              <w:rPr>
                <w:sz w:val="20"/>
                <w:szCs w:val="20"/>
                <w:color w:val="auto"/>
              </w:rPr>
            </w:pPr>
            <w:r>
              <w:rPr>
                <w:rFonts w:ascii="Arial" w:cs="Arial" w:eastAsia="Arial" w:hAnsi="Arial"/>
                <w:sz w:val="9"/>
                <w:szCs w:val="9"/>
                <w:color w:val="auto"/>
              </w:rPr>
              <w:t>Incentive/</w:t>
            </w:r>
          </w:p>
        </w:tc>
        <w:tc>
          <w:tcPr>
            <w:tcW w:w="2220" w:type="dxa"/>
            <w:vAlign w:val="bottom"/>
          </w:tcPr>
          <w:p>
            <w:pPr>
              <w:spacing w:after="0"/>
              <w:rPr>
                <w:sz w:val="8"/>
                <w:szCs w:val="8"/>
                <w:color w:val="auto"/>
              </w:rPr>
            </w:pPr>
          </w:p>
        </w:tc>
        <w:tc>
          <w:tcPr>
            <w:tcW w:w="2020" w:type="dxa"/>
            <w:vAlign w:val="bottom"/>
            <w:tcBorders>
              <w:bottom w:val="single" w:sz="8" w:color="009BDE"/>
            </w:tcBorders>
          </w:tcPr>
          <w:p>
            <w:pPr>
              <w:spacing w:after="0"/>
              <w:rPr>
                <w:sz w:val="8"/>
                <w:szCs w:val="8"/>
                <w:color w:val="auto"/>
              </w:rPr>
            </w:pPr>
          </w:p>
        </w:tc>
        <w:tc>
          <w:tcPr>
            <w:tcW w:w="23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720" w:type="dxa"/>
            <w:vAlign w:val="bottom"/>
          </w:tcPr>
          <w:p>
            <w:pPr>
              <w:ind w:left="40"/>
              <w:spacing w:after="0" w:line="116" w:lineRule="exact"/>
              <w:rPr>
                <w:sz w:val="20"/>
                <w:szCs w:val="20"/>
                <w:color w:val="auto"/>
              </w:rPr>
            </w:pPr>
            <w:r>
              <w:rPr>
                <w:rFonts w:ascii="Arial" w:cs="Arial" w:eastAsia="Arial" w:hAnsi="Arial"/>
                <w:sz w:val="11"/>
                <w:szCs w:val="11"/>
                <w:color w:val="auto"/>
              </w:rPr>
              <w:t>Annual Cash</w:t>
            </w:r>
          </w:p>
        </w:tc>
        <w:tc>
          <w:tcPr>
            <w:tcW w:w="2220" w:type="dxa"/>
            <w:vAlign w:val="bottom"/>
          </w:tcPr>
          <w:p>
            <w:pPr>
              <w:spacing w:after="0"/>
              <w:rPr>
                <w:sz w:val="10"/>
                <w:szCs w:val="10"/>
                <w:color w:val="auto"/>
              </w:rPr>
            </w:pPr>
          </w:p>
        </w:tc>
        <w:tc>
          <w:tcPr>
            <w:tcW w:w="2020" w:type="dxa"/>
            <w:vAlign w:val="bottom"/>
          </w:tcPr>
          <w:p>
            <w:pPr>
              <w:ind w:left="80"/>
              <w:spacing w:after="0" w:line="116" w:lineRule="exact"/>
              <w:rPr>
                <w:sz w:val="20"/>
                <w:szCs w:val="20"/>
                <w:color w:val="auto"/>
              </w:rPr>
            </w:pPr>
            <w:r>
              <w:rPr>
                <w:rFonts w:ascii="Arial" w:cs="Arial" w:eastAsia="Arial" w:hAnsi="Arial"/>
                <w:sz w:val="11"/>
                <w:szCs w:val="11"/>
                <w:color w:val="auto"/>
              </w:rPr>
              <w:t>Free Cash Flow</w:t>
            </w:r>
          </w:p>
        </w:tc>
        <w:tc>
          <w:tcPr>
            <w:tcW w:w="2380" w:type="dxa"/>
            <w:vAlign w:val="bottom"/>
          </w:tcPr>
          <w:p>
            <w:pPr>
              <w:ind w:left="260"/>
              <w:spacing w:after="0" w:line="116" w:lineRule="exact"/>
              <w:rPr>
                <w:sz w:val="20"/>
                <w:szCs w:val="20"/>
                <w:color w:val="auto"/>
              </w:rPr>
            </w:pPr>
            <w:r>
              <w:rPr>
                <w:rFonts w:ascii="Arial" w:cs="Arial" w:eastAsia="Arial" w:hAnsi="Arial"/>
                <w:sz w:val="11"/>
                <w:szCs w:val="11"/>
                <w:color w:val="auto"/>
                <w:w w:val="98"/>
              </w:rPr>
              <w:t>Measures ability to convert revenue to cash</w:t>
            </w:r>
          </w:p>
        </w:tc>
        <w:tc>
          <w:tcPr>
            <w:tcW w:w="0" w:type="dxa"/>
            <w:vAlign w:val="bottom"/>
          </w:tcPr>
          <w:p>
            <w:pPr>
              <w:spacing w:after="0"/>
              <w:rPr>
                <w:sz w:val="1"/>
                <w:szCs w:val="1"/>
                <w:color w:val="auto"/>
              </w:rPr>
            </w:pPr>
          </w:p>
        </w:tc>
      </w:tr>
      <w:tr>
        <w:trPr>
          <w:trHeight w:val="148"/>
        </w:trPr>
        <w:tc>
          <w:tcPr>
            <w:tcW w:w="720" w:type="dxa"/>
            <w:vAlign w:val="bottom"/>
          </w:tcPr>
          <w:p>
            <w:pPr>
              <w:ind w:left="40"/>
              <w:spacing w:after="0"/>
              <w:rPr>
                <w:sz w:val="20"/>
                <w:szCs w:val="20"/>
                <w:color w:val="auto"/>
              </w:rPr>
            </w:pPr>
            <w:r>
              <w:rPr>
                <w:rFonts w:ascii="Arial" w:cs="Arial" w:eastAsia="Arial" w:hAnsi="Arial"/>
                <w:sz w:val="11"/>
                <w:szCs w:val="11"/>
                <w:color w:val="auto"/>
              </w:rPr>
              <w:t>Bonus</w:t>
            </w:r>
          </w:p>
        </w:tc>
        <w:tc>
          <w:tcPr>
            <w:tcW w:w="2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380" w:type="dxa"/>
            <w:vAlign w:val="bottom"/>
          </w:tcPr>
          <w:p>
            <w:pPr>
              <w:ind w:left="260"/>
              <w:spacing w:after="0"/>
              <w:rPr>
                <w:sz w:val="20"/>
                <w:szCs w:val="20"/>
                <w:color w:val="auto"/>
              </w:rPr>
            </w:pPr>
            <w:r>
              <w:rPr>
                <w:rFonts w:ascii="Arial" w:cs="Arial" w:eastAsia="Arial" w:hAnsi="Arial"/>
                <w:sz w:val="11"/>
                <w:szCs w:val="11"/>
                <w:color w:val="auto"/>
              </w:rPr>
              <w:t>(Company performance measure)</w:t>
            </w:r>
          </w:p>
        </w:tc>
        <w:tc>
          <w:tcPr>
            <w:tcW w:w="0" w:type="dxa"/>
            <w:vAlign w:val="bottom"/>
          </w:tcPr>
          <w:p>
            <w:pPr>
              <w:spacing w:after="0"/>
              <w:rPr>
                <w:sz w:val="1"/>
                <w:szCs w:val="1"/>
                <w:color w:val="auto"/>
              </w:rPr>
            </w:pPr>
          </w:p>
        </w:tc>
      </w:tr>
      <w:tr>
        <w:trPr>
          <w:trHeight w:val="49"/>
        </w:trPr>
        <w:tc>
          <w:tcPr>
            <w:tcW w:w="7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20" w:type="dxa"/>
            <w:vAlign w:val="bottom"/>
            <w:tcBorders>
              <w:bottom w:val="single" w:sz="8" w:color="009BDE"/>
            </w:tcBorders>
          </w:tcPr>
          <w:p>
            <w:pPr>
              <w:spacing w:after="0"/>
              <w:rPr>
                <w:sz w:val="4"/>
                <w:szCs w:val="4"/>
                <w:color w:val="auto"/>
              </w:rPr>
            </w:pPr>
          </w:p>
        </w:tc>
        <w:tc>
          <w:tcPr>
            <w:tcW w:w="2380" w:type="dxa"/>
            <w:vAlign w:val="bottom"/>
            <w:tcBorders>
              <w:bottom w:val="single" w:sz="8" w:color="009BDE"/>
            </w:tcBorders>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020" w:type="dxa"/>
            <w:vAlign w:val="bottom"/>
          </w:tcPr>
          <w:p>
            <w:pPr>
              <w:ind w:left="80"/>
              <w:spacing w:after="0" w:line="116" w:lineRule="exact"/>
              <w:rPr>
                <w:sz w:val="20"/>
                <w:szCs w:val="20"/>
                <w:color w:val="auto"/>
              </w:rPr>
            </w:pPr>
            <w:r>
              <w:rPr>
                <w:rFonts w:ascii="Arial" w:cs="Arial" w:eastAsia="Arial" w:hAnsi="Arial"/>
                <w:sz w:val="11"/>
                <w:szCs w:val="11"/>
                <w:color w:val="auto"/>
              </w:rPr>
              <w:t>Individual Performance Adjustment</w:t>
            </w:r>
          </w:p>
        </w:tc>
        <w:tc>
          <w:tcPr>
            <w:tcW w:w="2380" w:type="dxa"/>
            <w:vAlign w:val="bottom"/>
          </w:tcPr>
          <w:p>
            <w:pPr>
              <w:ind w:left="260"/>
              <w:spacing w:after="0" w:line="116" w:lineRule="exact"/>
              <w:rPr>
                <w:sz w:val="20"/>
                <w:szCs w:val="20"/>
                <w:color w:val="auto"/>
              </w:rPr>
            </w:pPr>
            <w:r>
              <w:rPr>
                <w:rFonts w:ascii="Arial" w:cs="Arial" w:eastAsia="Arial" w:hAnsi="Arial"/>
                <w:sz w:val="11"/>
                <w:szCs w:val="11"/>
                <w:color w:val="auto"/>
              </w:rPr>
              <w:t>Measures performance against individual</w:t>
            </w:r>
          </w:p>
        </w:tc>
        <w:tc>
          <w:tcPr>
            <w:tcW w:w="0" w:type="dxa"/>
            <w:vAlign w:val="bottom"/>
          </w:tcPr>
          <w:p>
            <w:pPr>
              <w:spacing w:after="0"/>
              <w:rPr>
                <w:sz w:val="1"/>
                <w:szCs w:val="1"/>
                <w:color w:val="auto"/>
              </w:rPr>
            </w:pPr>
          </w:p>
        </w:tc>
      </w:tr>
      <w:tr>
        <w:trPr>
          <w:trHeight w:val="130"/>
        </w:trPr>
        <w:tc>
          <w:tcPr>
            <w:tcW w:w="7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380" w:type="dxa"/>
            <w:vAlign w:val="bottom"/>
          </w:tcPr>
          <w:p>
            <w:pPr>
              <w:ind w:left="260"/>
              <w:spacing w:after="0"/>
              <w:rPr>
                <w:sz w:val="20"/>
                <w:szCs w:val="20"/>
                <w:color w:val="auto"/>
              </w:rPr>
            </w:pPr>
            <w:r>
              <w:rPr>
                <w:rFonts w:ascii="Arial" w:cs="Arial" w:eastAsia="Arial" w:hAnsi="Arial"/>
                <w:sz w:val="11"/>
                <w:szCs w:val="11"/>
                <w:color w:val="auto"/>
              </w:rPr>
              <w:t>objectives, including ESG objectives</w:t>
            </w:r>
          </w:p>
        </w:tc>
        <w:tc>
          <w:tcPr>
            <w:tcW w:w="0" w:type="dxa"/>
            <w:vAlign w:val="bottom"/>
          </w:tcPr>
          <w:p>
            <w:pPr>
              <w:spacing w:after="0"/>
              <w:rPr>
                <w:sz w:val="1"/>
                <w:szCs w:val="1"/>
                <w:color w:val="auto"/>
              </w:rPr>
            </w:pPr>
          </w:p>
        </w:tc>
      </w:tr>
      <w:tr>
        <w:trPr>
          <w:trHeight w:val="67"/>
        </w:trPr>
        <w:tc>
          <w:tcPr>
            <w:tcW w:w="720" w:type="dxa"/>
            <w:vAlign w:val="bottom"/>
            <w:tcBorders>
              <w:bottom w:val="single" w:sz="8" w:color="009BDE"/>
            </w:tcBorders>
          </w:tcPr>
          <w:p>
            <w:pPr>
              <w:spacing w:after="0"/>
              <w:rPr>
                <w:sz w:val="5"/>
                <w:szCs w:val="5"/>
                <w:color w:val="auto"/>
              </w:rPr>
            </w:pPr>
          </w:p>
        </w:tc>
        <w:tc>
          <w:tcPr>
            <w:tcW w:w="2220" w:type="dxa"/>
            <w:vAlign w:val="bottom"/>
            <w:tcBorders>
              <w:bottom w:val="single" w:sz="8" w:color="009BDE"/>
            </w:tcBorders>
          </w:tcPr>
          <w:p>
            <w:pPr>
              <w:spacing w:after="0"/>
              <w:rPr>
                <w:sz w:val="5"/>
                <w:szCs w:val="5"/>
                <w:color w:val="auto"/>
              </w:rPr>
            </w:pPr>
          </w:p>
        </w:tc>
        <w:tc>
          <w:tcPr>
            <w:tcW w:w="2020" w:type="dxa"/>
            <w:vAlign w:val="bottom"/>
            <w:tcBorders>
              <w:bottom w:val="single" w:sz="8" w:color="009BDE"/>
            </w:tcBorders>
          </w:tcPr>
          <w:p>
            <w:pPr>
              <w:spacing w:after="0"/>
              <w:rPr>
                <w:sz w:val="5"/>
                <w:szCs w:val="5"/>
                <w:color w:val="auto"/>
              </w:rPr>
            </w:pPr>
          </w:p>
        </w:tc>
        <w:tc>
          <w:tcPr>
            <w:tcW w:w="23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7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1"/>
                <w:szCs w:val="11"/>
                <w:color w:val="auto"/>
              </w:rPr>
              <w:t>Cumulative Net Revenue</w:t>
            </w:r>
          </w:p>
        </w:tc>
        <w:tc>
          <w:tcPr>
            <w:tcW w:w="2380" w:type="dxa"/>
            <w:vAlign w:val="bottom"/>
          </w:tcPr>
          <w:p>
            <w:pPr>
              <w:ind w:left="260"/>
              <w:spacing w:after="0"/>
              <w:rPr>
                <w:sz w:val="20"/>
                <w:szCs w:val="20"/>
                <w:color w:val="auto"/>
              </w:rPr>
            </w:pPr>
            <w:r>
              <w:rPr>
                <w:rFonts w:ascii="Arial" w:cs="Arial" w:eastAsia="Arial" w:hAnsi="Arial"/>
                <w:sz w:val="11"/>
                <w:szCs w:val="11"/>
                <w:color w:val="auto"/>
              </w:rPr>
              <w:t>Measures ability to deliver top line growth</w:t>
            </w:r>
          </w:p>
        </w:tc>
        <w:tc>
          <w:tcPr>
            <w:tcW w:w="0" w:type="dxa"/>
            <w:vAlign w:val="bottom"/>
          </w:tcPr>
          <w:p>
            <w:pPr>
              <w:spacing w:after="0"/>
              <w:rPr>
                <w:sz w:val="1"/>
                <w:szCs w:val="1"/>
                <w:color w:val="auto"/>
              </w:rPr>
            </w:pPr>
          </w:p>
        </w:tc>
      </w:tr>
      <w:tr>
        <w:trPr>
          <w:trHeight w:val="130"/>
        </w:trPr>
        <w:tc>
          <w:tcPr>
            <w:tcW w:w="7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380" w:type="dxa"/>
            <w:vAlign w:val="bottom"/>
          </w:tcPr>
          <w:p>
            <w:pPr>
              <w:ind w:left="260"/>
              <w:spacing w:after="0"/>
              <w:rPr>
                <w:sz w:val="20"/>
                <w:szCs w:val="20"/>
                <w:color w:val="auto"/>
              </w:rPr>
            </w:pPr>
            <w:r>
              <w:rPr>
                <w:rFonts w:ascii="Arial" w:cs="Arial" w:eastAsia="Arial" w:hAnsi="Arial"/>
                <w:sz w:val="11"/>
                <w:szCs w:val="11"/>
                <w:color w:val="auto"/>
              </w:rPr>
              <w:t>over multi-year period</w:t>
            </w:r>
          </w:p>
        </w:tc>
        <w:tc>
          <w:tcPr>
            <w:tcW w:w="0" w:type="dxa"/>
            <w:vAlign w:val="bottom"/>
          </w:tcPr>
          <w:p>
            <w:pPr>
              <w:spacing w:after="0"/>
              <w:rPr>
                <w:sz w:val="1"/>
                <w:szCs w:val="1"/>
                <w:color w:val="auto"/>
              </w:rPr>
            </w:pPr>
          </w:p>
        </w:tc>
      </w:tr>
      <w:tr>
        <w:trPr>
          <w:trHeight w:val="67"/>
        </w:trPr>
        <w:tc>
          <w:tcPr>
            <w:tcW w:w="7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2020" w:type="dxa"/>
            <w:vAlign w:val="bottom"/>
            <w:tcBorders>
              <w:bottom w:val="single" w:sz="8" w:color="009BDE"/>
            </w:tcBorders>
          </w:tcPr>
          <w:p>
            <w:pPr>
              <w:spacing w:after="0"/>
              <w:rPr>
                <w:sz w:val="5"/>
                <w:szCs w:val="5"/>
                <w:color w:val="auto"/>
              </w:rPr>
            </w:pPr>
          </w:p>
        </w:tc>
        <w:tc>
          <w:tcPr>
            <w:tcW w:w="23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020" w:type="dxa"/>
            <w:vAlign w:val="bottom"/>
          </w:tcPr>
          <w:p>
            <w:pPr>
              <w:ind w:left="80"/>
              <w:spacing w:after="0" w:line="116" w:lineRule="exact"/>
              <w:rPr>
                <w:sz w:val="20"/>
                <w:szCs w:val="20"/>
                <w:color w:val="auto"/>
              </w:rPr>
            </w:pPr>
            <w:r>
              <w:rPr>
                <w:rFonts w:ascii="Arial" w:cs="Arial" w:eastAsia="Arial" w:hAnsi="Arial"/>
                <w:sz w:val="11"/>
                <w:szCs w:val="11"/>
                <w:color w:val="auto"/>
              </w:rPr>
              <w:t>Cumulative Diluted Earnings</w:t>
            </w:r>
          </w:p>
        </w:tc>
        <w:tc>
          <w:tcPr>
            <w:tcW w:w="2380" w:type="dxa"/>
            <w:vAlign w:val="bottom"/>
          </w:tcPr>
          <w:p>
            <w:pPr>
              <w:ind w:left="260"/>
              <w:spacing w:after="0" w:line="116" w:lineRule="exact"/>
              <w:rPr>
                <w:sz w:val="20"/>
                <w:szCs w:val="20"/>
                <w:color w:val="auto"/>
              </w:rPr>
            </w:pPr>
            <w:r>
              <w:rPr>
                <w:rFonts w:ascii="Arial" w:cs="Arial" w:eastAsia="Arial" w:hAnsi="Arial"/>
                <w:sz w:val="11"/>
                <w:szCs w:val="11"/>
                <w:color w:val="auto"/>
              </w:rPr>
              <w:t>Measures long-term profitability</w:t>
            </w:r>
          </w:p>
        </w:tc>
        <w:tc>
          <w:tcPr>
            <w:tcW w:w="0" w:type="dxa"/>
            <w:vAlign w:val="bottom"/>
          </w:tcPr>
          <w:p>
            <w:pPr>
              <w:spacing w:after="0"/>
              <w:rPr>
                <w:sz w:val="1"/>
                <w:szCs w:val="1"/>
                <w:color w:val="auto"/>
              </w:rPr>
            </w:pPr>
          </w:p>
        </w:tc>
      </w:tr>
      <w:tr>
        <w:trPr>
          <w:trHeight w:val="144"/>
        </w:trPr>
        <w:tc>
          <w:tcPr>
            <w:tcW w:w="720" w:type="dxa"/>
            <w:vAlign w:val="bottom"/>
          </w:tcPr>
          <w:p>
            <w:pPr>
              <w:ind w:left="40"/>
              <w:spacing w:after="0"/>
              <w:rPr>
                <w:sz w:val="20"/>
                <w:szCs w:val="20"/>
                <w:color w:val="auto"/>
              </w:rPr>
            </w:pPr>
            <w:r>
              <w:rPr>
                <w:rFonts w:ascii="Arial" w:cs="Arial" w:eastAsia="Arial" w:hAnsi="Arial"/>
                <w:sz w:val="11"/>
                <w:szCs w:val="11"/>
                <w:color w:val="auto"/>
              </w:rPr>
              <w:t>Long-Term</w:t>
            </w:r>
          </w:p>
        </w:tc>
        <w:tc>
          <w:tcPr>
            <w:tcW w:w="2220" w:type="dxa"/>
            <w:vAlign w:val="bottom"/>
          </w:tcPr>
          <w:p>
            <w:pPr>
              <w:ind w:left="100"/>
              <w:spacing w:after="0"/>
              <w:rPr>
                <w:sz w:val="20"/>
                <w:szCs w:val="20"/>
                <w:color w:val="auto"/>
              </w:rPr>
            </w:pPr>
            <w:r>
              <w:rPr>
                <w:rFonts w:ascii="Arial" w:cs="Arial" w:eastAsia="Arial" w:hAnsi="Arial"/>
                <w:sz w:val="11"/>
                <w:szCs w:val="11"/>
                <w:color w:val="auto"/>
              </w:rPr>
              <w:t>•  Performance Contingent Stock Awards</w:t>
            </w:r>
          </w:p>
        </w:tc>
        <w:tc>
          <w:tcPr>
            <w:tcW w:w="2020" w:type="dxa"/>
            <w:vAlign w:val="bottom"/>
          </w:tcPr>
          <w:p>
            <w:pPr>
              <w:ind w:left="80"/>
              <w:spacing w:after="0"/>
              <w:rPr>
                <w:sz w:val="20"/>
                <w:szCs w:val="20"/>
                <w:color w:val="auto"/>
              </w:rPr>
            </w:pPr>
            <w:r>
              <w:rPr>
                <w:rFonts w:ascii="Arial" w:cs="Arial" w:eastAsia="Arial" w:hAnsi="Arial"/>
                <w:sz w:val="11"/>
                <w:szCs w:val="11"/>
                <w:color w:val="auto"/>
              </w:rPr>
              <w:t>Per Share</w:t>
            </w: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720" w:type="dxa"/>
            <w:vAlign w:val="bottom"/>
            <w:vMerge w:val="restart"/>
          </w:tcPr>
          <w:p>
            <w:pPr>
              <w:ind w:left="40"/>
              <w:spacing w:after="0"/>
              <w:rPr>
                <w:sz w:val="20"/>
                <w:szCs w:val="20"/>
                <w:color w:val="auto"/>
              </w:rPr>
            </w:pPr>
            <w:r>
              <w:rPr>
                <w:rFonts w:ascii="Arial" w:cs="Arial" w:eastAsia="Arial" w:hAnsi="Arial"/>
                <w:sz w:val="11"/>
                <w:szCs w:val="11"/>
                <w:color w:val="auto"/>
              </w:rPr>
              <w:t>Incentive</w:t>
            </w:r>
          </w:p>
        </w:tc>
        <w:tc>
          <w:tcPr>
            <w:tcW w:w="2220" w:type="dxa"/>
            <w:vAlign w:val="bottom"/>
          </w:tcPr>
          <w:p>
            <w:pPr>
              <w:spacing w:after="0"/>
              <w:rPr>
                <w:sz w:val="5"/>
                <w:szCs w:val="5"/>
                <w:color w:val="auto"/>
              </w:rPr>
            </w:pPr>
          </w:p>
        </w:tc>
        <w:tc>
          <w:tcPr>
            <w:tcW w:w="2020" w:type="dxa"/>
            <w:vAlign w:val="bottom"/>
            <w:tcBorders>
              <w:bottom w:val="single" w:sz="8" w:color="009BDE"/>
            </w:tcBorders>
          </w:tcPr>
          <w:p>
            <w:pPr>
              <w:spacing w:after="0"/>
              <w:rPr>
                <w:sz w:val="5"/>
                <w:szCs w:val="5"/>
                <w:color w:val="auto"/>
              </w:rPr>
            </w:pPr>
          </w:p>
        </w:tc>
        <w:tc>
          <w:tcPr>
            <w:tcW w:w="23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720" w:type="dxa"/>
            <w:vAlign w:val="bottom"/>
            <w:vMerge w:val="continue"/>
          </w:tcPr>
          <w:p>
            <w:pPr>
              <w:spacing w:after="0"/>
              <w:rPr>
                <w:sz w:val="4"/>
                <w:szCs w:val="4"/>
                <w:color w:val="auto"/>
              </w:rPr>
            </w:pPr>
          </w:p>
        </w:tc>
        <w:tc>
          <w:tcPr>
            <w:tcW w:w="2220" w:type="dxa"/>
            <w:vAlign w:val="bottom"/>
          </w:tcPr>
          <w:p>
            <w:pPr>
              <w:spacing w:after="0"/>
              <w:rPr>
                <w:sz w:val="4"/>
                <w:szCs w:val="4"/>
                <w:color w:val="auto"/>
              </w:rPr>
            </w:pPr>
          </w:p>
        </w:tc>
        <w:tc>
          <w:tcPr>
            <w:tcW w:w="2020" w:type="dxa"/>
            <w:vAlign w:val="bottom"/>
            <w:vMerge w:val="restart"/>
          </w:tcPr>
          <w:p>
            <w:pPr>
              <w:ind w:left="80"/>
              <w:spacing w:after="0" w:line="120" w:lineRule="exact"/>
              <w:rPr>
                <w:sz w:val="20"/>
                <w:szCs w:val="20"/>
                <w:color w:val="auto"/>
              </w:rPr>
            </w:pPr>
            <w:r>
              <w:rPr>
                <w:rFonts w:ascii="Arial" w:cs="Arial" w:eastAsia="Arial" w:hAnsi="Arial"/>
                <w:sz w:val="11"/>
                <w:szCs w:val="11"/>
                <w:color w:val="auto"/>
              </w:rPr>
              <w:t>Average Return on Invested Capital</w:t>
            </w:r>
          </w:p>
        </w:tc>
        <w:tc>
          <w:tcPr>
            <w:tcW w:w="2380" w:type="dxa"/>
            <w:vAlign w:val="bottom"/>
            <w:vMerge w:val="restart"/>
          </w:tcPr>
          <w:p>
            <w:pPr>
              <w:ind w:left="260"/>
              <w:spacing w:after="0" w:line="120" w:lineRule="exact"/>
              <w:rPr>
                <w:sz w:val="20"/>
                <w:szCs w:val="20"/>
                <w:color w:val="auto"/>
              </w:rPr>
            </w:pPr>
            <w:r>
              <w:rPr>
                <w:rFonts w:ascii="Arial" w:cs="Arial" w:eastAsia="Arial" w:hAnsi="Arial"/>
                <w:sz w:val="11"/>
                <w:szCs w:val="11"/>
                <w:color w:val="auto"/>
              </w:rPr>
              <w:t>Measures capital efficiency</w:t>
            </w:r>
          </w:p>
        </w:tc>
        <w:tc>
          <w:tcPr>
            <w:tcW w:w="0" w:type="dxa"/>
            <w:vAlign w:val="bottom"/>
          </w:tcPr>
          <w:p>
            <w:pPr>
              <w:spacing w:after="0"/>
              <w:rPr>
                <w:sz w:val="1"/>
                <w:szCs w:val="1"/>
                <w:color w:val="auto"/>
              </w:rPr>
            </w:pPr>
          </w:p>
        </w:tc>
      </w:tr>
      <w:tr>
        <w:trPr>
          <w:trHeight w:val="72"/>
        </w:trPr>
        <w:tc>
          <w:tcPr>
            <w:tcW w:w="7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20" w:type="dxa"/>
            <w:vAlign w:val="bottom"/>
            <w:vMerge w:val="continue"/>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720" w:type="dxa"/>
            <w:vAlign w:val="bottom"/>
          </w:tcPr>
          <w:p>
            <w:pPr>
              <w:spacing w:after="0"/>
              <w:rPr>
                <w:sz w:val="5"/>
                <w:szCs w:val="5"/>
                <w:color w:val="auto"/>
              </w:rPr>
            </w:pPr>
          </w:p>
        </w:tc>
        <w:tc>
          <w:tcPr>
            <w:tcW w:w="2220" w:type="dxa"/>
            <w:vAlign w:val="bottom"/>
            <w:tcBorders>
              <w:bottom w:val="single" w:sz="8" w:color="009BDE"/>
            </w:tcBorders>
          </w:tcPr>
          <w:p>
            <w:pPr>
              <w:spacing w:after="0"/>
              <w:rPr>
                <w:sz w:val="5"/>
                <w:szCs w:val="5"/>
                <w:color w:val="auto"/>
              </w:rPr>
            </w:pPr>
          </w:p>
        </w:tc>
        <w:tc>
          <w:tcPr>
            <w:tcW w:w="2020" w:type="dxa"/>
            <w:vAlign w:val="bottom"/>
            <w:tcBorders>
              <w:bottom w:val="single" w:sz="8" w:color="009BDE"/>
            </w:tcBorders>
          </w:tcPr>
          <w:p>
            <w:pPr>
              <w:spacing w:after="0"/>
              <w:rPr>
                <w:sz w:val="5"/>
                <w:szCs w:val="5"/>
                <w:color w:val="auto"/>
              </w:rPr>
            </w:pPr>
          </w:p>
        </w:tc>
        <w:tc>
          <w:tcPr>
            <w:tcW w:w="23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720" w:type="dxa"/>
            <w:vAlign w:val="bottom"/>
          </w:tcPr>
          <w:p>
            <w:pPr>
              <w:spacing w:after="0"/>
              <w:rPr>
                <w:sz w:val="10"/>
                <w:szCs w:val="10"/>
                <w:color w:val="auto"/>
              </w:rPr>
            </w:pPr>
          </w:p>
        </w:tc>
        <w:tc>
          <w:tcPr>
            <w:tcW w:w="2220" w:type="dxa"/>
            <w:vAlign w:val="bottom"/>
          </w:tcPr>
          <w:p>
            <w:pPr>
              <w:ind w:left="100"/>
              <w:spacing w:after="0" w:line="120" w:lineRule="exact"/>
              <w:rPr>
                <w:sz w:val="20"/>
                <w:szCs w:val="20"/>
                <w:color w:val="auto"/>
              </w:rPr>
            </w:pPr>
            <w:r>
              <w:rPr>
                <w:rFonts w:ascii="Arial" w:cs="Arial" w:eastAsia="Arial" w:hAnsi="Arial"/>
                <w:sz w:val="11"/>
                <w:szCs w:val="11"/>
                <w:color w:val="auto"/>
              </w:rPr>
              <w:t>•  Restricted Stock Units</w:t>
            </w:r>
          </w:p>
        </w:tc>
        <w:tc>
          <w:tcPr>
            <w:tcW w:w="2020" w:type="dxa"/>
            <w:vAlign w:val="bottom"/>
          </w:tcPr>
          <w:p>
            <w:pPr>
              <w:ind w:left="80"/>
              <w:spacing w:after="0" w:line="120" w:lineRule="exact"/>
              <w:rPr>
                <w:sz w:val="20"/>
                <w:szCs w:val="20"/>
                <w:color w:val="auto"/>
              </w:rPr>
            </w:pPr>
            <w:r>
              <w:rPr>
                <w:rFonts w:ascii="Arial" w:cs="Arial" w:eastAsia="Arial" w:hAnsi="Arial"/>
                <w:sz w:val="11"/>
                <w:szCs w:val="11"/>
                <w:color w:val="auto"/>
              </w:rPr>
              <w:t>Stock Price</w:t>
            </w:r>
          </w:p>
        </w:tc>
        <w:tc>
          <w:tcPr>
            <w:tcW w:w="2380" w:type="dxa"/>
            <w:vAlign w:val="bottom"/>
          </w:tcPr>
          <w:p>
            <w:pPr>
              <w:ind w:left="260"/>
              <w:spacing w:after="0" w:line="120" w:lineRule="exact"/>
              <w:rPr>
                <w:sz w:val="20"/>
                <w:szCs w:val="20"/>
                <w:color w:val="auto"/>
              </w:rPr>
            </w:pPr>
            <w:r>
              <w:rPr>
                <w:rFonts w:ascii="Arial" w:cs="Arial" w:eastAsia="Arial" w:hAnsi="Arial"/>
                <w:sz w:val="11"/>
                <w:szCs w:val="11"/>
                <w:color w:val="auto"/>
              </w:rPr>
              <w:t>Provides alignment with shareholders</w:t>
            </w:r>
          </w:p>
        </w:tc>
        <w:tc>
          <w:tcPr>
            <w:tcW w:w="0" w:type="dxa"/>
            <w:vAlign w:val="bottom"/>
          </w:tcPr>
          <w:p>
            <w:pPr>
              <w:spacing w:after="0"/>
              <w:rPr>
                <w:sz w:val="1"/>
                <w:szCs w:val="1"/>
                <w:color w:val="auto"/>
              </w:rPr>
            </w:pPr>
          </w:p>
        </w:tc>
      </w:tr>
      <w:tr>
        <w:trPr>
          <w:trHeight w:val="67"/>
        </w:trPr>
        <w:tc>
          <w:tcPr>
            <w:tcW w:w="720" w:type="dxa"/>
            <w:vAlign w:val="bottom"/>
          </w:tcPr>
          <w:p>
            <w:pPr>
              <w:spacing w:after="0"/>
              <w:rPr>
                <w:sz w:val="5"/>
                <w:szCs w:val="5"/>
                <w:color w:val="auto"/>
              </w:rPr>
            </w:pPr>
          </w:p>
        </w:tc>
        <w:tc>
          <w:tcPr>
            <w:tcW w:w="2220" w:type="dxa"/>
            <w:vAlign w:val="bottom"/>
            <w:tcBorders>
              <w:bottom w:val="single" w:sz="8" w:color="009BDE"/>
            </w:tcBorders>
          </w:tcPr>
          <w:p>
            <w:pPr>
              <w:spacing w:after="0"/>
              <w:rPr>
                <w:sz w:val="5"/>
                <w:szCs w:val="5"/>
                <w:color w:val="auto"/>
              </w:rPr>
            </w:pPr>
          </w:p>
        </w:tc>
        <w:tc>
          <w:tcPr>
            <w:tcW w:w="2020" w:type="dxa"/>
            <w:vAlign w:val="bottom"/>
            <w:tcBorders>
              <w:bottom w:val="single" w:sz="8" w:color="009BDE"/>
            </w:tcBorders>
          </w:tcPr>
          <w:p>
            <w:pPr>
              <w:spacing w:after="0"/>
              <w:rPr>
                <w:sz w:val="5"/>
                <w:szCs w:val="5"/>
                <w:color w:val="auto"/>
              </w:rPr>
            </w:pPr>
          </w:p>
        </w:tc>
        <w:tc>
          <w:tcPr>
            <w:tcW w:w="23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720" w:type="dxa"/>
            <w:vAlign w:val="bottom"/>
          </w:tcPr>
          <w:p>
            <w:pPr>
              <w:spacing w:after="0"/>
              <w:rPr>
                <w:sz w:val="10"/>
                <w:szCs w:val="10"/>
                <w:color w:val="auto"/>
              </w:rPr>
            </w:pPr>
          </w:p>
        </w:tc>
        <w:tc>
          <w:tcPr>
            <w:tcW w:w="2220" w:type="dxa"/>
            <w:vAlign w:val="bottom"/>
          </w:tcPr>
          <w:p>
            <w:pPr>
              <w:ind w:left="100"/>
              <w:spacing w:after="0" w:line="120" w:lineRule="exact"/>
              <w:rPr>
                <w:sz w:val="20"/>
                <w:szCs w:val="20"/>
                <w:color w:val="auto"/>
              </w:rPr>
            </w:pPr>
            <w:r>
              <w:rPr>
                <w:rFonts w:ascii="Arial" w:cs="Arial" w:eastAsia="Arial" w:hAnsi="Arial"/>
                <w:sz w:val="11"/>
                <w:szCs w:val="11"/>
                <w:color w:val="auto"/>
              </w:rPr>
              <w:t>•  Stock Options</w:t>
            </w:r>
          </w:p>
        </w:tc>
        <w:tc>
          <w:tcPr>
            <w:tcW w:w="2020" w:type="dxa"/>
            <w:vAlign w:val="bottom"/>
          </w:tcPr>
          <w:p>
            <w:pPr>
              <w:ind w:left="80"/>
              <w:spacing w:after="0" w:line="120" w:lineRule="exact"/>
              <w:rPr>
                <w:sz w:val="20"/>
                <w:szCs w:val="20"/>
                <w:color w:val="auto"/>
              </w:rPr>
            </w:pPr>
            <w:r>
              <w:rPr>
                <w:rFonts w:ascii="Arial" w:cs="Arial" w:eastAsia="Arial" w:hAnsi="Arial"/>
                <w:sz w:val="11"/>
                <w:szCs w:val="11"/>
                <w:color w:val="auto"/>
              </w:rPr>
              <w:t>Stock Price Appreciation</w:t>
            </w:r>
          </w:p>
        </w:tc>
        <w:tc>
          <w:tcPr>
            <w:tcW w:w="2380" w:type="dxa"/>
            <w:vAlign w:val="bottom"/>
          </w:tcPr>
          <w:p>
            <w:pPr>
              <w:ind w:left="260"/>
              <w:spacing w:after="0" w:line="120" w:lineRule="exact"/>
              <w:rPr>
                <w:sz w:val="20"/>
                <w:szCs w:val="20"/>
                <w:color w:val="auto"/>
              </w:rPr>
            </w:pPr>
            <w:r>
              <w:rPr>
                <w:rFonts w:ascii="Arial" w:cs="Arial" w:eastAsia="Arial" w:hAnsi="Arial"/>
                <w:sz w:val="11"/>
                <w:szCs w:val="11"/>
                <w:color w:val="auto"/>
              </w:rPr>
              <w:t>Measures how our stock performs</w:t>
            </w:r>
          </w:p>
        </w:tc>
        <w:tc>
          <w:tcPr>
            <w:tcW w:w="0" w:type="dxa"/>
            <w:vAlign w:val="bottom"/>
          </w:tcPr>
          <w:p>
            <w:pPr>
              <w:spacing w:after="0"/>
              <w:rPr>
                <w:sz w:val="1"/>
                <w:szCs w:val="1"/>
                <w:color w:val="auto"/>
              </w:rPr>
            </w:pPr>
          </w:p>
        </w:tc>
      </w:tr>
      <w:tr>
        <w:trPr>
          <w:trHeight w:val="67"/>
        </w:trPr>
        <w:tc>
          <w:tcPr>
            <w:tcW w:w="720" w:type="dxa"/>
            <w:vAlign w:val="bottom"/>
            <w:tcBorders>
              <w:bottom w:val="single" w:sz="8" w:color="009BDE"/>
            </w:tcBorders>
          </w:tcPr>
          <w:p>
            <w:pPr>
              <w:spacing w:after="0"/>
              <w:rPr>
                <w:sz w:val="5"/>
                <w:szCs w:val="5"/>
                <w:color w:val="auto"/>
              </w:rPr>
            </w:pPr>
          </w:p>
        </w:tc>
        <w:tc>
          <w:tcPr>
            <w:tcW w:w="2220" w:type="dxa"/>
            <w:vAlign w:val="bottom"/>
            <w:tcBorders>
              <w:bottom w:val="single" w:sz="8" w:color="009BDE"/>
            </w:tcBorders>
          </w:tcPr>
          <w:p>
            <w:pPr>
              <w:spacing w:after="0"/>
              <w:rPr>
                <w:sz w:val="5"/>
                <w:szCs w:val="5"/>
                <w:color w:val="auto"/>
              </w:rPr>
            </w:pPr>
          </w:p>
        </w:tc>
        <w:tc>
          <w:tcPr>
            <w:tcW w:w="2020" w:type="dxa"/>
            <w:vAlign w:val="bottom"/>
            <w:tcBorders>
              <w:bottom w:val="single" w:sz="8" w:color="009BDE"/>
            </w:tcBorders>
          </w:tcPr>
          <w:p>
            <w:pPr>
              <w:spacing w:after="0"/>
              <w:rPr>
                <w:sz w:val="5"/>
                <w:szCs w:val="5"/>
                <w:color w:val="auto"/>
              </w:rPr>
            </w:pPr>
          </w:p>
        </w:tc>
        <w:tc>
          <w:tcPr>
            <w:tcW w:w="23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Annual Incentive Compensation</w:t>
      </w:r>
    </w:p>
    <w:p>
      <w:pPr>
        <w:spacing w:after="0" w:line="86" w:lineRule="exact"/>
        <w:rPr>
          <w:sz w:val="20"/>
          <w:szCs w:val="20"/>
          <w:color w:val="auto"/>
        </w:rPr>
      </w:pPr>
    </w:p>
    <w:p>
      <w:pPr>
        <w:ind w:left="1980" w:right="859"/>
        <w:spacing w:after="0" w:line="241" w:lineRule="auto"/>
        <w:rPr>
          <w:sz w:val="20"/>
          <w:szCs w:val="20"/>
          <w:color w:val="auto"/>
        </w:rPr>
      </w:pPr>
      <w:r>
        <w:rPr>
          <w:rFonts w:ascii="Arial" w:cs="Arial" w:eastAsia="Arial" w:hAnsi="Arial"/>
          <w:sz w:val="11"/>
          <w:szCs w:val="11"/>
          <w:color w:val="auto"/>
        </w:rPr>
        <w:t>The annual incentive plan is designed to incentivize our NEOs to achieve critical financial and non-financial goals that drive our financial and operational results and help to enhance shareholder value. The Committee is responsible for approving performance goals and related payout levels, setting each NEO’s target award opportunity and approving payouts under the annual incentive plan, each as more fully described below. The Committee reserves the right to reduce otherwise earned incentive payouts as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3971925" cy="21717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0"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40</w:t>
      </w:r>
    </w:p>
    <w:p>
      <w:pPr>
        <w:sectPr>
          <w:pgSz w:w="11900" w:h="16838" w:orient="portrait"/>
          <w:cols w:equalWidth="0" w:num="1">
            <w:col w:w="10159"/>
          </w:cols>
          <w:pgMar w:left="300" w:top="372" w:right="1440" w:bottom="1440" w:gutter="0" w:footer="0" w:header="0"/>
        </w:sectPr>
      </w:pPr>
    </w:p>
    <w:bookmarkStart w:id="62" w:name="page63"/>
    <w:bookmarkEnd w:id="6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009BDE"/>
        </w:rPr>
        <w:t>Target Annual Incentive Opportunity</w:t>
      </w:r>
    </w:p>
    <w:p>
      <w:pPr>
        <w:spacing w:after="0" w:line="84" w:lineRule="exact"/>
        <w:rPr>
          <w:sz w:val="20"/>
          <w:szCs w:val="20"/>
          <w:color w:val="auto"/>
        </w:rPr>
      </w:pPr>
    </w:p>
    <w:p>
      <w:pPr>
        <w:jc w:val="both"/>
        <w:ind w:left="1980" w:right="899"/>
        <w:spacing w:after="0" w:line="242" w:lineRule="auto"/>
        <w:rPr>
          <w:sz w:val="20"/>
          <w:szCs w:val="20"/>
          <w:color w:val="auto"/>
        </w:rPr>
      </w:pPr>
      <w:r>
        <w:rPr>
          <w:rFonts w:ascii="Arial" w:cs="Arial" w:eastAsia="Arial" w:hAnsi="Arial"/>
          <w:sz w:val="11"/>
          <w:szCs w:val="11"/>
          <w:color w:val="auto"/>
        </w:rPr>
        <w:t>The Compensation Committee assigned each NEO, other than Mr. Stoddart, a target annual incentive award opportunity (expressed as a percentage of base salary) based on competitive market data and the executive’s position, responsibilities and role. Mr.Stoddart was not eligible for an annual incentive award.</w:t>
      </w:r>
    </w:p>
    <w:p>
      <w:pPr>
        <w:spacing w:after="0" w:line="156" w:lineRule="exact"/>
        <w:rPr>
          <w:sz w:val="20"/>
          <w:szCs w:val="20"/>
          <w:color w:val="auto"/>
        </w:rPr>
      </w:pPr>
    </w:p>
    <w:tbl>
      <w:tblPr>
        <w:tblLayout w:type="fixed"/>
        <w:tblInd w:w="2700" w:type="dxa"/>
        <w:tblCellMar>
          <w:top w:w="0" w:type="dxa"/>
          <w:left w:w="0" w:type="dxa"/>
          <w:bottom w:w="0" w:type="dxa"/>
          <w:right w:w="0" w:type="dxa"/>
        </w:tblCellMar>
      </w:tblPr>
      <w:tr>
        <w:trPr>
          <w:trHeight w:val="160"/>
        </w:trPr>
        <w:tc>
          <w:tcPr>
            <w:tcW w:w="1600" w:type="dxa"/>
            <w:vAlign w:val="bottom"/>
            <w:shd w:val="clear" w:color="auto" w:fill="CCEBF8"/>
          </w:tcPr>
          <w:p>
            <w:pPr>
              <w:spacing w:after="0"/>
              <w:rPr>
                <w:sz w:val="13"/>
                <w:szCs w:val="13"/>
                <w:color w:val="auto"/>
              </w:rPr>
            </w:pPr>
          </w:p>
        </w:tc>
        <w:tc>
          <w:tcPr>
            <w:tcW w:w="2460" w:type="dxa"/>
            <w:vAlign w:val="bottom"/>
            <w:shd w:val="clear" w:color="auto" w:fill="CCEBF8"/>
          </w:tcPr>
          <w:p>
            <w:pPr>
              <w:jc w:val="center"/>
              <w:ind w:left="286"/>
              <w:spacing w:after="0"/>
              <w:rPr>
                <w:sz w:val="20"/>
                <w:szCs w:val="20"/>
                <w:color w:val="auto"/>
              </w:rPr>
            </w:pPr>
            <w:r>
              <w:rPr>
                <w:rFonts w:ascii="Arial" w:cs="Arial" w:eastAsia="Arial" w:hAnsi="Arial"/>
                <w:sz w:val="11"/>
                <w:szCs w:val="11"/>
                <w:b w:val="1"/>
                <w:bCs w:val="1"/>
                <w:color w:val="009BDE"/>
                <w:w w:val="97"/>
              </w:rPr>
              <w:t>2022 Target Annual Incentive</w:t>
            </w:r>
          </w:p>
        </w:tc>
        <w:tc>
          <w:tcPr>
            <w:tcW w:w="1820" w:type="dxa"/>
            <w:vAlign w:val="bottom"/>
            <w:shd w:val="clear" w:color="auto" w:fill="CCEBF8"/>
          </w:tcPr>
          <w:p>
            <w:pPr>
              <w:spacing w:after="0"/>
              <w:rPr>
                <w:sz w:val="13"/>
                <w:szCs w:val="13"/>
                <w:color w:val="auto"/>
              </w:rPr>
            </w:pPr>
          </w:p>
        </w:tc>
      </w:tr>
      <w:tr>
        <w:trPr>
          <w:trHeight w:val="126"/>
        </w:trPr>
        <w:tc>
          <w:tcPr>
            <w:tcW w:w="1600" w:type="dxa"/>
            <w:vAlign w:val="bottom"/>
            <w:shd w:val="clear" w:color="auto" w:fill="CCEBF8"/>
          </w:tcPr>
          <w:p>
            <w:pPr>
              <w:spacing w:after="0"/>
              <w:rPr>
                <w:sz w:val="10"/>
                <w:szCs w:val="10"/>
                <w:color w:val="auto"/>
              </w:rPr>
            </w:pPr>
          </w:p>
        </w:tc>
        <w:tc>
          <w:tcPr>
            <w:tcW w:w="2460" w:type="dxa"/>
            <w:vAlign w:val="bottom"/>
            <w:shd w:val="clear" w:color="auto" w:fill="CCEBF8"/>
          </w:tcPr>
          <w:p>
            <w:pPr>
              <w:jc w:val="center"/>
              <w:ind w:left="286"/>
              <w:spacing w:after="0"/>
              <w:rPr>
                <w:sz w:val="20"/>
                <w:szCs w:val="20"/>
                <w:color w:val="auto"/>
              </w:rPr>
            </w:pPr>
            <w:r>
              <w:rPr>
                <w:rFonts w:ascii="Arial" w:cs="Arial" w:eastAsia="Arial" w:hAnsi="Arial"/>
                <w:sz w:val="11"/>
                <w:szCs w:val="11"/>
                <w:b w:val="1"/>
                <w:bCs w:val="1"/>
                <w:color w:val="009BDE"/>
                <w:w w:val="98"/>
              </w:rPr>
              <w:t>Award Opportunity (% of</w:t>
            </w:r>
          </w:p>
        </w:tc>
        <w:tc>
          <w:tcPr>
            <w:tcW w:w="1820" w:type="dxa"/>
            <w:vAlign w:val="bottom"/>
            <w:shd w:val="clear" w:color="auto" w:fill="CCEBF8"/>
          </w:tcPr>
          <w:p>
            <w:pPr>
              <w:jc w:val="center"/>
              <w:ind w:left="266"/>
              <w:spacing w:after="0"/>
              <w:rPr>
                <w:sz w:val="20"/>
                <w:szCs w:val="20"/>
                <w:color w:val="auto"/>
              </w:rPr>
            </w:pPr>
            <w:r>
              <w:rPr>
                <w:rFonts w:ascii="Arial" w:cs="Arial" w:eastAsia="Arial" w:hAnsi="Arial"/>
                <w:sz w:val="11"/>
                <w:szCs w:val="11"/>
                <w:b w:val="1"/>
                <w:bCs w:val="1"/>
                <w:color w:val="009BDE"/>
                <w:w w:val="98"/>
              </w:rPr>
              <w:t>2022 Target Annual Incentive</w:t>
            </w:r>
          </w:p>
        </w:tc>
      </w:tr>
      <w:tr>
        <w:trPr>
          <w:trHeight w:val="142"/>
        </w:trPr>
        <w:tc>
          <w:tcPr>
            <w:tcW w:w="1600" w:type="dxa"/>
            <w:vAlign w:val="bottom"/>
            <w:shd w:val="clear" w:color="auto" w:fill="CCEBF8"/>
          </w:tcPr>
          <w:p>
            <w:pPr>
              <w:ind w:left="160"/>
              <w:spacing w:after="0"/>
              <w:rPr>
                <w:sz w:val="20"/>
                <w:szCs w:val="20"/>
                <w:color w:val="auto"/>
              </w:rPr>
            </w:pPr>
            <w:r>
              <w:rPr>
                <w:rFonts w:ascii="Arial" w:cs="Arial" w:eastAsia="Arial" w:hAnsi="Arial"/>
                <w:sz w:val="11"/>
                <w:szCs w:val="11"/>
                <w:b w:val="1"/>
                <w:bCs w:val="1"/>
                <w:color w:val="009BDE"/>
              </w:rPr>
              <w:t>Named Executive Officer</w:t>
            </w:r>
          </w:p>
        </w:tc>
        <w:tc>
          <w:tcPr>
            <w:tcW w:w="2460" w:type="dxa"/>
            <w:vAlign w:val="bottom"/>
            <w:shd w:val="clear" w:color="auto" w:fill="CCEBF8"/>
          </w:tcPr>
          <w:p>
            <w:pPr>
              <w:jc w:val="center"/>
              <w:ind w:left="286"/>
              <w:spacing w:after="0"/>
              <w:rPr>
                <w:sz w:val="20"/>
                <w:szCs w:val="20"/>
                <w:color w:val="auto"/>
              </w:rPr>
            </w:pPr>
            <w:r>
              <w:rPr>
                <w:rFonts w:ascii="Arial" w:cs="Arial" w:eastAsia="Arial" w:hAnsi="Arial"/>
                <w:sz w:val="11"/>
                <w:szCs w:val="11"/>
                <w:b w:val="1"/>
                <w:bCs w:val="1"/>
                <w:color w:val="009BDE"/>
                <w:w w:val="96"/>
              </w:rPr>
              <w:t>Base Salary)</w:t>
            </w:r>
          </w:p>
        </w:tc>
        <w:tc>
          <w:tcPr>
            <w:tcW w:w="1820" w:type="dxa"/>
            <w:vAlign w:val="bottom"/>
            <w:shd w:val="clear" w:color="auto" w:fill="CCEBF8"/>
          </w:tcPr>
          <w:p>
            <w:pPr>
              <w:jc w:val="center"/>
              <w:ind w:left="286"/>
              <w:spacing w:after="0"/>
              <w:rPr>
                <w:sz w:val="20"/>
                <w:szCs w:val="20"/>
                <w:color w:val="auto"/>
              </w:rPr>
            </w:pPr>
            <w:r>
              <w:rPr>
                <w:rFonts w:ascii="Arial" w:cs="Arial" w:eastAsia="Arial" w:hAnsi="Arial"/>
                <w:sz w:val="11"/>
                <w:szCs w:val="11"/>
                <w:b w:val="1"/>
                <w:bCs w:val="1"/>
                <w:color w:val="009BDE"/>
                <w:w w:val="97"/>
              </w:rPr>
              <w:t>Award Opportunity($)(1)</w:t>
            </w:r>
          </w:p>
        </w:tc>
      </w:tr>
      <w:tr>
        <w:trPr>
          <w:trHeight w:val="85"/>
        </w:trPr>
        <w:tc>
          <w:tcPr>
            <w:tcW w:w="1600" w:type="dxa"/>
            <w:vAlign w:val="bottom"/>
            <w:tcBorders>
              <w:bottom w:val="single" w:sz="8" w:color="009BDE"/>
            </w:tcBorders>
            <w:shd w:val="clear" w:color="auto" w:fill="CCEBF8"/>
          </w:tcPr>
          <w:p>
            <w:pPr>
              <w:spacing w:after="0"/>
              <w:rPr>
                <w:sz w:val="7"/>
                <w:szCs w:val="7"/>
                <w:color w:val="auto"/>
              </w:rPr>
            </w:pPr>
          </w:p>
        </w:tc>
        <w:tc>
          <w:tcPr>
            <w:tcW w:w="2460" w:type="dxa"/>
            <w:vAlign w:val="bottom"/>
            <w:tcBorders>
              <w:bottom w:val="single" w:sz="8" w:color="009BDE"/>
            </w:tcBorders>
            <w:shd w:val="clear" w:color="auto" w:fill="CCEBF8"/>
          </w:tcPr>
          <w:p>
            <w:pPr>
              <w:spacing w:after="0"/>
              <w:rPr>
                <w:sz w:val="7"/>
                <w:szCs w:val="7"/>
                <w:color w:val="auto"/>
              </w:rPr>
            </w:pPr>
          </w:p>
        </w:tc>
        <w:tc>
          <w:tcPr>
            <w:tcW w:w="1820" w:type="dxa"/>
            <w:vAlign w:val="bottom"/>
            <w:tcBorders>
              <w:bottom w:val="single" w:sz="8" w:color="009BDE"/>
            </w:tcBorders>
            <w:shd w:val="clear" w:color="auto" w:fill="CCEBF8"/>
          </w:tcPr>
          <w:p>
            <w:pPr>
              <w:spacing w:after="0"/>
              <w:rPr>
                <w:sz w:val="7"/>
                <w:szCs w:val="7"/>
                <w:color w:val="auto"/>
              </w:rPr>
            </w:pPr>
          </w:p>
        </w:tc>
      </w:tr>
      <w:tr>
        <w:trPr>
          <w:trHeight w:val="183"/>
        </w:trPr>
        <w:tc>
          <w:tcPr>
            <w:tcW w:w="1600" w:type="dxa"/>
            <w:vAlign w:val="bottom"/>
          </w:tcPr>
          <w:p>
            <w:pPr>
              <w:jc w:val="center"/>
              <w:ind w:left="6"/>
              <w:spacing w:after="0"/>
              <w:rPr>
                <w:sz w:val="20"/>
                <w:szCs w:val="20"/>
                <w:color w:val="auto"/>
              </w:rPr>
            </w:pPr>
            <w:r>
              <w:rPr>
                <w:rFonts w:ascii="Arial" w:cs="Arial" w:eastAsia="Arial" w:hAnsi="Arial"/>
                <w:sz w:val="11"/>
                <w:szCs w:val="11"/>
                <w:color w:val="auto"/>
                <w:w w:val="97"/>
              </w:rPr>
              <w:t>Chris Cocks</w:t>
            </w:r>
          </w:p>
        </w:tc>
        <w:tc>
          <w:tcPr>
            <w:tcW w:w="2460" w:type="dxa"/>
            <w:vAlign w:val="bottom"/>
          </w:tcPr>
          <w:p>
            <w:pPr>
              <w:jc w:val="center"/>
              <w:ind w:left="286"/>
              <w:spacing w:after="0"/>
              <w:rPr>
                <w:sz w:val="20"/>
                <w:szCs w:val="20"/>
                <w:color w:val="auto"/>
              </w:rPr>
            </w:pPr>
            <w:r>
              <w:rPr>
                <w:rFonts w:ascii="Arial" w:cs="Arial" w:eastAsia="Arial" w:hAnsi="Arial"/>
                <w:sz w:val="11"/>
                <w:szCs w:val="11"/>
                <w:color w:val="auto"/>
                <w:w w:val="99"/>
              </w:rPr>
              <w:t>150%</w:t>
            </w:r>
          </w:p>
        </w:tc>
        <w:tc>
          <w:tcPr>
            <w:tcW w:w="1820" w:type="dxa"/>
            <w:vAlign w:val="bottom"/>
          </w:tcPr>
          <w:p>
            <w:pPr>
              <w:jc w:val="center"/>
              <w:ind w:left="266"/>
              <w:spacing w:after="0"/>
              <w:rPr>
                <w:sz w:val="20"/>
                <w:szCs w:val="20"/>
                <w:color w:val="auto"/>
              </w:rPr>
            </w:pPr>
            <w:r>
              <w:rPr>
                <w:rFonts w:ascii="Arial" w:cs="Arial" w:eastAsia="Arial" w:hAnsi="Arial"/>
                <w:sz w:val="11"/>
                <w:szCs w:val="11"/>
                <w:color w:val="auto"/>
                <w:w w:val="98"/>
              </w:rPr>
              <w:t>$2,059,616</w:t>
            </w:r>
          </w:p>
        </w:tc>
      </w:tr>
      <w:tr>
        <w:trPr>
          <w:trHeight w:val="67"/>
        </w:trPr>
        <w:tc>
          <w:tcPr>
            <w:tcW w:w="1600" w:type="dxa"/>
            <w:vAlign w:val="bottom"/>
            <w:tcBorders>
              <w:bottom w:val="single" w:sz="8" w:color="009BDE"/>
            </w:tcBorders>
          </w:tcPr>
          <w:p>
            <w:pPr>
              <w:spacing w:after="0"/>
              <w:rPr>
                <w:sz w:val="5"/>
                <w:szCs w:val="5"/>
                <w:color w:val="auto"/>
              </w:rPr>
            </w:pPr>
          </w:p>
        </w:tc>
        <w:tc>
          <w:tcPr>
            <w:tcW w:w="2460" w:type="dxa"/>
            <w:vAlign w:val="bottom"/>
            <w:tcBorders>
              <w:bottom w:val="single" w:sz="8" w:color="009BDE"/>
            </w:tcBorders>
          </w:tcPr>
          <w:p>
            <w:pPr>
              <w:spacing w:after="0"/>
              <w:rPr>
                <w:sz w:val="5"/>
                <w:szCs w:val="5"/>
                <w:color w:val="auto"/>
              </w:rPr>
            </w:pPr>
          </w:p>
        </w:tc>
        <w:tc>
          <w:tcPr>
            <w:tcW w:w="1820" w:type="dxa"/>
            <w:vAlign w:val="bottom"/>
            <w:tcBorders>
              <w:bottom w:val="single" w:sz="8" w:color="009BDE"/>
            </w:tcBorders>
          </w:tcPr>
          <w:p>
            <w:pPr>
              <w:spacing w:after="0"/>
              <w:rPr>
                <w:sz w:val="5"/>
                <w:szCs w:val="5"/>
                <w:color w:val="auto"/>
              </w:rPr>
            </w:pPr>
          </w:p>
        </w:tc>
      </w:tr>
      <w:tr>
        <w:trPr>
          <w:trHeight w:val="183"/>
        </w:trPr>
        <w:tc>
          <w:tcPr>
            <w:tcW w:w="1600" w:type="dxa"/>
            <w:vAlign w:val="bottom"/>
          </w:tcPr>
          <w:p>
            <w:pPr>
              <w:jc w:val="center"/>
              <w:spacing w:after="0"/>
              <w:rPr>
                <w:sz w:val="20"/>
                <w:szCs w:val="20"/>
                <w:color w:val="auto"/>
              </w:rPr>
            </w:pPr>
            <w:r>
              <w:rPr>
                <w:rFonts w:ascii="Arial" w:cs="Arial" w:eastAsia="Arial" w:hAnsi="Arial"/>
                <w:sz w:val="11"/>
                <w:szCs w:val="11"/>
                <w:color w:val="auto"/>
                <w:w w:val="98"/>
              </w:rPr>
              <w:t>Deborah Thomas</w:t>
            </w:r>
          </w:p>
        </w:tc>
        <w:tc>
          <w:tcPr>
            <w:tcW w:w="2460" w:type="dxa"/>
            <w:vAlign w:val="bottom"/>
          </w:tcPr>
          <w:p>
            <w:pPr>
              <w:jc w:val="center"/>
              <w:ind w:left="286"/>
              <w:spacing w:after="0"/>
              <w:rPr>
                <w:sz w:val="20"/>
                <w:szCs w:val="20"/>
                <w:color w:val="auto"/>
              </w:rPr>
            </w:pPr>
            <w:r>
              <w:rPr>
                <w:rFonts w:ascii="Arial" w:cs="Arial" w:eastAsia="Arial" w:hAnsi="Arial"/>
                <w:sz w:val="11"/>
                <w:szCs w:val="11"/>
                <w:color w:val="auto"/>
                <w:w w:val="99"/>
              </w:rPr>
              <w:t>100%</w:t>
            </w:r>
          </w:p>
        </w:tc>
        <w:tc>
          <w:tcPr>
            <w:tcW w:w="1820" w:type="dxa"/>
            <w:vAlign w:val="bottom"/>
          </w:tcPr>
          <w:p>
            <w:pPr>
              <w:jc w:val="center"/>
              <w:ind w:left="266"/>
              <w:spacing w:after="0"/>
              <w:rPr>
                <w:sz w:val="20"/>
                <w:szCs w:val="20"/>
                <w:color w:val="auto"/>
              </w:rPr>
            </w:pPr>
            <w:r>
              <w:rPr>
                <w:rFonts w:ascii="Arial" w:cs="Arial" w:eastAsia="Arial" w:hAnsi="Arial"/>
                <w:sz w:val="11"/>
                <w:szCs w:val="11"/>
                <w:color w:val="auto"/>
                <w:w w:val="98"/>
              </w:rPr>
              <w:t>$1,198,462</w:t>
            </w:r>
          </w:p>
        </w:tc>
      </w:tr>
      <w:tr>
        <w:trPr>
          <w:trHeight w:val="67"/>
        </w:trPr>
        <w:tc>
          <w:tcPr>
            <w:tcW w:w="1600" w:type="dxa"/>
            <w:vAlign w:val="bottom"/>
            <w:tcBorders>
              <w:bottom w:val="single" w:sz="8" w:color="009BDE"/>
            </w:tcBorders>
          </w:tcPr>
          <w:p>
            <w:pPr>
              <w:spacing w:after="0"/>
              <w:rPr>
                <w:sz w:val="5"/>
                <w:szCs w:val="5"/>
                <w:color w:val="auto"/>
              </w:rPr>
            </w:pPr>
          </w:p>
        </w:tc>
        <w:tc>
          <w:tcPr>
            <w:tcW w:w="2460" w:type="dxa"/>
            <w:vAlign w:val="bottom"/>
            <w:tcBorders>
              <w:bottom w:val="single" w:sz="8" w:color="009BDE"/>
            </w:tcBorders>
          </w:tcPr>
          <w:p>
            <w:pPr>
              <w:spacing w:after="0"/>
              <w:rPr>
                <w:sz w:val="5"/>
                <w:szCs w:val="5"/>
                <w:color w:val="auto"/>
              </w:rPr>
            </w:pPr>
          </w:p>
        </w:tc>
        <w:tc>
          <w:tcPr>
            <w:tcW w:w="1820" w:type="dxa"/>
            <w:vAlign w:val="bottom"/>
            <w:tcBorders>
              <w:bottom w:val="single" w:sz="8" w:color="009BDE"/>
            </w:tcBorders>
          </w:tcPr>
          <w:p>
            <w:pPr>
              <w:spacing w:after="0"/>
              <w:rPr>
                <w:sz w:val="5"/>
                <w:szCs w:val="5"/>
                <w:color w:val="auto"/>
              </w:rPr>
            </w:pPr>
          </w:p>
        </w:tc>
      </w:tr>
      <w:tr>
        <w:trPr>
          <w:trHeight w:val="183"/>
        </w:trPr>
        <w:tc>
          <w:tcPr>
            <w:tcW w:w="1600" w:type="dxa"/>
            <w:vAlign w:val="bottom"/>
          </w:tcPr>
          <w:p>
            <w:pPr>
              <w:jc w:val="center"/>
              <w:spacing w:after="0"/>
              <w:rPr>
                <w:sz w:val="20"/>
                <w:szCs w:val="20"/>
                <w:color w:val="auto"/>
              </w:rPr>
            </w:pPr>
            <w:r>
              <w:rPr>
                <w:rFonts w:ascii="Arial" w:cs="Arial" w:eastAsia="Arial" w:hAnsi="Arial"/>
                <w:sz w:val="11"/>
                <w:szCs w:val="11"/>
                <w:color w:val="auto"/>
                <w:w w:val="98"/>
              </w:rPr>
              <w:t>Cynthia Williams</w:t>
            </w:r>
          </w:p>
        </w:tc>
        <w:tc>
          <w:tcPr>
            <w:tcW w:w="2460" w:type="dxa"/>
            <w:vAlign w:val="bottom"/>
          </w:tcPr>
          <w:p>
            <w:pPr>
              <w:jc w:val="center"/>
              <w:ind w:left="266"/>
              <w:spacing w:after="0"/>
              <w:rPr>
                <w:sz w:val="20"/>
                <w:szCs w:val="20"/>
                <w:color w:val="auto"/>
              </w:rPr>
            </w:pPr>
            <w:r>
              <w:rPr>
                <w:rFonts w:ascii="Arial" w:cs="Arial" w:eastAsia="Arial" w:hAnsi="Arial"/>
                <w:sz w:val="11"/>
                <w:szCs w:val="11"/>
                <w:color w:val="auto"/>
                <w:w w:val="99"/>
              </w:rPr>
              <w:t>75%</w:t>
            </w:r>
          </w:p>
        </w:tc>
        <w:tc>
          <w:tcPr>
            <w:tcW w:w="1820" w:type="dxa"/>
            <w:vAlign w:val="bottom"/>
          </w:tcPr>
          <w:p>
            <w:pPr>
              <w:jc w:val="center"/>
              <w:ind w:left="266"/>
              <w:spacing w:after="0"/>
              <w:rPr>
                <w:sz w:val="20"/>
                <w:szCs w:val="20"/>
                <w:color w:val="auto"/>
              </w:rPr>
            </w:pPr>
            <w:r>
              <w:rPr>
                <w:rFonts w:ascii="Arial" w:cs="Arial" w:eastAsia="Arial" w:hAnsi="Arial"/>
                <w:sz w:val="11"/>
                <w:szCs w:val="11"/>
                <w:color w:val="auto"/>
              </w:rPr>
              <w:t>$380,769</w:t>
            </w:r>
          </w:p>
        </w:tc>
      </w:tr>
      <w:tr>
        <w:trPr>
          <w:trHeight w:val="67"/>
        </w:trPr>
        <w:tc>
          <w:tcPr>
            <w:tcW w:w="1600" w:type="dxa"/>
            <w:vAlign w:val="bottom"/>
            <w:tcBorders>
              <w:bottom w:val="single" w:sz="8" w:color="009BDE"/>
            </w:tcBorders>
          </w:tcPr>
          <w:p>
            <w:pPr>
              <w:spacing w:after="0"/>
              <w:rPr>
                <w:sz w:val="5"/>
                <w:szCs w:val="5"/>
                <w:color w:val="auto"/>
              </w:rPr>
            </w:pPr>
          </w:p>
        </w:tc>
        <w:tc>
          <w:tcPr>
            <w:tcW w:w="2460" w:type="dxa"/>
            <w:vAlign w:val="bottom"/>
            <w:tcBorders>
              <w:bottom w:val="single" w:sz="8" w:color="009BDE"/>
            </w:tcBorders>
          </w:tcPr>
          <w:p>
            <w:pPr>
              <w:spacing w:after="0"/>
              <w:rPr>
                <w:sz w:val="5"/>
                <w:szCs w:val="5"/>
                <w:color w:val="auto"/>
              </w:rPr>
            </w:pPr>
          </w:p>
        </w:tc>
        <w:tc>
          <w:tcPr>
            <w:tcW w:w="1820" w:type="dxa"/>
            <w:vAlign w:val="bottom"/>
            <w:tcBorders>
              <w:bottom w:val="single" w:sz="8" w:color="009BDE"/>
            </w:tcBorders>
          </w:tcPr>
          <w:p>
            <w:pPr>
              <w:spacing w:after="0"/>
              <w:rPr>
                <w:sz w:val="5"/>
                <w:szCs w:val="5"/>
                <w:color w:val="auto"/>
              </w:rPr>
            </w:pPr>
          </w:p>
        </w:tc>
      </w:tr>
      <w:tr>
        <w:trPr>
          <w:trHeight w:val="183"/>
        </w:trPr>
        <w:tc>
          <w:tcPr>
            <w:tcW w:w="1600" w:type="dxa"/>
            <w:vAlign w:val="bottom"/>
          </w:tcPr>
          <w:p>
            <w:pPr>
              <w:jc w:val="center"/>
              <w:spacing w:after="0"/>
              <w:rPr>
                <w:sz w:val="20"/>
                <w:szCs w:val="20"/>
                <w:color w:val="auto"/>
              </w:rPr>
            </w:pPr>
            <w:r>
              <w:rPr>
                <w:rFonts w:ascii="Arial" w:cs="Arial" w:eastAsia="Arial" w:hAnsi="Arial"/>
                <w:sz w:val="11"/>
                <w:szCs w:val="11"/>
                <w:color w:val="auto"/>
                <w:w w:val="98"/>
              </w:rPr>
              <w:t>Eric Nyman</w:t>
            </w:r>
          </w:p>
        </w:tc>
        <w:tc>
          <w:tcPr>
            <w:tcW w:w="2460" w:type="dxa"/>
            <w:vAlign w:val="bottom"/>
          </w:tcPr>
          <w:p>
            <w:pPr>
              <w:jc w:val="center"/>
              <w:ind w:left="286"/>
              <w:spacing w:after="0"/>
              <w:rPr>
                <w:sz w:val="20"/>
                <w:szCs w:val="20"/>
                <w:color w:val="auto"/>
              </w:rPr>
            </w:pPr>
            <w:r>
              <w:rPr>
                <w:rFonts w:ascii="Arial" w:cs="Arial" w:eastAsia="Arial" w:hAnsi="Arial"/>
                <w:sz w:val="11"/>
                <w:szCs w:val="11"/>
                <w:color w:val="auto"/>
                <w:w w:val="99"/>
              </w:rPr>
              <w:t>100%</w:t>
            </w:r>
          </w:p>
        </w:tc>
        <w:tc>
          <w:tcPr>
            <w:tcW w:w="1820" w:type="dxa"/>
            <w:vAlign w:val="bottom"/>
          </w:tcPr>
          <w:p>
            <w:pPr>
              <w:jc w:val="center"/>
              <w:ind w:left="266"/>
              <w:spacing w:after="0"/>
              <w:rPr>
                <w:sz w:val="20"/>
                <w:szCs w:val="20"/>
                <w:color w:val="auto"/>
              </w:rPr>
            </w:pPr>
            <w:r>
              <w:rPr>
                <w:rFonts w:ascii="Arial" w:cs="Arial" w:eastAsia="Arial" w:hAnsi="Arial"/>
                <w:sz w:val="11"/>
                <w:szCs w:val="11"/>
                <w:color w:val="auto"/>
                <w:w w:val="98"/>
              </w:rPr>
              <w:t>$1,032,308</w:t>
            </w:r>
          </w:p>
        </w:tc>
      </w:tr>
      <w:tr>
        <w:trPr>
          <w:trHeight w:val="67"/>
        </w:trPr>
        <w:tc>
          <w:tcPr>
            <w:tcW w:w="1600" w:type="dxa"/>
            <w:vAlign w:val="bottom"/>
            <w:tcBorders>
              <w:bottom w:val="single" w:sz="8" w:color="009BDE"/>
            </w:tcBorders>
          </w:tcPr>
          <w:p>
            <w:pPr>
              <w:spacing w:after="0"/>
              <w:rPr>
                <w:sz w:val="5"/>
                <w:szCs w:val="5"/>
                <w:color w:val="auto"/>
              </w:rPr>
            </w:pPr>
          </w:p>
        </w:tc>
        <w:tc>
          <w:tcPr>
            <w:tcW w:w="2460" w:type="dxa"/>
            <w:vAlign w:val="bottom"/>
            <w:tcBorders>
              <w:bottom w:val="single" w:sz="8" w:color="009BDE"/>
            </w:tcBorders>
          </w:tcPr>
          <w:p>
            <w:pPr>
              <w:spacing w:after="0"/>
              <w:rPr>
                <w:sz w:val="5"/>
                <w:szCs w:val="5"/>
                <w:color w:val="auto"/>
              </w:rPr>
            </w:pPr>
          </w:p>
        </w:tc>
        <w:tc>
          <w:tcPr>
            <w:tcW w:w="1820" w:type="dxa"/>
            <w:vAlign w:val="bottom"/>
            <w:tcBorders>
              <w:bottom w:val="single" w:sz="8" w:color="009BDE"/>
            </w:tcBorders>
          </w:tcPr>
          <w:p>
            <w:pPr>
              <w:spacing w:after="0"/>
              <w:rPr>
                <w:sz w:val="5"/>
                <w:szCs w:val="5"/>
                <w:color w:val="auto"/>
              </w:rPr>
            </w:pPr>
          </w:p>
        </w:tc>
      </w:tr>
      <w:tr>
        <w:trPr>
          <w:trHeight w:val="183"/>
        </w:trPr>
        <w:tc>
          <w:tcPr>
            <w:tcW w:w="1600" w:type="dxa"/>
            <w:vAlign w:val="bottom"/>
          </w:tcPr>
          <w:p>
            <w:pPr>
              <w:jc w:val="center"/>
              <w:ind w:left="6"/>
              <w:spacing w:after="0"/>
              <w:rPr>
                <w:sz w:val="20"/>
                <w:szCs w:val="20"/>
                <w:color w:val="auto"/>
              </w:rPr>
            </w:pPr>
            <w:r>
              <w:rPr>
                <w:rFonts w:ascii="Arial" w:cs="Arial" w:eastAsia="Arial" w:hAnsi="Arial"/>
                <w:sz w:val="11"/>
                <w:szCs w:val="11"/>
                <w:color w:val="auto"/>
                <w:w w:val="97"/>
              </w:rPr>
              <w:t>Darren Throop</w:t>
            </w:r>
          </w:p>
        </w:tc>
        <w:tc>
          <w:tcPr>
            <w:tcW w:w="2460" w:type="dxa"/>
            <w:vAlign w:val="bottom"/>
          </w:tcPr>
          <w:p>
            <w:pPr>
              <w:jc w:val="center"/>
              <w:ind w:left="286"/>
              <w:spacing w:after="0"/>
              <w:rPr>
                <w:sz w:val="20"/>
                <w:szCs w:val="20"/>
                <w:color w:val="auto"/>
              </w:rPr>
            </w:pPr>
            <w:r>
              <w:rPr>
                <w:rFonts w:ascii="Arial" w:cs="Arial" w:eastAsia="Arial" w:hAnsi="Arial"/>
                <w:sz w:val="11"/>
                <w:szCs w:val="11"/>
                <w:color w:val="auto"/>
                <w:w w:val="99"/>
              </w:rPr>
              <w:t>100%</w:t>
            </w:r>
          </w:p>
        </w:tc>
        <w:tc>
          <w:tcPr>
            <w:tcW w:w="1820" w:type="dxa"/>
            <w:vAlign w:val="bottom"/>
          </w:tcPr>
          <w:p>
            <w:pPr>
              <w:jc w:val="center"/>
              <w:ind w:left="266"/>
              <w:spacing w:after="0"/>
              <w:rPr>
                <w:sz w:val="20"/>
                <w:szCs w:val="20"/>
                <w:color w:val="auto"/>
              </w:rPr>
            </w:pPr>
            <w:r>
              <w:rPr>
                <w:rFonts w:ascii="Arial" w:cs="Arial" w:eastAsia="Arial" w:hAnsi="Arial"/>
                <w:sz w:val="11"/>
                <w:szCs w:val="11"/>
                <w:color w:val="auto"/>
                <w:w w:val="98"/>
              </w:rPr>
              <w:t>$1,500,000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42545</wp:posOffset>
            </wp:positionV>
            <wp:extent cx="3726180" cy="571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3726180" cy="5715"/>
                    </a:xfrm>
                    <a:prstGeom prst="rect">
                      <a:avLst/>
                    </a:prstGeom>
                    <a:noFill/>
                  </pic:spPr>
                </pic:pic>
              </a:graphicData>
            </a:graphic>
          </wp:anchor>
        </w:drawing>
      </w:r>
    </w:p>
    <w:p>
      <w:pPr>
        <w:spacing w:after="0" w:line="113" w:lineRule="exact"/>
        <w:rPr>
          <w:sz w:val="20"/>
          <w:szCs w:val="20"/>
          <w:color w:val="auto"/>
        </w:rPr>
      </w:pPr>
    </w:p>
    <w:p>
      <w:pPr>
        <w:ind w:left="2260" w:hanging="288"/>
        <w:spacing w:after="0"/>
        <w:tabs>
          <w:tab w:leader="none" w:pos="2260" w:val="left"/>
        </w:tabs>
        <w:numPr>
          <w:ilvl w:val="0"/>
          <w:numId w:val="39"/>
        </w:numPr>
        <w:rPr>
          <w:rFonts w:ascii="Arial" w:cs="Arial" w:eastAsia="Arial" w:hAnsi="Arial"/>
          <w:sz w:val="10"/>
          <w:szCs w:val="10"/>
          <w:color w:val="auto"/>
        </w:rPr>
      </w:pPr>
      <w:r>
        <w:rPr>
          <w:rFonts w:ascii="Arial" w:cs="Arial" w:eastAsia="Arial" w:hAnsi="Arial"/>
          <w:sz w:val="10"/>
          <w:szCs w:val="10"/>
          <w:color w:val="auto"/>
        </w:rPr>
        <w:t>Amounts are calculated based on earnings.</w:t>
      </w:r>
    </w:p>
    <w:p>
      <w:pPr>
        <w:spacing w:after="0" w:line="90" w:lineRule="exact"/>
        <w:rPr>
          <w:sz w:val="20"/>
          <w:szCs w:val="20"/>
          <w:color w:val="auto"/>
        </w:rPr>
      </w:pPr>
    </w:p>
    <w:p>
      <w:pPr>
        <w:ind w:left="1980" w:right="939"/>
        <w:spacing w:after="0" w:line="241" w:lineRule="auto"/>
        <w:rPr>
          <w:sz w:val="20"/>
          <w:szCs w:val="20"/>
          <w:color w:val="auto"/>
        </w:rPr>
      </w:pPr>
      <w:r>
        <w:rPr>
          <w:rFonts w:ascii="Arial" w:cs="Arial" w:eastAsia="Arial" w:hAnsi="Arial"/>
          <w:sz w:val="11"/>
          <w:szCs w:val="11"/>
          <w:color w:val="auto"/>
        </w:rPr>
        <w:t>Each eligible named executive officer may earn between 0% and 200% of his or her target annual incentive opportunity based on achieved performance against pre-set performance goals, with 50% of target earned for threshold performance and 100% of target earned for target performance. For performance between threshold and target, and target and maximum, the payout is determined by linear interpolation. Any amounts earned are paid in cash.</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009BDE"/>
        </w:rPr>
        <w:t>Annual Incentive Performance Metrics</w:t>
      </w:r>
    </w:p>
    <w:p>
      <w:pPr>
        <w:spacing w:after="0" w:line="84" w:lineRule="exact"/>
        <w:rPr>
          <w:sz w:val="20"/>
          <w:szCs w:val="20"/>
          <w:color w:val="auto"/>
        </w:rPr>
      </w:pPr>
    </w:p>
    <w:p>
      <w:pPr>
        <w:ind w:left="1980" w:right="919"/>
        <w:spacing w:after="0" w:line="245" w:lineRule="auto"/>
        <w:rPr>
          <w:sz w:val="20"/>
          <w:szCs w:val="20"/>
          <w:color w:val="auto"/>
        </w:rPr>
      </w:pPr>
      <w:r>
        <w:rPr>
          <w:rFonts w:ascii="Arial" w:cs="Arial" w:eastAsia="Arial" w:hAnsi="Arial"/>
          <w:sz w:val="11"/>
          <w:szCs w:val="11"/>
          <w:color w:val="auto"/>
        </w:rPr>
        <w:t>For 2022, the Committee selected the following performance measures and assigned the indicated weight based on the Company’s 2022 operating plan and budget.</w:t>
      </w:r>
    </w:p>
    <w:p>
      <w:pPr>
        <w:spacing w:after="0" w:line="155" w:lineRule="exact"/>
        <w:rPr>
          <w:sz w:val="20"/>
          <w:szCs w:val="20"/>
          <w:color w:val="auto"/>
        </w:rPr>
      </w:pPr>
    </w:p>
    <w:tbl>
      <w:tblPr>
        <w:tblLayout w:type="fixed"/>
        <w:tblInd w:w="1980" w:type="dxa"/>
        <w:tblCellMar>
          <w:top w:w="0" w:type="dxa"/>
          <w:left w:w="0" w:type="dxa"/>
          <w:bottom w:w="0" w:type="dxa"/>
          <w:right w:w="0" w:type="dxa"/>
        </w:tblCellMar>
      </w:tblPr>
      <w:tr>
        <w:trPr>
          <w:trHeight w:val="160"/>
        </w:trPr>
        <w:tc>
          <w:tcPr>
            <w:tcW w:w="2860" w:type="dxa"/>
            <w:vAlign w:val="bottom"/>
            <w:shd w:val="clear" w:color="auto" w:fill="CCEBF8"/>
          </w:tcPr>
          <w:p>
            <w:pPr>
              <w:spacing w:after="0"/>
              <w:rPr>
                <w:sz w:val="13"/>
                <w:szCs w:val="13"/>
                <w:color w:val="auto"/>
              </w:rPr>
            </w:pPr>
          </w:p>
        </w:tc>
        <w:tc>
          <w:tcPr>
            <w:tcW w:w="1360" w:type="dxa"/>
            <w:vAlign w:val="bottom"/>
            <w:shd w:val="clear" w:color="auto" w:fill="CCEBF8"/>
          </w:tcPr>
          <w:p>
            <w:pPr>
              <w:jc w:val="center"/>
              <w:ind w:left="46"/>
              <w:spacing w:after="0"/>
              <w:rPr>
                <w:sz w:val="20"/>
                <w:szCs w:val="20"/>
                <w:color w:val="auto"/>
              </w:rPr>
            </w:pPr>
            <w:r>
              <w:rPr>
                <w:rFonts w:ascii="Arial" w:cs="Arial" w:eastAsia="Arial" w:hAnsi="Arial"/>
                <w:sz w:val="11"/>
                <w:szCs w:val="11"/>
                <w:b w:val="1"/>
                <w:bCs w:val="1"/>
                <w:color w:val="009BDE"/>
                <w:w w:val="95"/>
              </w:rPr>
              <w:t>Mr. Cocks</w:t>
            </w:r>
          </w:p>
        </w:tc>
        <w:tc>
          <w:tcPr>
            <w:tcW w:w="1200" w:type="dxa"/>
            <w:vAlign w:val="bottom"/>
            <w:shd w:val="clear" w:color="auto" w:fill="CCEBF8"/>
          </w:tcPr>
          <w:p>
            <w:pPr>
              <w:spacing w:after="0"/>
              <w:rPr>
                <w:sz w:val="13"/>
                <w:szCs w:val="13"/>
                <w:color w:val="auto"/>
              </w:rPr>
            </w:pPr>
          </w:p>
        </w:tc>
        <w:tc>
          <w:tcPr>
            <w:tcW w:w="1020" w:type="dxa"/>
            <w:vAlign w:val="bottom"/>
            <w:shd w:val="clear" w:color="auto" w:fill="CCEBF8"/>
          </w:tcPr>
          <w:p>
            <w:pPr>
              <w:spacing w:after="0"/>
              <w:rPr>
                <w:sz w:val="13"/>
                <w:szCs w:val="13"/>
                <w:color w:val="auto"/>
              </w:rPr>
            </w:pPr>
          </w:p>
        </w:tc>
        <w:tc>
          <w:tcPr>
            <w:tcW w:w="900" w:type="dxa"/>
            <w:vAlign w:val="bottom"/>
            <w:shd w:val="clear" w:color="auto" w:fill="CCEBF8"/>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860" w:type="dxa"/>
            <w:vAlign w:val="bottom"/>
            <w:shd w:val="clear" w:color="auto" w:fill="CCEBF8"/>
          </w:tcPr>
          <w:p>
            <w:pPr>
              <w:spacing w:after="0"/>
              <w:rPr>
                <w:sz w:val="10"/>
                <w:szCs w:val="10"/>
                <w:color w:val="auto"/>
              </w:rPr>
            </w:pPr>
          </w:p>
        </w:tc>
        <w:tc>
          <w:tcPr>
            <w:tcW w:w="1360" w:type="dxa"/>
            <w:vAlign w:val="bottom"/>
            <w:shd w:val="clear" w:color="auto" w:fill="CCEBF8"/>
          </w:tcPr>
          <w:p>
            <w:pPr>
              <w:jc w:val="center"/>
              <w:ind w:left="46"/>
              <w:spacing w:after="0"/>
              <w:rPr>
                <w:sz w:val="20"/>
                <w:szCs w:val="20"/>
                <w:color w:val="auto"/>
              </w:rPr>
            </w:pPr>
            <w:r>
              <w:rPr>
                <w:rFonts w:ascii="Arial" w:cs="Arial" w:eastAsia="Arial" w:hAnsi="Arial"/>
                <w:sz w:val="11"/>
                <w:szCs w:val="11"/>
                <w:b w:val="1"/>
                <w:bCs w:val="1"/>
                <w:color w:val="009BDE"/>
                <w:w w:val="91"/>
              </w:rPr>
              <w:t>and</w:t>
            </w:r>
          </w:p>
        </w:tc>
        <w:tc>
          <w:tcPr>
            <w:tcW w:w="1200" w:type="dxa"/>
            <w:vAlign w:val="bottom"/>
            <w:shd w:val="clear" w:color="auto" w:fill="CCEBF8"/>
          </w:tcPr>
          <w:p>
            <w:pPr>
              <w:spacing w:after="0"/>
              <w:rPr>
                <w:sz w:val="10"/>
                <w:szCs w:val="10"/>
                <w:color w:val="auto"/>
              </w:rPr>
            </w:pPr>
          </w:p>
        </w:tc>
        <w:tc>
          <w:tcPr>
            <w:tcW w:w="1020" w:type="dxa"/>
            <w:vAlign w:val="bottom"/>
            <w:shd w:val="clear" w:color="auto" w:fill="CCEBF8"/>
          </w:tcPr>
          <w:p>
            <w:pPr>
              <w:spacing w:after="0"/>
              <w:rPr>
                <w:sz w:val="10"/>
                <w:szCs w:val="10"/>
                <w:color w:val="auto"/>
              </w:rPr>
            </w:pPr>
          </w:p>
        </w:tc>
        <w:tc>
          <w:tcPr>
            <w:tcW w:w="900" w:type="dxa"/>
            <w:vAlign w:val="bottom"/>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60" w:type="dxa"/>
            <w:vAlign w:val="bottom"/>
            <w:vMerge w:val="restart"/>
            <w:shd w:val="clear" w:color="auto" w:fill="CCEBF8"/>
          </w:tcPr>
          <w:p>
            <w:pPr>
              <w:spacing w:after="0"/>
              <w:rPr>
                <w:sz w:val="20"/>
                <w:szCs w:val="20"/>
                <w:color w:val="auto"/>
              </w:rPr>
            </w:pPr>
            <w:r>
              <w:rPr>
                <w:rFonts w:ascii="Arial" w:cs="Arial" w:eastAsia="Arial" w:hAnsi="Arial"/>
                <w:sz w:val="11"/>
                <w:szCs w:val="11"/>
                <w:b w:val="1"/>
                <w:bCs w:val="1"/>
                <w:color w:val="009BDE"/>
              </w:rPr>
              <w:t>Performance Measure</w:t>
            </w:r>
          </w:p>
        </w:tc>
        <w:tc>
          <w:tcPr>
            <w:tcW w:w="1360" w:type="dxa"/>
            <w:vAlign w:val="bottom"/>
            <w:shd w:val="clear" w:color="auto" w:fill="CCEBF8"/>
          </w:tcPr>
          <w:p>
            <w:pPr>
              <w:jc w:val="center"/>
              <w:ind w:left="46"/>
              <w:spacing w:after="0"/>
              <w:rPr>
                <w:sz w:val="20"/>
                <w:szCs w:val="20"/>
                <w:color w:val="auto"/>
              </w:rPr>
            </w:pPr>
            <w:r>
              <w:rPr>
                <w:rFonts w:ascii="Arial" w:cs="Arial" w:eastAsia="Arial" w:hAnsi="Arial"/>
                <w:sz w:val="11"/>
                <w:szCs w:val="11"/>
                <w:b w:val="1"/>
                <w:bCs w:val="1"/>
                <w:color w:val="009BDE"/>
                <w:w w:val="97"/>
              </w:rPr>
              <w:t>Ms. Thomas</w:t>
            </w:r>
          </w:p>
        </w:tc>
        <w:tc>
          <w:tcPr>
            <w:tcW w:w="1200" w:type="dxa"/>
            <w:vAlign w:val="bottom"/>
            <w:shd w:val="clear" w:color="auto" w:fill="CCEBF8"/>
          </w:tcPr>
          <w:p>
            <w:pPr>
              <w:jc w:val="right"/>
              <w:ind w:right="266"/>
              <w:spacing w:after="0"/>
              <w:rPr>
                <w:sz w:val="20"/>
                <w:szCs w:val="20"/>
                <w:color w:val="auto"/>
              </w:rPr>
            </w:pPr>
            <w:r>
              <w:rPr>
                <w:rFonts w:ascii="Arial" w:cs="Arial" w:eastAsia="Arial" w:hAnsi="Arial"/>
                <w:sz w:val="11"/>
                <w:szCs w:val="11"/>
                <w:b w:val="1"/>
                <w:bCs w:val="1"/>
                <w:color w:val="009BDE"/>
              </w:rPr>
              <w:t>Ms. Williams</w:t>
            </w:r>
          </w:p>
        </w:tc>
        <w:tc>
          <w:tcPr>
            <w:tcW w:w="1020" w:type="dxa"/>
            <w:vAlign w:val="bottom"/>
            <w:shd w:val="clear" w:color="auto" w:fill="CCEBF8"/>
          </w:tcPr>
          <w:p>
            <w:pPr>
              <w:jc w:val="right"/>
              <w:ind w:right="206"/>
              <w:spacing w:after="0"/>
              <w:rPr>
                <w:sz w:val="20"/>
                <w:szCs w:val="20"/>
                <w:color w:val="auto"/>
              </w:rPr>
            </w:pPr>
            <w:r>
              <w:rPr>
                <w:rFonts w:ascii="Arial" w:cs="Arial" w:eastAsia="Arial" w:hAnsi="Arial"/>
                <w:sz w:val="11"/>
                <w:szCs w:val="11"/>
                <w:b w:val="1"/>
                <w:bCs w:val="1"/>
                <w:color w:val="009BDE"/>
              </w:rPr>
              <w:t>Mr. Nyman</w:t>
            </w:r>
          </w:p>
        </w:tc>
        <w:tc>
          <w:tcPr>
            <w:tcW w:w="900" w:type="dxa"/>
            <w:vAlign w:val="bottom"/>
            <w:shd w:val="clear" w:color="auto" w:fill="CCEBF8"/>
          </w:tcPr>
          <w:p>
            <w:pPr>
              <w:jc w:val="right"/>
              <w:ind w:right="146"/>
              <w:spacing w:after="0"/>
              <w:rPr>
                <w:sz w:val="20"/>
                <w:szCs w:val="20"/>
                <w:color w:val="auto"/>
              </w:rPr>
            </w:pPr>
            <w:r>
              <w:rPr>
                <w:rFonts w:ascii="Arial" w:cs="Arial" w:eastAsia="Arial" w:hAnsi="Arial"/>
                <w:sz w:val="11"/>
                <w:szCs w:val="11"/>
                <w:b w:val="1"/>
                <w:bCs w:val="1"/>
                <w:color w:val="009BDE"/>
              </w:rPr>
              <w:t>Mr. Throop</w:t>
            </w:r>
          </w:p>
        </w:tc>
        <w:tc>
          <w:tcPr>
            <w:tcW w:w="0" w:type="dxa"/>
            <w:vAlign w:val="bottom"/>
          </w:tcPr>
          <w:p>
            <w:pPr>
              <w:spacing w:after="0"/>
              <w:rPr>
                <w:sz w:val="1"/>
                <w:szCs w:val="1"/>
                <w:color w:val="auto"/>
              </w:rPr>
            </w:pPr>
          </w:p>
        </w:tc>
      </w:tr>
      <w:tr>
        <w:trPr>
          <w:trHeight w:val="103"/>
        </w:trPr>
        <w:tc>
          <w:tcPr>
            <w:tcW w:w="2860" w:type="dxa"/>
            <w:vAlign w:val="bottom"/>
            <w:tcBorders>
              <w:bottom w:val="single" w:sz="8" w:color="CCEBF8"/>
            </w:tcBorders>
            <w:vMerge w:val="continue"/>
            <w:shd w:val="clear" w:color="auto" w:fill="CCEBF8"/>
          </w:tcPr>
          <w:p>
            <w:pPr>
              <w:spacing w:after="0"/>
              <w:rPr>
                <w:sz w:val="8"/>
                <w:szCs w:val="8"/>
                <w:color w:val="auto"/>
              </w:rPr>
            </w:pPr>
          </w:p>
        </w:tc>
        <w:tc>
          <w:tcPr>
            <w:tcW w:w="1360" w:type="dxa"/>
            <w:vAlign w:val="bottom"/>
            <w:tcBorders>
              <w:bottom w:val="single" w:sz="8" w:color="CCEBF8"/>
            </w:tcBorders>
            <w:shd w:val="clear" w:color="auto" w:fill="CCEBF8"/>
          </w:tcPr>
          <w:p>
            <w:pPr>
              <w:spacing w:after="0"/>
              <w:rPr>
                <w:sz w:val="8"/>
                <w:szCs w:val="8"/>
                <w:color w:val="auto"/>
              </w:rPr>
            </w:pPr>
          </w:p>
        </w:tc>
        <w:tc>
          <w:tcPr>
            <w:tcW w:w="1200" w:type="dxa"/>
            <w:vAlign w:val="bottom"/>
            <w:tcBorders>
              <w:bottom w:val="single" w:sz="8" w:color="CCEBF8"/>
            </w:tcBorders>
            <w:shd w:val="clear" w:color="auto" w:fill="CCEBF8"/>
          </w:tcPr>
          <w:p>
            <w:pPr>
              <w:spacing w:after="0"/>
              <w:rPr>
                <w:sz w:val="8"/>
                <w:szCs w:val="8"/>
                <w:color w:val="auto"/>
              </w:rPr>
            </w:pPr>
          </w:p>
        </w:tc>
        <w:tc>
          <w:tcPr>
            <w:tcW w:w="1020" w:type="dxa"/>
            <w:vAlign w:val="bottom"/>
            <w:tcBorders>
              <w:bottom w:val="single" w:sz="8" w:color="CCEBF8"/>
            </w:tcBorders>
            <w:shd w:val="clear" w:color="auto" w:fill="CCEBF8"/>
          </w:tcPr>
          <w:p>
            <w:pPr>
              <w:spacing w:after="0"/>
              <w:rPr>
                <w:sz w:val="8"/>
                <w:szCs w:val="8"/>
                <w:color w:val="auto"/>
              </w:rPr>
            </w:pPr>
          </w:p>
        </w:tc>
        <w:tc>
          <w:tcPr>
            <w:tcW w:w="900" w:type="dxa"/>
            <w:vAlign w:val="bottom"/>
            <w:tcBorders>
              <w:bottom w:val="single" w:sz="8" w:color="CCEBF8"/>
            </w:tcBorders>
            <w:shd w:val="clear" w:color="auto" w:fill="CCEBF8"/>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860" w:type="dxa"/>
            <w:vAlign w:val="bottom"/>
            <w:tcBorders>
              <w:top w:val="single" w:sz="8" w:color="009BDE"/>
            </w:tcBorders>
          </w:tcPr>
          <w:p>
            <w:pPr>
              <w:ind w:left="40"/>
              <w:spacing w:after="0"/>
              <w:rPr>
                <w:sz w:val="20"/>
                <w:szCs w:val="20"/>
                <w:color w:val="auto"/>
              </w:rPr>
            </w:pPr>
            <w:r>
              <w:rPr>
                <w:rFonts w:ascii="Arial" w:cs="Arial" w:eastAsia="Arial" w:hAnsi="Arial"/>
                <w:sz w:val="11"/>
                <w:szCs w:val="11"/>
                <w:color w:val="auto"/>
              </w:rPr>
              <w:t>Company Net Revenue</w:t>
            </w:r>
          </w:p>
        </w:tc>
        <w:tc>
          <w:tcPr>
            <w:tcW w:w="1360" w:type="dxa"/>
            <w:vAlign w:val="bottom"/>
            <w:tcBorders>
              <w:top w:val="single" w:sz="8" w:color="009BDE"/>
            </w:tcBorders>
          </w:tcPr>
          <w:p>
            <w:pPr>
              <w:jc w:val="right"/>
              <w:ind w:right="166"/>
              <w:spacing w:after="0"/>
              <w:rPr>
                <w:sz w:val="20"/>
                <w:szCs w:val="20"/>
                <w:color w:val="auto"/>
              </w:rPr>
            </w:pPr>
            <w:r>
              <w:rPr>
                <w:rFonts w:ascii="Arial" w:cs="Arial" w:eastAsia="Arial" w:hAnsi="Arial"/>
                <w:sz w:val="11"/>
                <w:szCs w:val="11"/>
                <w:color w:val="auto"/>
              </w:rPr>
              <w:t>40%</w:t>
            </w:r>
          </w:p>
        </w:tc>
        <w:tc>
          <w:tcPr>
            <w:tcW w:w="1200" w:type="dxa"/>
            <w:vAlign w:val="bottom"/>
            <w:tcBorders>
              <w:top w:val="single" w:sz="8" w:color="009BDE"/>
            </w:tcBorders>
          </w:tcPr>
          <w:p>
            <w:pPr>
              <w:jc w:val="right"/>
              <w:ind w:right="166"/>
              <w:spacing w:after="0"/>
              <w:rPr>
                <w:sz w:val="20"/>
                <w:szCs w:val="20"/>
                <w:color w:val="auto"/>
              </w:rPr>
            </w:pPr>
            <w:r>
              <w:rPr>
                <w:rFonts w:ascii="Arial" w:cs="Arial" w:eastAsia="Arial" w:hAnsi="Arial"/>
                <w:sz w:val="11"/>
                <w:szCs w:val="11"/>
                <w:color w:val="auto"/>
              </w:rPr>
              <w:t>8%</w:t>
            </w:r>
          </w:p>
        </w:tc>
        <w:tc>
          <w:tcPr>
            <w:tcW w:w="1020" w:type="dxa"/>
            <w:vAlign w:val="bottom"/>
            <w:tcBorders>
              <w:top w:val="single" w:sz="8" w:color="009BDE"/>
            </w:tcBorders>
          </w:tcPr>
          <w:p>
            <w:pPr>
              <w:jc w:val="right"/>
              <w:ind w:right="106"/>
              <w:spacing w:after="0"/>
              <w:rPr>
                <w:sz w:val="20"/>
                <w:szCs w:val="20"/>
                <w:color w:val="auto"/>
              </w:rPr>
            </w:pPr>
            <w:r>
              <w:rPr>
                <w:rFonts w:ascii="Arial" w:cs="Arial" w:eastAsia="Arial" w:hAnsi="Arial"/>
                <w:sz w:val="11"/>
                <w:szCs w:val="11"/>
                <w:color w:val="auto"/>
              </w:rPr>
              <w:t>8%</w:t>
            </w:r>
          </w:p>
        </w:tc>
        <w:tc>
          <w:tcPr>
            <w:tcW w:w="900" w:type="dxa"/>
            <w:vAlign w:val="bottom"/>
            <w:tcBorders>
              <w:top w:val="single" w:sz="8" w:color="009BDE"/>
            </w:tcBorders>
          </w:tcPr>
          <w:p>
            <w:pPr>
              <w:jc w:val="right"/>
              <w:ind w:right="4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67"/>
        </w:trPr>
        <w:tc>
          <w:tcPr>
            <w:tcW w:w="2860" w:type="dxa"/>
            <w:vAlign w:val="bottom"/>
            <w:tcBorders>
              <w:bottom w:val="single" w:sz="8" w:color="009BDE"/>
            </w:tcBorders>
          </w:tcPr>
          <w:p>
            <w:pPr>
              <w:spacing w:after="0"/>
              <w:rPr>
                <w:sz w:val="5"/>
                <w:szCs w:val="5"/>
                <w:color w:val="auto"/>
              </w:rPr>
            </w:pPr>
          </w:p>
        </w:tc>
        <w:tc>
          <w:tcPr>
            <w:tcW w:w="1360" w:type="dxa"/>
            <w:vAlign w:val="bottom"/>
            <w:tcBorders>
              <w:bottom w:val="single" w:sz="8" w:color="009BDE"/>
            </w:tcBorders>
          </w:tcPr>
          <w:p>
            <w:pPr>
              <w:spacing w:after="0"/>
              <w:rPr>
                <w:sz w:val="5"/>
                <w:szCs w:val="5"/>
                <w:color w:val="auto"/>
              </w:rPr>
            </w:pPr>
          </w:p>
        </w:tc>
        <w:tc>
          <w:tcPr>
            <w:tcW w:w="1200" w:type="dxa"/>
            <w:vAlign w:val="bottom"/>
            <w:tcBorders>
              <w:bottom w:val="single" w:sz="8" w:color="009BDE"/>
            </w:tcBorders>
          </w:tcPr>
          <w:p>
            <w:pPr>
              <w:spacing w:after="0"/>
              <w:rPr>
                <w:sz w:val="5"/>
                <w:szCs w:val="5"/>
                <w:color w:val="auto"/>
              </w:rPr>
            </w:pPr>
          </w:p>
        </w:tc>
        <w:tc>
          <w:tcPr>
            <w:tcW w:w="1020" w:type="dxa"/>
            <w:vAlign w:val="bottom"/>
            <w:tcBorders>
              <w:bottom w:val="single" w:sz="8" w:color="009BDE"/>
            </w:tcBorders>
          </w:tcPr>
          <w:p>
            <w:pPr>
              <w:spacing w:after="0"/>
              <w:rPr>
                <w:sz w:val="5"/>
                <w:szCs w:val="5"/>
                <w:color w:val="auto"/>
              </w:rPr>
            </w:pPr>
          </w:p>
        </w:tc>
        <w:tc>
          <w:tcPr>
            <w:tcW w:w="90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860" w:type="dxa"/>
            <w:vAlign w:val="bottom"/>
          </w:tcPr>
          <w:p>
            <w:pPr>
              <w:ind w:left="40"/>
              <w:spacing w:after="0"/>
              <w:rPr>
                <w:sz w:val="20"/>
                <w:szCs w:val="20"/>
                <w:color w:val="auto"/>
              </w:rPr>
            </w:pPr>
            <w:r>
              <w:rPr>
                <w:rFonts w:ascii="Arial" w:cs="Arial" w:eastAsia="Arial" w:hAnsi="Arial"/>
                <w:sz w:val="11"/>
                <w:szCs w:val="11"/>
                <w:color w:val="auto"/>
              </w:rPr>
              <w:t>Company Operating Profit Margin</w:t>
            </w:r>
          </w:p>
        </w:tc>
        <w:tc>
          <w:tcPr>
            <w:tcW w:w="1360" w:type="dxa"/>
            <w:vAlign w:val="bottom"/>
          </w:tcPr>
          <w:p>
            <w:pPr>
              <w:jc w:val="right"/>
              <w:ind w:right="166"/>
              <w:spacing w:after="0"/>
              <w:rPr>
                <w:sz w:val="20"/>
                <w:szCs w:val="20"/>
                <w:color w:val="auto"/>
              </w:rPr>
            </w:pPr>
            <w:r>
              <w:rPr>
                <w:rFonts w:ascii="Arial" w:cs="Arial" w:eastAsia="Arial" w:hAnsi="Arial"/>
                <w:sz w:val="11"/>
                <w:szCs w:val="11"/>
                <w:color w:val="auto"/>
              </w:rPr>
              <w:t>40%</w:t>
            </w:r>
          </w:p>
        </w:tc>
        <w:tc>
          <w:tcPr>
            <w:tcW w:w="1200" w:type="dxa"/>
            <w:vAlign w:val="bottom"/>
          </w:tcPr>
          <w:p>
            <w:pPr>
              <w:jc w:val="right"/>
              <w:ind w:right="166"/>
              <w:spacing w:after="0"/>
              <w:rPr>
                <w:sz w:val="20"/>
                <w:szCs w:val="20"/>
                <w:color w:val="auto"/>
              </w:rPr>
            </w:pPr>
            <w:r>
              <w:rPr>
                <w:rFonts w:ascii="Arial" w:cs="Arial" w:eastAsia="Arial" w:hAnsi="Arial"/>
                <w:sz w:val="11"/>
                <w:szCs w:val="11"/>
                <w:color w:val="auto"/>
              </w:rPr>
              <w:t>8%</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67"/>
        </w:trPr>
        <w:tc>
          <w:tcPr>
            <w:tcW w:w="2860" w:type="dxa"/>
            <w:vAlign w:val="bottom"/>
            <w:tcBorders>
              <w:bottom w:val="single" w:sz="8" w:color="009BDE"/>
            </w:tcBorders>
          </w:tcPr>
          <w:p>
            <w:pPr>
              <w:spacing w:after="0"/>
              <w:rPr>
                <w:sz w:val="5"/>
                <w:szCs w:val="5"/>
                <w:color w:val="auto"/>
              </w:rPr>
            </w:pPr>
          </w:p>
        </w:tc>
        <w:tc>
          <w:tcPr>
            <w:tcW w:w="1360" w:type="dxa"/>
            <w:vAlign w:val="bottom"/>
            <w:tcBorders>
              <w:bottom w:val="single" w:sz="8" w:color="009BDE"/>
            </w:tcBorders>
          </w:tcPr>
          <w:p>
            <w:pPr>
              <w:spacing w:after="0"/>
              <w:rPr>
                <w:sz w:val="5"/>
                <w:szCs w:val="5"/>
                <w:color w:val="auto"/>
              </w:rPr>
            </w:pPr>
          </w:p>
        </w:tc>
        <w:tc>
          <w:tcPr>
            <w:tcW w:w="1200" w:type="dxa"/>
            <w:vAlign w:val="bottom"/>
            <w:tcBorders>
              <w:bottom w:val="single" w:sz="8" w:color="009BDE"/>
            </w:tcBorders>
          </w:tcPr>
          <w:p>
            <w:pPr>
              <w:spacing w:after="0"/>
              <w:rPr>
                <w:sz w:val="5"/>
                <w:szCs w:val="5"/>
                <w:color w:val="auto"/>
              </w:rPr>
            </w:pPr>
          </w:p>
        </w:tc>
        <w:tc>
          <w:tcPr>
            <w:tcW w:w="1020" w:type="dxa"/>
            <w:vAlign w:val="bottom"/>
            <w:tcBorders>
              <w:bottom w:val="single" w:sz="8" w:color="009BDE"/>
            </w:tcBorders>
          </w:tcPr>
          <w:p>
            <w:pPr>
              <w:spacing w:after="0"/>
              <w:rPr>
                <w:sz w:val="5"/>
                <w:szCs w:val="5"/>
                <w:color w:val="auto"/>
              </w:rPr>
            </w:pPr>
          </w:p>
        </w:tc>
        <w:tc>
          <w:tcPr>
            <w:tcW w:w="90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860" w:type="dxa"/>
            <w:vAlign w:val="bottom"/>
          </w:tcPr>
          <w:p>
            <w:pPr>
              <w:ind w:left="40"/>
              <w:spacing w:after="0"/>
              <w:rPr>
                <w:sz w:val="20"/>
                <w:szCs w:val="20"/>
                <w:color w:val="auto"/>
              </w:rPr>
            </w:pPr>
            <w:r>
              <w:rPr>
                <w:rFonts w:ascii="Arial" w:cs="Arial" w:eastAsia="Arial" w:hAnsi="Arial"/>
                <w:sz w:val="11"/>
                <w:szCs w:val="11"/>
                <w:color w:val="auto"/>
              </w:rPr>
              <w:t>Company Free Cash Flow</w:t>
            </w:r>
          </w:p>
        </w:tc>
        <w:tc>
          <w:tcPr>
            <w:tcW w:w="1360" w:type="dxa"/>
            <w:vAlign w:val="bottom"/>
          </w:tcPr>
          <w:p>
            <w:pPr>
              <w:jc w:val="right"/>
              <w:ind w:right="166"/>
              <w:spacing w:after="0"/>
              <w:rPr>
                <w:sz w:val="20"/>
                <w:szCs w:val="20"/>
                <w:color w:val="auto"/>
              </w:rPr>
            </w:pPr>
            <w:r>
              <w:rPr>
                <w:rFonts w:ascii="Arial" w:cs="Arial" w:eastAsia="Arial" w:hAnsi="Arial"/>
                <w:sz w:val="11"/>
                <w:szCs w:val="11"/>
                <w:color w:val="auto"/>
              </w:rPr>
              <w:t>20%</w:t>
            </w:r>
          </w:p>
        </w:tc>
        <w:tc>
          <w:tcPr>
            <w:tcW w:w="1200" w:type="dxa"/>
            <w:vAlign w:val="bottom"/>
          </w:tcPr>
          <w:p>
            <w:pPr>
              <w:jc w:val="right"/>
              <w:ind w:right="166"/>
              <w:spacing w:after="0"/>
              <w:rPr>
                <w:sz w:val="20"/>
                <w:szCs w:val="20"/>
                <w:color w:val="auto"/>
              </w:rPr>
            </w:pPr>
            <w:r>
              <w:rPr>
                <w:rFonts w:ascii="Arial" w:cs="Arial" w:eastAsia="Arial" w:hAnsi="Arial"/>
                <w:sz w:val="11"/>
                <w:szCs w:val="11"/>
                <w:color w:val="auto"/>
              </w:rPr>
              <w:t>4%</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67"/>
        </w:trPr>
        <w:tc>
          <w:tcPr>
            <w:tcW w:w="2860" w:type="dxa"/>
            <w:vAlign w:val="bottom"/>
            <w:tcBorders>
              <w:bottom w:val="single" w:sz="8" w:color="009BDE"/>
            </w:tcBorders>
          </w:tcPr>
          <w:p>
            <w:pPr>
              <w:spacing w:after="0"/>
              <w:rPr>
                <w:sz w:val="5"/>
                <w:szCs w:val="5"/>
                <w:color w:val="auto"/>
              </w:rPr>
            </w:pPr>
          </w:p>
        </w:tc>
        <w:tc>
          <w:tcPr>
            <w:tcW w:w="1360" w:type="dxa"/>
            <w:vAlign w:val="bottom"/>
            <w:tcBorders>
              <w:bottom w:val="single" w:sz="8" w:color="009BDE"/>
            </w:tcBorders>
          </w:tcPr>
          <w:p>
            <w:pPr>
              <w:spacing w:after="0"/>
              <w:rPr>
                <w:sz w:val="5"/>
                <w:szCs w:val="5"/>
                <w:color w:val="auto"/>
              </w:rPr>
            </w:pPr>
          </w:p>
        </w:tc>
        <w:tc>
          <w:tcPr>
            <w:tcW w:w="1200" w:type="dxa"/>
            <w:vAlign w:val="bottom"/>
            <w:tcBorders>
              <w:bottom w:val="single" w:sz="8" w:color="009BDE"/>
            </w:tcBorders>
          </w:tcPr>
          <w:p>
            <w:pPr>
              <w:spacing w:after="0"/>
              <w:rPr>
                <w:sz w:val="5"/>
                <w:szCs w:val="5"/>
                <w:color w:val="auto"/>
              </w:rPr>
            </w:pPr>
          </w:p>
        </w:tc>
        <w:tc>
          <w:tcPr>
            <w:tcW w:w="1020" w:type="dxa"/>
            <w:vAlign w:val="bottom"/>
            <w:tcBorders>
              <w:bottom w:val="single" w:sz="8" w:color="009BDE"/>
            </w:tcBorders>
          </w:tcPr>
          <w:p>
            <w:pPr>
              <w:spacing w:after="0"/>
              <w:rPr>
                <w:sz w:val="5"/>
                <w:szCs w:val="5"/>
                <w:color w:val="auto"/>
              </w:rPr>
            </w:pPr>
          </w:p>
        </w:tc>
        <w:tc>
          <w:tcPr>
            <w:tcW w:w="90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009BDE"/>
            </w:tcBorders>
          </w:tcPr>
          <w:p>
            <w:pPr>
              <w:ind w:left="40"/>
              <w:spacing w:after="0"/>
              <w:rPr>
                <w:sz w:val="20"/>
                <w:szCs w:val="20"/>
                <w:color w:val="auto"/>
              </w:rPr>
            </w:pPr>
            <w:r>
              <w:rPr>
                <w:rFonts w:ascii="Arial" w:cs="Arial" w:eastAsia="Arial" w:hAnsi="Arial"/>
                <w:sz w:val="11"/>
                <w:szCs w:val="11"/>
                <w:color w:val="auto"/>
              </w:rPr>
              <w:t>Wizards Business Area</w:t>
            </w:r>
            <w:r>
              <w:rPr>
                <w:rFonts w:ascii="Arial" w:cs="Arial" w:eastAsia="Arial" w:hAnsi="Arial"/>
                <w:sz w:val="16"/>
                <w:szCs w:val="16"/>
                <w:color w:val="auto"/>
                <w:vertAlign w:val="superscript"/>
              </w:rPr>
              <w:t>1</w:t>
            </w:r>
            <w:r>
              <w:rPr>
                <w:rFonts w:ascii="Arial" w:cs="Arial" w:eastAsia="Arial" w:hAnsi="Arial"/>
                <w:sz w:val="11"/>
                <w:szCs w:val="11"/>
                <w:color w:val="auto"/>
              </w:rPr>
              <w:t xml:space="preserve"> Net Revenue</w:t>
            </w:r>
          </w:p>
        </w:tc>
        <w:tc>
          <w:tcPr>
            <w:tcW w:w="1360" w:type="dxa"/>
            <w:vAlign w:val="bottom"/>
            <w:tcBorders>
              <w:bottom w:val="single" w:sz="8" w:color="009BDE"/>
            </w:tcBorders>
          </w:tcPr>
          <w:p>
            <w:pPr>
              <w:spacing w:after="0"/>
              <w:rPr>
                <w:sz w:val="21"/>
                <w:szCs w:val="21"/>
                <w:color w:val="auto"/>
              </w:rPr>
            </w:pPr>
          </w:p>
        </w:tc>
        <w:tc>
          <w:tcPr>
            <w:tcW w:w="1200" w:type="dxa"/>
            <w:vAlign w:val="bottom"/>
            <w:tcBorders>
              <w:bottom w:val="single" w:sz="8" w:color="009BDE"/>
            </w:tcBorders>
          </w:tcPr>
          <w:p>
            <w:pPr>
              <w:jc w:val="right"/>
              <w:ind w:right="166"/>
              <w:spacing w:after="0"/>
              <w:rPr>
                <w:sz w:val="20"/>
                <w:szCs w:val="20"/>
                <w:color w:val="auto"/>
              </w:rPr>
            </w:pPr>
            <w:r>
              <w:rPr>
                <w:rFonts w:ascii="Arial" w:cs="Arial" w:eastAsia="Arial" w:hAnsi="Arial"/>
                <w:sz w:val="11"/>
                <w:szCs w:val="11"/>
                <w:color w:val="auto"/>
              </w:rPr>
              <w:t>40%</w:t>
            </w:r>
          </w:p>
        </w:tc>
        <w:tc>
          <w:tcPr>
            <w:tcW w:w="1020" w:type="dxa"/>
            <w:vAlign w:val="bottom"/>
            <w:tcBorders>
              <w:bottom w:val="single" w:sz="8" w:color="009BDE"/>
            </w:tcBorders>
          </w:tcPr>
          <w:p>
            <w:pPr>
              <w:spacing w:after="0"/>
              <w:rPr>
                <w:sz w:val="21"/>
                <w:szCs w:val="21"/>
                <w:color w:val="auto"/>
              </w:rPr>
            </w:pPr>
          </w:p>
        </w:tc>
        <w:tc>
          <w:tcPr>
            <w:tcW w:w="900" w:type="dxa"/>
            <w:vAlign w:val="bottom"/>
            <w:tcBorders>
              <w:bottom w:val="single" w:sz="8" w:color="009BDE"/>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860" w:type="dxa"/>
            <w:vAlign w:val="bottom"/>
          </w:tcPr>
          <w:p>
            <w:pPr>
              <w:ind w:left="40"/>
              <w:spacing w:after="0"/>
              <w:rPr>
                <w:sz w:val="20"/>
                <w:szCs w:val="20"/>
                <w:color w:val="auto"/>
              </w:rPr>
            </w:pPr>
            <w:r>
              <w:rPr>
                <w:rFonts w:ascii="Arial" w:cs="Arial" w:eastAsia="Arial" w:hAnsi="Arial"/>
                <w:sz w:val="11"/>
                <w:szCs w:val="11"/>
                <w:color w:val="auto"/>
              </w:rPr>
              <w:t>Wizards Business Areas Operating Profit</w:t>
            </w:r>
          </w:p>
        </w:tc>
        <w:tc>
          <w:tcPr>
            <w:tcW w:w="1360" w:type="dxa"/>
            <w:vAlign w:val="bottom"/>
          </w:tcPr>
          <w:p>
            <w:pPr>
              <w:spacing w:after="0"/>
              <w:rPr>
                <w:sz w:val="15"/>
                <w:szCs w:val="15"/>
                <w:color w:val="auto"/>
              </w:rPr>
            </w:pPr>
          </w:p>
        </w:tc>
        <w:tc>
          <w:tcPr>
            <w:tcW w:w="1200" w:type="dxa"/>
            <w:vAlign w:val="bottom"/>
          </w:tcPr>
          <w:p>
            <w:pPr>
              <w:jc w:val="right"/>
              <w:ind w:right="166"/>
              <w:spacing w:after="0"/>
              <w:rPr>
                <w:sz w:val="20"/>
                <w:szCs w:val="20"/>
                <w:color w:val="auto"/>
              </w:rPr>
            </w:pPr>
            <w:r>
              <w:rPr>
                <w:rFonts w:ascii="Arial" w:cs="Arial" w:eastAsia="Arial" w:hAnsi="Arial"/>
                <w:sz w:val="11"/>
                <w:szCs w:val="11"/>
                <w:color w:val="auto"/>
              </w:rPr>
              <w:t>40%</w:t>
            </w: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860" w:type="dxa"/>
            <w:vAlign w:val="bottom"/>
            <w:tcBorders>
              <w:bottom w:val="single" w:sz="8" w:color="009BDE"/>
            </w:tcBorders>
          </w:tcPr>
          <w:p>
            <w:pPr>
              <w:spacing w:after="0"/>
              <w:rPr>
                <w:sz w:val="5"/>
                <w:szCs w:val="5"/>
                <w:color w:val="auto"/>
              </w:rPr>
            </w:pPr>
          </w:p>
        </w:tc>
        <w:tc>
          <w:tcPr>
            <w:tcW w:w="1360" w:type="dxa"/>
            <w:vAlign w:val="bottom"/>
            <w:tcBorders>
              <w:bottom w:val="single" w:sz="8" w:color="009BDE"/>
            </w:tcBorders>
          </w:tcPr>
          <w:p>
            <w:pPr>
              <w:spacing w:after="0"/>
              <w:rPr>
                <w:sz w:val="5"/>
                <w:szCs w:val="5"/>
                <w:color w:val="auto"/>
              </w:rPr>
            </w:pPr>
          </w:p>
        </w:tc>
        <w:tc>
          <w:tcPr>
            <w:tcW w:w="1200" w:type="dxa"/>
            <w:vAlign w:val="bottom"/>
            <w:tcBorders>
              <w:bottom w:val="single" w:sz="8" w:color="009BDE"/>
            </w:tcBorders>
          </w:tcPr>
          <w:p>
            <w:pPr>
              <w:spacing w:after="0"/>
              <w:rPr>
                <w:sz w:val="5"/>
                <w:szCs w:val="5"/>
                <w:color w:val="auto"/>
              </w:rPr>
            </w:pPr>
          </w:p>
        </w:tc>
        <w:tc>
          <w:tcPr>
            <w:tcW w:w="1020" w:type="dxa"/>
            <w:vAlign w:val="bottom"/>
            <w:tcBorders>
              <w:bottom w:val="single" w:sz="8" w:color="009BDE"/>
            </w:tcBorders>
          </w:tcPr>
          <w:p>
            <w:pPr>
              <w:spacing w:after="0"/>
              <w:rPr>
                <w:sz w:val="5"/>
                <w:szCs w:val="5"/>
                <w:color w:val="auto"/>
              </w:rPr>
            </w:pPr>
          </w:p>
        </w:tc>
        <w:tc>
          <w:tcPr>
            <w:tcW w:w="90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009BDE"/>
            </w:tcBorders>
          </w:tcPr>
          <w:p>
            <w:pPr>
              <w:ind w:left="40"/>
              <w:spacing w:after="0"/>
              <w:rPr>
                <w:sz w:val="20"/>
                <w:szCs w:val="20"/>
                <w:color w:val="auto"/>
              </w:rPr>
            </w:pPr>
            <w:r>
              <w:rPr>
                <w:rFonts w:ascii="Arial" w:cs="Arial" w:eastAsia="Arial" w:hAnsi="Arial"/>
                <w:sz w:val="11"/>
                <w:szCs w:val="11"/>
                <w:color w:val="auto"/>
              </w:rPr>
              <w:t>HCP Business Area</w:t>
            </w:r>
            <w:r>
              <w:rPr>
                <w:rFonts w:ascii="Arial" w:cs="Arial" w:eastAsia="Arial" w:hAnsi="Arial"/>
                <w:sz w:val="16"/>
                <w:szCs w:val="16"/>
                <w:color w:val="auto"/>
                <w:vertAlign w:val="superscript"/>
              </w:rPr>
              <w:t>2</w:t>
            </w:r>
            <w:r>
              <w:rPr>
                <w:rFonts w:ascii="Arial" w:cs="Arial" w:eastAsia="Arial" w:hAnsi="Arial"/>
                <w:sz w:val="11"/>
                <w:szCs w:val="11"/>
                <w:color w:val="auto"/>
              </w:rPr>
              <w:t xml:space="preserve"> Net Revenue</w:t>
            </w:r>
          </w:p>
        </w:tc>
        <w:tc>
          <w:tcPr>
            <w:tcW w:w="1360" w:type="dxa"/>
            <w:vAlign w:val="bottom"/>
            <w:tcBorders>
              <w:bottom w:val="single" w:sz="8" w:color="009BDE"/>
            </w:tcBorders>
          </w:tcPr>
          <w:p>
            <w:pPr>
              <w:spacing w:after="0"/>
              <w:rPr>
                <w:sz w:val="21"/>
                <w:szCs w:val="21"/>
                <w:color w:val="auto"/>
              </w:rPr>
            </w:pPr>
          </w:p>
        </w:tc>
        <w:tc>
          <w:tcPr>
            <w:tcW w:w="1200" w:type="dxa"/>
            <w:vAlign w:val="bottom"/>
            <w:tcBorders>
              <w:bottom w:val="single" w:sz="8" w:color="009BDE"/>
            </w:tcBorders>
          </w:tcPr>
          <w:p>
            <w:pPr>
              <w:spacing w:after="0"/>
              <w:rPr>
                <w:sz w:val="21"/>
                <w:szCs w:val="21"/>
                <w:color w:val="auto"/>
              </w:rPr>
            </w:pPr>
          </w:p>
        </w:tc>
        <w:tc>
          <w:tcPr>
            <w:tcW w:w="1020" w:type="dxa"/>
            <w:vAlign w:val="bottom"/>
            <w:tcBorders>
              <w:bottom w:val="single" w:sz="8" w:color="009BDE"/>
            </w:tcBorders>
          </w:tcPr>
          <w:p>
            <w:pPr>
              <w:jc w:val="right"/>
              <w:ind w:right="106"/>
              <w:spacing w:after="0"/>
              <w:rPr>
                <w:sz w:val="20"/>
                <w:szCs w:val="20"/>
                <w:color w:val="auto"/>
              </w:rPr>
            </w:pPr>
            <w:r>
              <w:rPr>
                <w:rFonts w:ascii="Arial" w:cs="Arial" w:eastAsia="Arial" w:hAnsi="Arial"/>
                <w:sz w:val="11"/>
                <w:szCs w:val="11"/>
                <w:color w:val="auto"/>
              </w:rPr>
              <w:t>40%</w:t>
            </w:r>
          </w:p>
        </w:tc>
        <w:tc>
          <w:tcPr>
            <w:tcW w:w="900" w:type="dxa"/>
            <w:vAlign w:val="bottom"/>
            <w:tcBorders>
              <w:bottom w:val="single" w:sz="8" w:color="009BDE"/>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860" w:type="dxa"/>
            <w:vAlign w:val="bottom"/>
          </w:tcPr>
          <w:p>
            <w:pPr>
              <w:ind w:left="40"/>
              <w:spacing w:after="0"/>
              <w:rPr>
                <w:sz w:val="20"/>
                <w:szCs w:val="20"/>
                <w:color w:val="auto"/>
              </w:rPr>
            </w:pPr>
            <w:r>
              <w:rPr>
                <w:rFonts w:ascii="Arial" w:cs="Arial" w:eastAsia="Arial" w:hAnsi="Arial"/>
                <w:sz w:val="11"/>
                <w:szCs w:val="11"/>
                <w:color w:val="auto"/>
              </w:rPr>
              <w:t>HCP Business Area Operating Profit Margin</w:t>
            </w:r>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40%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860" w:type="dxa"/>
            <w:vAlign w:val="bottom"/>
            <w:tcBorders>
              <w:bottom w:val="single" w:sz="8" w:color="009BDE"/>
            </w:tcBorders>
          </w:tcPr>
          <w:p>
            <w:pPr>
              <w:spacing w:after="0"/>
              <w:rPr>
                <w:sz w:val="5"/>
                <w:szCs w:val="5"/>
                <w:color w:val="auto"/>
              </w:rPr>
            </w:pPr>
          </w:p>
        </w:tc>
        <w:tc>
          <w:tcPr>
            <w:tcW w:w="1360" w:type="dxa"/>
            <w:vAlign w:val="bottom"/>
            <w:tcBorders>
              <w:bottom w:val="single" w:sz="8" w:color="009BDE"/>
            </w:tcBorders>
          </w:tcPr>
          <w:p>
            <w:pPr>
              <w:spacing w:after="0"/>
              <w:rPr>
                <w:sz w:val="5"/>
                <w:szCs w:val="5"/>
                <w:color w:val="auto"/>
              </w:rPr>
            </w:pPr>
          </w:p>
        </w:tc>
        <w:tc>
          <w:tcPr>
            <w:tcW w:w="1200" w:type="dxa"/>
            <w:vAlign w:val="bottom"/>
            <w:tcBorders>
              <w:bottom w:val="single" w:sz="8" w:color="009BDE"/>
            </w:tcBorders>
          </w:tcPr>
          <w:p>
            <w:pPr>
              <w:spacing w:after="0"/>
              <w:rPr>
                <w:sz w:val="5"/>
                <w:szCs w:val="5"/>
                <w:color w:val="auto"/>
              </w:rPr>
            </w:pPr>
          </w:p>
        </w:tc>
        <w:tc>
          <w:tcPr>
            <w:tcW w:w="1020" w:type="dxa"/>
            <w:vAlign w:val="bottom"/>
            <w:tcBorders>
              <w:bottom w:val="single" w:sz="8" w:color="009BDE"/>
            </w:tcBorders>
          </w:tcPr>
          <w:p>
            <w:pPr>
              <w:spacing w:after="0"/>
              <w:rPr>
                <w:sz w:val="5"/>
                <w:szCs w:val="5"/>
                <w:color w:val="auto"/>
              </w:rPr>
            </w:pPr>
          </w:p>
        </w:tc>
        <w:tc>
          <w:tcPr>
            <w:tcW w:w="90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009BDE"/>
            </w:tcBorders>
          </w:tcPr>
          <w:p>
            <w:pPr>
              <w:ind w:left="40"/>
              <w:spacing w:after="0"/>
              <w:rPr>
                <w:sz w:val="20"/>
                <w:szCs w:val="20"/>
                <w:color w:val="auto"/>
              </w:rPr>
            </w:pPr>
            <w:r>
              <w:rPr>
                <w:rFonts w:ascii="Arial" w:cs="Arial" w:eastAsia="Arial" w:hAnsi="Arial"/>
                <w:sz w:val="11"/>
                <w:szCs w:val="11"/>
                <w:color w:val="auto"/>
              </w:rPr>
              <w:t>Entertainment Business Area</w:t>
            </w:r>
            <w:r>
              <w:rPr>
                <w:rFonts w:ascii="Arial" w:cs="Arial" w:eastAsia="Arial" w:hAnsi="Arial"/>
                <w:sz w:val="16"/>
                <w:szCs w:val="16"/>
                <w:color w:val="auto"/>
                <w:vertAlign w:val="superscript"/>
              </w:rPr>
              <w:t>3</w:t>
            </w:r>
            <w:r>
              <w:rPr>
                <w:rFonts w:ascii="Arial" w:cs="Arial" w:eastAsia="Arial" w:hAnsi="Arial"/>
                <w:sz w:val="11"/>
                <w:szCs w:val="11"/>
                <w:color w:val="auto"/>
              </w:rPr>
              <w:t xml:space="preserve"> Net Revenue</w:t>
            </w:r>
          </w:p>
        </w:tc>
        <w:tc>
          <w:tcPr>
            <w:tcW w:w="1360" w:type="dxa"/>
            <w:vAlign w:val="bottom"/>
            <w:tcBorders>
              <w:bottom w:val="single" w:sz="8" w:color="009BDE"/>
            </w:tcBorders>
          </w:tcPr>
          <w:p>
            <w:pPr>
              <w:spacing w:after="0"/>
              <w:rPr>
                <w:sz w:val="21"/>
                <w:szCs w:val="21"/>
                <w:color w:val="auto"/>
              </w:rPr>
            </w:pPr>
          </w:p>
        </w:tc>
        <w:tc>
          <w:tcPr>
            <w:tcW w:w="1200" w:type="dxa"/>
            <w:vAlign w:val="bottom"/>
            <w:tcBorders>
              <w:bottom w:val="single" w:sz="8" w:color="009BDE"/>
            </w:tcBorders>
          </w:tcPr>
          <w:p>
            <w:pPr>
              <w:spacing w:after="0"/>
              <w:rPr>
                <w:sz w:val="21"/>
                <w:szCs w:val="21"/>
                <w:color w:val="auto"/>
              </w:rPr>
            </w:pPr>
          </w:p>
        </w:tc>
        <w:tc>
          <w:tcPr>
            <w:tcW w:w="1020" w:type="dxa"/>
            <w:vAlign w:val="bottom"/>
            <w:tcBorders>
              <w:bottom w:val="single" w:sz="8" w:color="009BDE"/>
            </w:tcBorders>
          </w:tcPr>
          <w:p>
            <w:pPr>
              <w:spacing w:after="0"/>
              <w:rPr>
                <w:sz w:val="21"/>
                <w:szCs w:val="21"/>
                <w:color w:val="auto"/>
              </w:rPr>
            </w:pPr>
          </w:p>
        </w:tc>
        <w:tc>
          <w:tcPr>
            <w:tcW w:w="900" w:type="dxa"/>
            <w:vAlign w:val="bottom"/>
            <w:tcBorders>
              <w:bottom w:val="single" w:sz="8" w:color="009BDE"/>
            </w:tcBorders>
          </w:tcPr>
          <w:p>
            <w:pPr>
              <w:jc w:val="right"/>
              <w:ind w:right="46"/>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83"/>
        </w:trPr>
        <w:tc>
          <w:tcPr>
            <w:tcW w:w="2860" w:type="dxa"/>
            <w:vAlign w:val="bottom"/>
          </w:tcPr>
          <w:p>
            <w:pPr>
              <w:ind w:left="40"/>
              <w:spacing w:after="0"/>
              <w:rPr>
                <w:sz w:val="20"/>
                <w:szCs w:val="20"/>
                <w:color w:val="auto"/>
              </w:rPr>
            </w:pPr>
            <w:r>
              <w:rPr>
                <w:rFonts w:ascii="Arial" w:cs="Arial" w:eastAsia="Arial" w:hAnsi="Arial"/>
                <w:sz w:val="11"/>
                <w:szCs w:val="11"/>
                <w:color w:val="auto"/>
              </w:rPr>
              <w:t>Entertainment Business Area Operating Profit Margin</w:t>
            </w:r>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42545</wp:posOffset>
            </wp:positionV>
            <wp:extent cx="4663440" cy="571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13" w:lineRule="exact"/>
        <w:rPr>
          <w:sz w:val="20"/>
          <w:szCs w:val="20"/>
          <w:color w:val="auto"/>
        </w:rPr>
      </w:pPr>
    </w:p>
    <w:p>
      <w:pPr>
        <w:ind w:left="2260" w:right="1219" w:hanging="288"/>
        <w:spacing w:after="0" w:line="232" w:lineRule="auto"/>
        <w:tabs>
          <w:tab w:leader="none" w:pos="2260" w:val="left"/>
        </w:tabs>
        <w:numPr>
          <w:ilvl w:val="0"/>
          <w:numId w:val="40"/>
        </w:numPr>
        <w:rPr>
          <w:rFonts w:ascii="Arial" w:cs="Arial" w:eastAsia="Arial" w:hAnsi="Arial"/>
          <w:sz w:val="10"/>
          <w:szCs w:val="10"/>
          <w:color w:val="auto"/>
        </w:rPr>
      </w:pPr>
      <w:r>
        <w:rPr>
          <w:rFonts w:ascii="Arial" w:cs="Arial" w:eastAsia="Arial" w:hAnsi="Arial"/>
          <w:sz w:val="10"/>
          <w:szCs w:val="10"/>
          <w:color w:val="auto"/>
        </w:rPr>
        <w:t>For Ms. Williams, the Committee established annual incentive performance metrics that were based on both Company performance and Wizards of the Coast performance, including digital gaming relating to Wizards brands (“Wizards Business Area”).</w:t>
      </w:r>
    </w:p>
    <w:p>
      <w:pPr>
        <w:spacing w:after="0" w:line="47" w:lineRule="exact"/>
        <w:rPr>
          <w:rFonts w:ascii="Arial" w:cs="Arial" w:eastAsia="Arial" w:hAnsi="Arial"/>
          <w:sz w:val="10"/>
          <w:szCs w:val="10"/>
          <w:color w:val="auto"/>
        </w:rPr>
      </w:pPr>
    </w:p>
    <w:p>
      <w:pPr>
        <w:ind w:left="2260" w:right="1159" w:hanging="288"/>
        <w:spacing w:after="0" w:line="232" w:lineRule="auto"/>
        <w:tabs>
          <w:tab w:leader="none" w:pos="2260" w:val="left"/>
        </w:tabs>
        <w:numPr>
          <w:ilvl w:val="0"/>
          <w:numId w:val="40"/>
        </w:numPr>
        <w:rPr>
          <w:rFonts w:ascii="Arial" w:cs="Arial" w:eastAsia="Arial" w:hAnsi="Arial"/>
          <w:sz w:val="10"/>
          <w:szCs w:val="10"/>
          <w:color w:val="auto"/>
        </w:rPr>
      </w:pPr>
      <w:r>
        <w:rPr>
          <w:rFonts w:ascii="Arial" w:cs="Arial" w:eastAsia="Arial" w:hAnsi="Arial"/>
          <w:sz w:val="10"/>
          <w:szCs w:val="10"/>
          <w:color w:val="auto"/>
        </w:rPr>
        <w:t>For Mr. Nyman, the Committee established annual incentive award metrics that were based on both Company performance and the performance of the Hasbro Consumer Products (“HCP”) business.</w:t>
      </w:r>
    </w:p>
    <w:p>
      <w:pPr>
        <w:spacing w:after="0" w:line="47" w:lineRule="exact"/>
        <w:rPr>
          <w:rFonts w:ascii="Arial" w:cs="Arial" w:eastAsia="Arial" w:hAnsi="Arial"/>
          <w:sz w:val="10"/>
          <w:szCs w:val="10"/>
          <w:color w:val="auto"/>
        </w:rPr>
      </w:pPr>
    </w:p>
    <w:p>
      <w:pPr>
        <w:ind w:left="2260" w:right="1119" w:hanging="288"/>
        <w:spacing w:after="0" w:line="232" w:lineRule="auto"/>
        <w:tabs>
          <w:tab w:leader="none" w:pos="2260" w:val="left"/>
        </w:tabs>
        <w:numPr>
          <w:ilvl w:val="0"/>
          <w:numId w:val="40"/>
        </w:numPr>
        <w:rPr>
          <w:rFonts w:ascii="Arial" w:cs="Arial" w:eastAsia="Arial" w:hAnsi="Arial"/>
          <w:sz w:val="10"/>
          <w:szCs w:val="10"/>
          <w:color w:val="auto"/>
        </w:rPr>
      </w:pPr>
      <w:r>
        <w:rPr>
          <w:rFonts w:ascii="Arial" w:cs="Arial" w:eastAsia="Arial" w:hAnsi="Arial"/>
          <w:sz w:val="10"/>
          <w:szCs w:val="10"/>
          <w:color w:val="auto"/>
        </w:rPr>
        <w:t>For Mr. Throop, the Committee established annual incentive award metrics that were consistent with the terms of his employment agreement and based on both Company performance and the performance of the Entertainment business area (“Entertainment Business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56515</wp:posOffset>
            </wp:positionV>
            <wp:extent cx="3971925" cy="21717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27"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41</w:t>
      </w:r>
    </w:p>
    <w:p>
      <w:pPr>
        <w:sectPr>
          <w:pgSz w:w="11900" w:h="16838" w:orient="portrait"/>
          <w:cols w:equalWidth="0" w:num="1">
            <w:col w:w="10159"/>
          </w:cols>
          <w:pgMar w:left="300" w:top="372" w:right="1440" w:bottom="1440" w:gutter="0" w:footer="0" w:header="0"/>
        </w:sectPr>
      </w:pPr>
    </w:p>
    <w:bookmarkStart w:id="63" w:name="page64"/>
    <w:bookmarkEnd w:id="6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839"/>
        <w:spacing w:after="0" w:line="269" w:lineRule="auto"/>
        <w:rPr>
          <w:sz w:val="20"/>
          <w:szCs w:val="20"/>
          <w:color w:val="auto"/>
        </w:rPr>
      </w:pPr>
      <w:r>
        <w:rPr>
          <w:rFonts w:ascii="Arial" w:cs="Arial" w:eastAsia="Arial" w:hAnsi="Arial"/>
          <w:sz w:val="10"/>
          <w:szCs w:val="10"/>
          <w:color w:val="auto"/>
        </w:rPr>
        <w:t>The Company’s performance goals were set with the objective of achieving strong financial results while continuing with the Company’s transformation to a branded play and entertainment leader, and the business area performance goals were set with the objective of achieving strong profitable revenue growth. The Committee believes these performance metrics capture the most important aspects of the top and bottom-line performance of the Company, the Wizards Business Area, the Hasbro Consumer Products Business Area and the Entertainment Business Area, in the form of revenue, profitability and, solely with respect to Company performance, cash generation. The relative weighting among the performance metrics aligns with the relative importance of those metrics, in the Committee’s view, to the Company and business area’s performance and the strength of the Company’s business.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009BDE"/>
        </w:rPr>
        <w:t>Calculation of 2022 Annual Incentive Payout</w:t>
      </w:r>
    </w:p>
    <w:p>
      <w:pPr>
        <w:spacing w:after="0" w:line="8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tables below show the calculation of 2022 annual incentive award for each eligible NEO.</w:t>
      </w:r>
    </w:p>
    <w:p>
      <w:pPr>
        <w:spacing w:after="0" w:line="204"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009BDE"/>
        </w:rPr>
        <w:t>Mr. Cocks and Ms. Thomas 2022 Calculated Annual Incentive Payout</w:t>
      </w:r>
    </w:p>
    <w:p>
      <w:pPr>
        <w:spacing w:after="0" w:line="172" w:lineRule="exact"/>
        <w:rPr>
          <w:sz w:val="20"/>
          <w:szCs w:val="20"/>
          <w:color w:val="auto"/>
        </w:rPr>
      </w:pPr>
    </w:p>
    <w:tbl>
      <w:tblPr>
        <w:tblLayout w:type="fixed"/>
        <w:tblInd w:w="1980" w:type="dxa"/>
        <w:tblCellMar>
          <w:top w:w="0" w:type="dxa"/>
          <w:left w:w="0" w:type="dxa"/>
          <w:bottom w:w="0" w:type="dxa"/>
          <w:right w:w="0" w:type="dxa"/>
        </w:tblCellMar>
      </w:tblPr>
      <w:tr>
        <w:trPr>
          <w:trHeight w:val="160"/>
        </w:trPr>
        <w:tc>
          <w:tcPr>
            <w:tcW w:w="2840" w:type="dxa"/>
            <w:vAlign w:val="bottom"/>
            <w:shd w:val="clear" w:color="auto" w:fill="CCEBF8"/>
          </w:tcPr>
          <w:p>
            <w:pPr>
              <w:spacing w:after="0"/>
              <w:rPr>
                <w:sz w:val="13"/>
                <w:szCs w:val="13"/>
                <w:color w:val="auto"/>
              </w:rPr>
            </w:pPr>
          </w:p>
        </w:tc>
        <w:tc>
          <w:tcPr>
            <w:tcW w:w="1120" w:type="dxa"/>
            <w:vAlign w:val="bottom"/>
            <w:shd w:val="clear" w:color="auto" w:fill="CCEBF8"/>
          </w:tcPr>
          <w:p>
            <w:pPr>
              <w:spacing w:after="0"/>
              <w:rPr>
                <w:sz w:val="13"/>
                <w:szCs w:val="13"/>
                <w:color w:val="auto"/>
              </w:rPr>
            </w:pPr>
          </w:p>
        </w:tc>
        <w:tc>
          <w:tcPr>
            <w:tcW w:w="860" w:type="dxa"/>
            <w:vAlign w:val="bottom"/>
            <w:shd w:val="clear" w:color="auto" w:fill="CCEBF8"/>
          </w:tcPr>
          <w:p>
            <w:pPr>
              <w:spacing w:after="0"/>
              <w:rPr>
                <w:sz w:val="13"/>
                <w:szCs w:val="13"/>
                <w:color w:val="auto"/>
              </w:rPr>
            </w:pPr>
          </w:p>
        </w:tc>
        <w:tc>
          <w:tcPr>
            <w:tcW w:w="980" w:type="dxa"/>
            <w:vAlign w:val="bottom"/>
            <w:shd w:val="clear" w:color="auto" w:fill="CCEBF8"/>
          </w:tcPr>
          <w:p>
            <w:pPr>
              <w:jc w:val="right"/>
              <w:ind w:right="206"/>
              <w:spacing w:after="0"/>
              <w:rPr>
                <w:sz w:val="20"/>
                <w:szCs w:val="20"/>
                <w:color w:val="auto"/>
              </w:rPr>
            </w:pPr>
            <w:r>
              <w:rPr>
                <w:rFonts w:ascii="Arial" w:cs="Arial" w:eastAsia="Arial" w:hAnsi="Arial"/>
                <w:sz w:val="11"/>
                <w:szCs w:val="11"/>
                <w:b w:val="1"/>
                <w:bCs w:val="1"/>
                <w:color w:val="009BDE"/>
              </w:rPr>
              <w:t>Percentage</w:t>
            </w:r>
          </w:p>
        </w:tc>
        <w:tc>
          <w:tcPr>
            <w:tcW w:w="840" w:type="dxa"/>
            <w:vAlign w:val="bottom"/>
            <w:shd w:val="clear" w:color="auto" w:fill="CCEBF8"/>
          </w:tcPr>
          <w:p>
            <w:pPr>
              <w:jc w:val="right"/>
              <w:ind w:right="206"/>
              <w:spacing w:after="0"/>
              <w:rPr>
                <w:sz w:val="20"/>
                <w:szCs w:val="20"/>
                <w:color w:val="auto"/>
              </w:rPr>
            </w:pPr>
            <w:r>
              <w:rPr>
                <w:rFonts w:ascii="Arial" w:cs="Arial" w:eastAsia="Arial" w:hAnsi="Arial"/>
                <w:sz w:val="11"/>
                <w:szCs w:val="11"/>
                <w:b w:val="1"/>
                <w:bCs w:val="1"/>
                <w:color w:val="009BDE"/>
              </w:rPr>
              <w:t>Payout</w:t>
            </w:r>
          </w:p>
        </w:tc>
        <w:tc>
          <w:tcPr>
            <w:tcW w:w="700" w:type="dxa"/>
            <w:vAlign w:val="bottom"/>
            <w:shd w:val="clear" w:color="auto" w:fill="CCEBF8"/>
          </w:tcPr>
          <w:p>
            <w:pPr>
              <w:jc w:val="right"/>
              <w:ind w:right="86"/>
              <w:spacing w:after="0"/>
              <w:rPr>
                <w:sz w:val="20"/>
                <w:szCs w:val="20"/>
                <w:color w:val="auto"/>
              </w:rPr>
            </w:pPr>
            <w:r>
              <w:rPr>
                <w:rFonts w:ascii="Arial" w:cs="Arial" w:eastAsia="Arial" w:hAnsi="Arial"/>
                <w:sz w:val="11"/>
                <w:szCs w:val="11"/>
                <w:b w:val="1"/>
                <w:bCs w:val="1"/>
                <w:color w:val="009BDE"/>
              </w:rPr>
              <w:t>Weighted</w:t>
            </w:r>
          </w:p>
        </w:tc>
      </w:tr>
      <w:tr>
        <w:trPr>
          <w:trHeight w:val="142"/>
        </w:trPr>
        <w:tc>
          <w:tcPr>
            <w:tcW w:w="2840" w:type="dxa"/>
            <w:vAlign w:val="bottom"/>
            <w:shd w:val="clear" w:color="auto" w:fill="CCEBF8"/>
          </w:tcPr>
          <w:p>
            <w:pPr>
              <w:spacing w:after="0"/>
              <w:rPr>
                <w:sz w:val="12"/>
                <w:szCs w:val="12"/>
                <w:color w:val="auto"/>
              </w:rPr>
            </w:pPr>
          </w:p>
        </w:tc>
        <w:tc>
          <w:tcPr>
            <w:tcW w:w="1120" w:type="dxa"/>
            <w:vAlign w:val="bottom"/>
            <w:shd w:val="clear" w:color="auto" w:fill="CCEBF8"/>
          </w:tcPr>
          <w:p>
            <w:pPr>
              <w:jc w:val="right"/>
              <w:ind w:right="366"/>
              <w:spacing w:after="0"/>
              <w:rPr>
                <w:sz w:val="20"/>
                <w:szCs w:val="20"/>
                <w:color w:val="auto"/>
              </w:rPr>
            </w:pPr>
            <w:r>
              <w:rPr>
                <w:rFonts w:ascii="Arial" w:cs="Arial" w:eastAsia="Arial" w:hAnsi="Arial"/>
                <w:sz w:val="11"/>
                <w:szCs w:val="11"/>
                <w:b w:val="1"/>
                <w:bCs w:val="1"/>
                <w:color w:val="009BDE"/>
              </w:rPr>
              <w:t>Goal</w:t>
            </w:r>
          </w:p>
        </w:tc>
        <w:tc>
          <w:tcPr>
            <w:tcW w:w="860" w:type="dxa"/>
            <w:vAlign w:val="bottom"/>
            <w:shd w:val="clear" w:color="auto" w:fill="CCEBF8"/>
          </w:tcPr>
          <w:p>
            <w:pPr>
              <w:jc w:val="right"/>
              <w:ind w:right="306"/>
              <w:spacing w:after="0"/>
              <w:rPr>
                <w:sz w:val="20"/>
                <w:szCs w:val="20"/>
                <w:color w:val="auto"/>
              </w:rPr>
            </w:pPr>
            <w:r>
              <w:rPr>
                <w:rFonts w:ascii="Arial" w:cs="Arial" w:eastAsia="Arial" w:hAnsi="Arial"/>
                <w:sz w:val="11"/>
                <w:szCs w:val="11"/>
                <w:b w:val="1"/>
                <w:bCs w:val="1"/>
                <w:color w:val="009BDE"/>
              </w:rPr>
              <w:t>Actual</w:t>
            </w:r>
          </w:p>
        </w:tc>
        <w:tc>
          <w:tcPr>
            <w:tcW w:w="980" w:type="dxa"/>
            <w:vAlign w:val="bottom"/>
            <w:shd w:val="clear" w:color="auto" w:fill="CCEBF8"/>
          </w:tcPr>
          <w:p>
            <w:pPr>
              <w:jc w:val="right"/>
              <w:ind w:right="166"/>
              <w:spacing w:after="0"/>
              <w:rPr>
                <w:sz w:val="20"/>
                <w:szCs w:val="20"/>
                <w:color w:val="auto"/>
              </w:rPr>
            </w:pPr>
            <w:r>
              <w:rPr>
                <w:rFonts w:ascii="Arial" w:cs="Arial" w:eastAsia="Arial" w:hAnsi="Arial"/>
                <w:sz w:val="11"/>
                <w:szCs w:val="11"/>
                <w:b w:val="1"/>
                <w:bCs w:val="1"/>
                <w:color w:val="009BDE"/>
              </w:rPr>
              <w:t>Achievement</w:t>
            </w:r>
          </w:p>
        </w:tc>
        <w:tc>
          <w:tcPr>
            <w:tcW w:w="840" w:type="dxa"/>
            <w:vAlign w:val="bottom"/>
            <w:shd w:val="clear" w:color="auto" w:fill="CCEBF8"/>
          </w:tcPr>
          <w:p>
            <w:pPr>
              <w:jc w:val="right"/>
              <w:ind w:right="86"/>
              <w:spacing w:after="0"/>
              <w:rPr>
                <w:sz w:val="20"/>
                <w:szCs w:val="20"/>
                <w:color w:val="auto"/>
              </w:rPr>
            </w:pPr>
            <w:r>
              <w:rPr>
                <w:rFonts w:ascii="Arial" w:cs="Arial" w:eastAsia="Arial" w:hAnsi="Arial"/>
                <w:sz w:val="11"/>
                <w:szCs w:val="11"/>
                <w:b w:val="1"/>
                <w:bCs w:val="1"/>
                <w:color w:val="009BDE"/>
              </w:rPr>
              <w:t>Percentage</w:t>
            </w:r>
          </w:p>
        </w:tc>
        <w:tc>
          <w:tcPr>
            <w:tcW w:w="700" w:type="dxa"/>
            <w:vAlign w:val="bottom"/>
            <w:shd w:val="clear" w:color="auto" w:fill="CCEBF8"/>
          </w:tcPr>
          <w:p>
            <w:pPr>
              <w:jc w:val="right"/>
              <w:ind w:right="146"/>
              <w:spacing w:after="0"/>
              <w:rPr>
                <w:sz w:val="20"/>
                <w:szCs w:val="20"/>
                <w:color w:val="auto"/>
              </w:rPr>
            </w:pPr>
            <w:r>
              <w:rPr>
                <w:rFonts w:ascii="Arial" w:cs="Arial" w:eastAsia="Arial" w:hAnsi="Arial"/>
                <w:sz w:val="11"/>
                <w:szCs w:val="11"/>
                <w:b w:val="1"/>
                <w:bCs w:val="1"/>
                <w:color w:val="009BDE"/>
              </w:rPr>
              <w:t>Payout</w:t>
            </w:r>
          </w:p>
        </w:tc>
      </w:tr>
      <w:tr>
        <w:trPr>
          <w:trHeight w:val="103"/>
        </w:trPr>
        <w:tc>
          <w:tcPr>
            <w:tcW w:w="2840" w:type="dxa"/>
            <w:vAlign w:val="bottom"/>
            <w:tcBorders>
              <w:bottom w:val="single" w:sz="8" w:color="009BDE"/>
            </w:tcBorders>
            <w:shd w:val="clear" w:color="auto" w:fill="CCEBF8"/>
          </w:tcPr>
          <w:p>
            <w:pPr>
              <w:spacing w:after="0"/>
              <w:rPr>
                <w:sz w:val="8"/>
                <w:szCs w:val="8"/>
                <w:color w:val="auto"/>
              </w:rPr>
            </w:pPr>
          </w:p>
        </w:tc>
        <w:tc>
          <w:tcPr>
            <w:tcW w:w="1120" w:type="dxa"/>
            <w:vAlign w:val="bottom"/>
            <w:tcBorders>
              <w:bottom w:val="single" w:sz="8" w:color="009BDE"/>
            </w:tcBorders>
            <w:shd w:val="clear" w:color="auto" w:fill="CCEBF8"/>
          </w:tcPr>
          <w:p>
            <w:pPr>
              <w:spacing w:after="0"/>
              <w:rPr>
                <w:sz w:val="8"/>
                <w:szCs w:val="8"/>
                <w:color w:val="auto"/>
              </w:rPr>
            </w:pPr>
          </w:p>
        </w:tc>
        <w:tc>
          <w:tcPr>
            <w:tcW w:w="860" w:type="dxa"/>
            <w:vAlign w:val="bottom"/>
            <w:tcBorders>
              <w:bottom w:val="single" w:sz="8" w:color="009BDE"/>
            </w:tcBorders>
            <w:shd w:val="clear" w:color="auto" w:fill="CCEBF8"/>
          </w:tcPr>
          <w:p>
            <w:pPr>
              <w:spacing w:after="0"/>
              <w:rPr>
                <w:sz w:val="8"/>
                <w:szCs w:val="8"/>
                <w:color w:val="auto"/>
              </w:rPr>
            </w:pPr>
          </w:p>
        </w:tc>
        <w:tc>
          <w:tcPr>
            <w:tcW w:w="980" w:type="dxa"/>
            <w:vAlign w:val="bottom"/>
            <w:tcBorders>
              <w:bottom w:val="single" w:sz="8" w:color="009BDE"/>
            </w:tcBorders>
            <w:shd w:val="clear" w:color="auto" w:fill="CCEBF8"/>
          </w:tcPr>
          <w:p>
            <w:pPr>
              <w:spacing w:after="0"/>
              <w:rPr>
                <w:sz w:val="8"/>
                <w:szCs w:val="8"/>
                <w:color w:val="auto"/>
              </w:rPr>
            </w:pPr>
          </w:p>
        </w:tc>
        <w:tc>
          <w:tcPr>
            <w:tcW w:w="840" w:type="dxa"/>
            <w:vAlign w:val="bottom"/>
            <w:tcBorders>
              <w:bottom w:val="single" w:sz="8" w:color="009BDE"/>
            </w:tcBorders>
            <w:shd w:val="clear" w:color="auto" w:fill="CCEBF8"/>
          </w:tcPr>
          <w:p>
            <w:pPr>
              <w:spacing w:after="0"/>
              <w:rPr>
                <w:sz w:val="8"/>
                <w:szCs w:val="8"/>
                <w:color w:val="auto"/>
              </w:rPr>
            </w:pPr>
          </w:p>
        </w:tc>
        <w:tc>
          <w:tcPr>
            <w:tcW w:w="700" w:type="dxa"/>
            <w:vAlign w:val="bottom"/>
            <w:tcBorders>
              <w:bottom w:val="single" w:sz="8" w:color="009BDE"/>
            </w:tcBorders>
            <w:shd w:val="clear" w:color="auto" w:fill="CCEBF8"/>
          </w:tcPr>
          <w:p>
            <w:pPr>
              <w:spacing w:after="0"/>
              <w:rPr>
                <w:sz w:val="8"/>
                <w:szCs w:val="8"/>
                <w:color w:val="auto"/>
              </w:rPr>
            </w:pPr>
          </w:p>
        </w:tc>
      </w:tr>
      <w:tr>
        <w:trPr>
          <w:trHeight w:val="183"/>
        </w:trPr>
        <w:tc>
          <w:tcPr>
            <w:tcW w:w="2840" w:type="dxa"/>
            <w:vAlign w:val="bottom"/>
          </w:tcPr>
          <w:p>
            <w:pPr>
              <w:ind w:left="40"/>
              <w:spacing w:after="0"/>
              <w:rPr>
                <w:sz w:val="20"/>
                <w:szCs w:val="20"/>
                <w:color w:val="auto"/>
              </w:rPr>
            </w:pPr>
            <w:r>
              <w:rPr>
                <w:rFonts w:ascii="Arial" w:cs="Arial" w:eastAsia="Arial" w:hAnsi="Arial"/>
                <w:sz w:val="11"/>
                <w:szCs w:val="11"/>
                <w:color w:val="auto"/>
              </w:rPr>
              <w:t>Company Net Revenue (Weighted 40%)</w:t>
            </w:r>
          </w:p>
        </w:tc>
        <w:tc>
          <w:tcPr>
            <w:tcW w:w="1120" w:type="dxa"/>
            <w:vAlign w:val="bottom"/>
          </w:tcPr>
          <w:p>
            <w:pPr>
              <w:jc w:val="right"/>
              <w:ind w:right="206"/>
              <w:spacing w:after="0"/>
              <w:rPr>
                <w:sz w:val="20"/>
                <w:szCs w:val="20"/>
                <w:color w:val="auto"/>
              </w:rPr>
            </w:pPr>
            <w:r>
              <w:rPr>
                <w:rFonts w:ascii="Arial" w:cs="Arial" w:eastAsia="Arial" w:hAnsi="Arial"/>
                <w:sz w:val="11"/>
                <w:szCs w:val="11"/>
                <w:color w:val="auto"/>
              </w:rPr>
              <w:t>$6,565,655</w:t>
            </w:r>
          </w:p>
        </w:tc>
        <w:tc>
          <w:tcPr>
            <w:tcW w:w="860" w:type="dxa"/>
            <w:vAlign w:val="bottom"/>
          </w:tcPr>
          <w:p>
            <w:pPr>
              <w:jc w:val="right"/>
              <w:ind w:right="186"/>
              <w:spacing w:after="0"/>
              <w:rPr>
                <w:sz w:val="20"/>
                <w:szCs w:val="20"/>
                <w:color w:val="auto"/>
              </w:rPr>
            </w:pPr>
            <w:r>
              <w:rPr>
                <w:rFonts w:ascii="Arial" w:cs="Arial" w:eastAsia="Arial" w:hAnsi="Arial"/>
                <w:sz w:val="11"/>
                <w:szCs w:val="11"/>
                <w:color w:val="auto"/>
              </w:rPr>
              <w:t>$5,856,655</w:t>
            </w:r>
          </w:p>
        </w:tc>
        <w:tc>
          <w:tcPr>
            <w:tcW w:w="980" w:type="dxa"/>
            <w:vAlign w:val="bottom"/>
          </w:tcPr>
          <w:p>
            <w:pPr>
              <w:jc w:val="right"/>
              <w:ind w:right="166"/>
              <w:spacing w:after="0"/>
              <w:rPr>
                <w:sz w:val="20"/>
                <w:szCs w:val="20"/>
                <w:color w:val="auto"/>
              </w:rPr>
            </w:pPr>
            <w:r>
              <w:rPr>
                <w:rFonts w:ascii="Arial" w:cs="Arial" w:eastAsia="Arial" w:hAnsi="Arial"/>
                <w:sz w:val="11"/>
                <w:szCs w:val="11"/>
                <w:color w:val="auto"/>
              </w:rPr>
              <w:t>89%</w:t>
            </w: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71%</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28%</w:t>
            </w:r>
          </w:p>
        </w:tc>
      </w:tr>
      <w:tr>
        <w:trPr>
          <w:trHeight w:val="67"/>
        </w:trPr>
        <w:tc>
          <w:tcPr>
            <w:tcW w:w="2840" w:type="dxa"/>
            <w:vAlign w:val="bottom"/>
            <w:tcBorders>
              <w:bottom w:val="single" w:sz="8" w:color="009BDE"/>
            </w:tcBorders>
          </w:tcPr>
          <w:p>
            <w:pPr>
              <w:spacing w:after="0"/>
              <w:rPr>
                <w:sz w:val="5"/>
                <w:szCs w:val="5"/>
                <w:color w:val="auto"/>
              </w:rPr>
            </w:pPr>
          </w:p>
        </w:tc>
        <w:tc>
          <w:tcPr>
            <w:tcW w:w="112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r>
      <w:tr>
        <w:trPr>
          <w:trHeight w:val="183"/>
        </w:trPr>
        <w:tc>
          <w:tcPr>
            <w:tcW w:w="2840" w:type="dxa"/>
            <w:vAlign w:val="bottom"/>
          </w:tcPr>
          <w:p>
            <w:pPr>
              <w:ind w:left="40"/>
              <w:spacing w:after="0"/>
              <w:rPr>
                <w:sz w:val="20"/>
                <w:szCs w:val="20"/>
                <w:color w:val="auto"/>
              </w:rPr>
            </w:pPr>
            <w:r>
              <w:rPr>
                <w:rFonts w:ascii="Arial" w:cs="Arial" w:eastAsia="Arial" w:hAnsi="Arial"/>
                <w:sz w:val="11"/>
                <w:szCs w:val="11"/>
                <w:color w:val="auto"/>
              </w:rPr>
              <w:t>Company Operating Profit Margin (Weighted 40%)</w:t>
            </w:r>
          </w:p>
        </w:tc>
        <w:tc>
          <w:tcPr>
            <w:tcW w:w="1120" w:type="dxa"/>
            <w:vAlign w:val="bottom"/>
          </w:tcPr>
          <w:p>
            <w:pPr>
              <w:jc w:val="right"/>
              <w:ind w:right="206"/>
              <w:spacing w:after="0"/>
              <w:rPr>
                <w:sz w:val="20"/>
                <w:szCs w:val="20"/>
                <w:color w:val="auto"/>
              </w:rPr>
            </w:pPr>
            <w:r>
              <w:rPr>
                <w:rFonts w:ascii="Arial" w:cs="Arial" w:eastAsia="Arial" w:hAnsi="Arial"/>
                <w:sz w:val="11"/>
                <w:szCs w:val="11"/>
                <w:color w:val="auto"/>
              </w:rPr>
              <w:t>15.6%</w:t>
            </w:r>
          </w:p>
        </w:tc>
        <w:tc>
          <w:tcPr>
            <w:tcW w:w="860" w:type="dxa"/>
            <w:vAlign w:val="bottom"/>
          </w:tcPr>
          <w:p>
            <w:pPr>
              <w:jc w:val="right"/>
              <w:ind w:right="186"/>
              <w:spacing w:after="0"/>
              <w:rPr>
                <w:sz w:val="20"/>
                <w:szCs w:val="20"/>
                <w:color w:val="auto"/>
              </w:rPr>
            </w:pPr>
            <w:r>
              <w:rPr>
                <w:rFonts w:ascii="Arial" w:cs="Arial" w:eastAsia="Arial" w:hAnsi="Arial"/>
                <w:sz w:val="11"/>
                <w:szCs w:val="11"/>
                <w:color w:val="auto"/>
              </w:rPr>
              <w:t>15.8%</w:t>
            </w:r>
          </w:p>
        </w:tc>
        <w:tc>
          <w:tcPr>
            <w:tcW w:w="980" w:type="dxa"/>
            <w:vAlign w:val="bottom"/>
          </w:tcPr>
          <w:p>
            <w:pPr>
              <w:jc w:val="right"/>
              <w:ind w:right="166"/>
              <w:spacing w:after="0"/>
              <w:rPr>
                <w:sz w:val="20"/>
                <w:szCs w:val="20"/>
                <w:color w:val="auto"/>
              </w:rPr>
            </w:pPr>
            <w:r>
              <w:rPr>
                <w:rFonts w:ascii="Arial" w:cs="Arial" w:eastAsia="Arial" w:hAnsi="Arial"/>
                <w:sz w:val="11"/>
                <w:szCs w:val="11"/>
                <w:color w:val="auto"/>
              </w:rPr>
              <w:t>101%</w:t>
            </w: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104%</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42%</w:t>
            </w:r>
          </w:p>
        </w:tc>
      </w:tr>
      <w:tr>
        <w:trPr>
          <w:trHeight w:val="67"/>
        </w:trPr>
        <w:tc>
          <w:tcPr>
            <w:tcW w:w="2840" w:type="dxa"/>
            <w:vAlign w:val="bottom"/>
            <w:tcBorders>
              <w:bottom w:val="single" w:sz="8" w:color="009BDE"/>
            </w:tcBorders>
          </w:tcPr>
          <w:p>
            <w:pPr>
              <w:spacing w:after="0"/>
              <w:rPr>
                <w:sz w:val="5"/>
                <w:szCs w:val="5"/>
                <w:color w:val="auto"/>
              </w:rPr>
            </w:pPr>
          </w:p>
        </w:tc>
        <w:tc>
          <w:tcPr>
            <w:tcW w:w="112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r>
      <w:tr>
        <w:trPr>
          <w:trHeight w:val="183"/>
        </w:trPr>
        <w:tc>
          <w:tcPr>
            <w:tcW w:w="2840" w:type="dxa"/>
            <w:vAlign w:val="bottom"/>
          </w:tcPr>
          <w:p>
            <w:pPr>
              <w:ind w:left="40"/>
              <w:spacing w:after="0"/>
              <w:rPr>
                <w:sz w:val="20"/>
                <w:szCs w:val="20"/>
                <w:color w:val="auto"/>
              </w:rPr>
            </w:pPr>
            <w:r>
              <w:rPr>
                <w:rFonts w:ascii="Arial" w:cs="Arial" w:eastAsia="Arial" w:hAnsi="Arial"/>
                <w:sz w:val="11"/>
                <w:szCs w:val="11"/>
                <w:color w:val="auto"/>
              </w:rPr>
              <w:t>Company Free Cash Flow (Weighted 20%)</w:t>
            </w:r>
          </w:p>
        </w:tc>
        <w:tc>
          <w:tcPr>
            <w:tcW w:w="1120" w:type="dxa"/>
            <w:vAlign w:val="bottom"/>
          </w:tcPr>
          <w:p>
            <w:pPr>
              <w:jc w:val="right"/>
              <w:ind w:right="206"/>
              <w:spacing w:after="0"/>
              <w:rPr>
                <w:sz w:val="20"/>
                <w:szCs w:val="20"/>
                <w:color w:val="auto"/>
              </w:rPr>
            </w:pPr>
            <w:r>
              <w:rPr>
                <w:rFonts w:ascii="Arial" w:cs="Arial" w:eastAsia="Arial" w:hAnsi="Arial"/>
                <w:sz w:val="11"/>
                <w:szCs w:val="11"/>
                <w:color w:val="auto"/>
              </w:rPr>
              <w:t>$  544,000</w:t>
            </w:r>
          </w:p>
        </w:tc>
        <w:tc>
          <w:tcPr>
            <w:tcW w:w="860" w:type="dxa"/>
            <w:vAlign w:val="bottom"/>
          </w:tcPr>
          <w:p>
            <w:pPr>
              <w:jc w:val="right"/>
              <w:ind w:right="186"/>
              <w:spacing w:after="0"/>
              <w:rPr>
                <w:sz w:val="20"/>
                <w:szCs w:val="20"/>
                <w:color w:val="auto"/>
              </w:rPr>
            </w:pPr>
            <w:r>
              <w:rPr>
                <w:rFonts w:ascii="Arial" w:cs="Arial" w:eastAsia="Arial" w:hAnsi="Arial"/>
                <w:sz w:val="11"/>
                <w:szCs w:val="11"/>
                <w:color w:val="auto"/>
              </w:rPr>
              <w:t>$  215,022</w:t>
            </w:r>
          </w:p>
        </w:tc>
        <w:tc>
          <w:tcPr>
            <w:tcW w:w="980" w:type="dxa"/>
            <w:vAlign w:val="bottom"/>
          </w:tcPr>
          <w:p>
            <w:pPr>
              <w:jc w:val="right"/>
              <w:ind w:right="166"/>
              <w:spacing w:after="0"/>
              <w:rPr>
                <w:sz w:val="20"/>
                <w:szCs w:val="20"/>
                <w:color w:val="auto"/>
              </w:rPr>
            </w:pPr>
            <w:r>
              <w:rPr>
                <w:rFonts w:ascii="Arial" w:cs="Arial" w:eastAsia="Arial" w:hAnsi="Arial"/>
                <w:sz w:val="11"/>
                <w:szCs w:val="11"/>
                <w:color w:val="auto"/>
              </w:rPr>
              <w:t>39%</w:t>
            </w: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0%</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0%</w:t>
            </w:r>
          </w:p>
        </w:tc>
      </w:tr>
      <w:tr>
        <w:trPr>
          <w:trHeight w:val="67"/>
        </w:trPr>
        <w:tc>
          <w:tcPr>
            <w:tcW w:w="2840" w:type="dxa"/>
            <w:vAlign w:val="bottom"/>
            <w:tcBorders>
              <w:bottom w:val="single" w:sz="8" w:color="009BDE"/>
            </w:tcBorders>
          </w:tcPr>
          <w:p>
            <w:pPr>
              <w:spacing w:after="0"/>
              <w:rPr>
                <w:sz w:val="5"/>
                <w:szCs w:val="5"/>
                <w:color w:val="auto"/>
              </w:rPr>
            </w:pPr>
          </w:p>
        </w:tc>
        <w:tc>
          <w:tcPr>
            <w:tcW w:w="112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1820" w:type="dxa"/>
            <w:vAlign w:val="bottom"/>
            <w:tcBorders>
              <w:bottom w:val="single" w:sz="8" w:color="009BDE"/>
            </w:tcBorders>
            <w:gridSpan w:val="2"/>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r>
      <w:tr>
        <w:trPr>
          <w:trHeight w:val="183"/>
        </w:trPr>
        <w:tc>
          <w:tcPr>
            <w:tcW w:w="2840" w:type="dxa"/>
            <w:vAlign w:val="bottom"/>
          </w:tcPr>
          <w:p>
            <w:pPr>
              <w:ind w:left="40"/>
              <w:spacing w:after="0"/>
              <w:rPr>
                <w:sz w:val="20"/>
                <w:szCs w:val="20"/>
                <w:color w:val="auto"/>
              </w:rPr>
            </w:pPr>
            <w:r>
              <w:rPr>
                <w:rFonts w:ascii="Arial" w:cs="Arial" w:eastAsia="Arial" w:hAnsi="Arial"/>
                <w:sz w:val="11"/>
                <w:szCs w:val="11"/>
                <w:color w:val="auto"/>
              </w:rPr>
              <w:t>All numbers are in thousands, except percentages</w:t>
            </w: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gridSpan w:val="2"/>
          </w:tcPr>
          <w:p>
            <w:pPr>
              <w:jc w:val="right"/>
              <w:ind w:right="86"/>
              <w:spacing w:after="0"/>
              <w:rPr>
                <w:sz w:val="20"/>
                <w:szCs w:val="20"/>
                <w:color w:val="auto"/>
              </w:rPr>
            </w:pPr>
            <w:r>
              <w:rPr>
                <w:rFonts w:ascii="Arial" w:cs="Arial" w:eastAsia="Arial" w:hAnsi="Arial"/>
                <w:sz w:val="11"/>
                <w:szCs w:val="11"/>
                <w:color w:val="auto"/>
              </w:rPr>
              <w:t>Total Weighted Payout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70%</w:t>
            </w:r>
          </w:p>
        </w:tc>
      </w:tr>
      <w:tr>
        <w:trPr>
          <w:trHeight w:val="67"/>
        </w:trPr>
        <w:tc>
          <w:tcPr>
            <w:tcW w:w="2840" w:type="dxa"/>
            <w:vAlign w:val="bottom"/>
            <w:tcBorders>
              <w:bottom w:val="single" w:sz="8" w:color="009BDE"/>
            </w:tcBorders>
          </w:tcPr>
          <w:p>
            <w:pPr>
              <w:spacing w:after="0"/>
              <w:rPr>
                <w:sz w:val="5"/>
                <w:szCs w:val="5"/>
                <w:color w:val="auto"/>
              </w:rPr>
            </w:pPr>
          </w:p>
        </w:tc>
        <w:tc>
          <w:tcPr>
            <w:tcW w:w="112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r>
      <w:tr>
        <w:trPr>
          <w:trHeight w:val="336"/>
        </w:trPr>
        <w:tc>
          <w:tcPr>
            <w:tcW w:w="2840" w:type="dxa"/>
            <w:vAlign w:val="bottom"/>
          </w:tcPr>
          <w:p>
            <w:pPr>
              <w:spacing w:after="0"/>
              <w:rPr>
                <w:sz w:val="20"/>
                <w:szCs w:val="20"/>
                <w:color w:val="auto"/>
              </w:rPr>
            </w:pPr>
            <w:r>
              <w:rPr>
                <w:rFonts w:ascii="Arial" w:cs="Arial" w:eastAsia="Arial" w:hAnsi="Arial"/>
                <w:sz w:val="11"/>
                <w:szCs w:val="11"/>
                <w:b w:val="1"/>
                <w:bCs w:val="1"/>
                <w:i w:val="1"/>
                <w:iCs w:val="1"/>
                <w:color w:val="009BDE"/>
                <w:w w:val="98"/>
              </w:rPr>
              <w:t>Ms. Williams’ 2022 Calculated Annual Incentive Payout</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57"/>
        </w:trPr>
        <w:tc>
          <w:tcPr>
            <w:tcW w:w="2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2840" w:type="dxa"/>
            <w:vAlign w:val="bottom"/>
            <w:shd w:val="clear" w:color="auto" w:fill="CCEBF8"/>
          </w:tcPr>
          <w:p>
            <w:pPr>
              <w:spacing w:after="0"/>
              <w:rPr>
                <w:sz w:val="13"/>
                <w:szCs w:val="13"/>
                <w:color w:val="auto"/>
              </w:rPr>
            </w:pPr>
          </w:p>
        </w:tc>
        <w:tc>
          <w:tcPr>
            <w:tcW w:w="1120" w:type="dxa"/>
            <w:vAlign w:val="bottom"/>
            <w:shd w:val="clear" w:color="auto" w:fill="CCEBF8"/>
          </w:tcPr>
          <w:p>
            <w:pPr>
              <w:spacing w:after="0"/>
              <w:rPr>
                <w:sz w:val="13"/>
                <w:szCs w:val="13"/>
                <w:color w:val="auto"/>
              </w:rPr>
            </w:pPr>
          </w:p>
        </w:tc>
        <w:tc>
          <w:tcPr>
            <w:tcW w:w="860" w:type="dxa"/>
            <w:vAlign w:val="bottom"/>
            <w:shd w:val="clear" w:color="auto" w:fill="CCEBF8"/>
          </w:tcPr>
          <w:p>
            <w:pPr>
              <w:spacing w:after="0"/>
              <w:rPr>
                <w:sz w:val="13"/>
                <w:szCs w:val="13"/>
                <w:color w:val="auto"/>
              </w:rPr>
            </w:pPr>
          </w:p>
        </w:tc>
        <w:tc>
          <w:tcPr>
            <w:tcW w:w="980" w:type="dxa"/>
            <w:vAlign w:val="bottom"/>
            <w:shd w:val="clear" w:color="auto" w:fill="CCEBF8"/>
          </w:tcPr>
          <w:p>
            <w:pPr>
              <w:jc w:val="right"/>
              <w:ind w:right="106"/>
              <w:spacing w:after="0"/>
              <w:rPr>
                <w:sz w:val="20"/>
                <w:szCs w:val="20"/>
                <w:color w:val="auto"/>
              </w:rPr>
            </w:pPr>
            <w:r>
              <w:rPr>
                <w:rFonts w:ascii="Arial" w:cs="Arial" w:eastAsia="Arial" w:hAnsi="Arial"/>
                <w:sz w:val="11"/>
                <w:szCs w:val="11"/>
                <w:b w:val="1"/>
                <w:bCs w:val="1"/>
                <w:color w:val="009BDE"/>
              </w:rPr>
              <w:t>Percentage</w:t>
            </w:r>
          </w:p>
        </w:tc>
        <w:tc>
          <w:tcPr>
            <w:tcW w:w="840" w:type="dxa"/>
            <w:vAlign w:val="bottom"/>
            <w:shd w:val="clear" w:color="auto" w:fill="CCEBF8"/>
          </w:tcPr>
          <w:p>
            <w:pPr>
              <w:jc w:val="right"/>
              <w:ind w:right="146"/>
              <w:spacing w:after="0"/>
              <w:rPr>
                <w:sz w:val="20"/>
                <w:szCs w:val="20"/>
                <w:color w:val="auto"/>
              </w:rPr>
            </w:pPr>
            <w:r>
              <w:rPr>
                <w:rFonts w:ascii="Arial" w:cs="Arial" w:eastAsia="Arial" w:hAnsi="Arial"/>
                <w:sz w:val="11"/>
                <w:szCs w:val="11"/>
                <w:b w:val="1"/>
                <w:bCs w:val="1"/>
                <w:color w:val="009BDE"/>
              </w:rPr>
              <w:t>Payout</w:t>
            </w:r>
          </w:p>
        </w:tc>
        <w:tc>
          <w:tcPr>
            <w:tcW w:w="700" w:type="dxa"/>
            <w:vAlign w:val="bottom"/>
            <w:shd w:val="clear" w:color="auto" w:fill="CCEBF8"/>
          </w:tcPr>
          <w:p>
            <w:pPr>
              <w:jc w:val="right"/>
              <w:ind w:right="26"/>
              <w:spacing w:after="0"/>
              <w:rPr>
                <w:sz w:val="20"/>
                <w:szCs w:val="20"/>
                <w:color w:val="auto"/>
              </w:rPr>
            </w:pPr>
            <w:r>
              <w:rPr>
                <w:rFonts w:ascii="Arial" w:cs="Arial" w:eastAsia="Arial" w:hAnsi="Arial"/>
                <w:sz w:val="11"/>
                <w:szCs w:val="11"/>
                <w:b w:val="1"/>
                <w:bCs w:val="1"/>
                <w:color w:val="009BDE"/>
              </w:rPr>
              <w:t>Weighted</w:t>
            </w:r>
          </w:p>
        </w:tc>
      </w:tr>
      <w:tr>
        <w:trPr>
          <w:trHeight w:val="142"/>
        </w:trPr>
        <w:tc>
          <w:tcPr>
            <w:tcW w:w="2840" w:type="dxa"/>
            <w:vAlign w:val="bottom"/>
            <w:shd w:val="clear" w:color="auto" w:fill="CCEBF8"/>
          </w:tcPr>
          <w:p>
            <w:pPr>
              <w:spacing w:after="0"/>
              <w:rPr>
                <w:sz w:val="12"/>
                <w:szCs w:val="12"/>
                <w:color w:val="auto"/>
              </w:rPr>
            </w:pPr>
          </w:p>
        </w:tc>
        <w:tc>
          <w:tcPr>
            <w:tcW w:w="1120" w:type="dxa"/>
            <w:vAlign w:val="bottom"/>
            <w:shd w:val="clear" w:color="auto" w:fill="CCEBF8"/>
          </w:tcPr>
          <w:p>
            <w:pPr>
              <w:jc w:val="right"/>
              <w:ind w:right="186"/>
              <w:spacing w:after="0"/>
              <w:rPr>
                <w:sz w:val="20"/>
                <w:szCs w:val="20"/>
                <w:color w:val="auto"/>
              </w:rPr>
            </w:pPr>
            <w:r>
              <w:rPr>
                <w:rFonts w:ascii="Arial" w:cs="Arial" w:eastAsia="Arial" w:hAnsi="Arial"/>
                <w:sz w:val="11"/>
                <w:szCs w:val="11"/>
                <w:b w:val="1"/>
                <w:bCs w:val="1"/>
                <w:color w:val="009BDE"/>
              </w:rPr>
              <w:t>Goal</w:t>
            </w:r>
          </w:p>
        </w:tc>
        <w:tc>
          <w:tcPr>
            <w:tcW w:w="860" w:type="dxa"/>
            <w:vAlign w:val="bottom"/>
            <w:shd w:val="clear" w:color="auto" w:fill="CCEBF8"/>
          </w:tcPr>
          <w:p>
            <w:pPr>
              <w:jc w:val="right"/>
              <w:ind w:right="166"/>
              <w:spacing w:after="0"/>
              <w:rPr>
                <w:sz w:val="20"/>
                <w:szCs w:val="20"/>
                <w:color w:val="auto"/>
              </w:rPr>
            </w:pPr>
            <w:r>
              <w:rPr>
                <w:rFonts w:ascii="Arial" w:cs="Arial" w:eastAsia="Arial" w:hAnsi="Arial"/>
                <w:sz w:val="11"/>
                <w:szCs w:val="11"/>
                <w:b w:val="1"/>
                <w:bCs w:val="1"/>
                <w:color w:val="009BDE"/>
              </w:rPr>
              <w:t>Actual</w:t>
            </w:r>
          </w:p>
        </w:tc>
        <w:tc>
          <w:tcPr>
            <w:tcW w:w="980" w:type="dxa"/>
            <w:vAlign w:val="bottom"/>
            <w:shd w:val="clear" w:color="auto" w:fill="CCEBF8"/>
          </w:tcPr>
          <w:p>
            <w:pPr>
              <w:jc w:val="right"/>
              <w:ind w:right="66"/>
              <w:spacing w:after="0"/>
              <w:rPr>
                <w:sz w:val="20"/>
                <w:szCs w:val="20"/>
                <w:color w:val="auto"/>
              </w:rPr>
            </w:pPr>
            <w:r>
              <w:rPr>
                <w:rFonts w:ascii="Arial" w:cs="Arial" w:eastAsia="Arial" w:hAnsi="Arial"/>
                <w:sz w:val="11"/>
                <w:szCs w:val="11"/>
                <w:b w:val="1"/>
                <w:bCs w:val="1"/>
                <w:color w:val="009BDE"/>
              </w:rPr>
              <w:t>Achievement</w:t>
            </w:r>
          </w:p>
        </w:tc>
        <w:tc>
          <w:tcPr>
            <w:tcW w:w="840" w:type="dxa"/>
            <w:vAlign w:val="bottom"/>
            <w:shd w:val="clear" w:color="auto" w:fill="CCEBF8"/>
          </w:tcPr>
          <w:p>
            <w:pPr>
              <w:jc w:val="right"/>
              <w:ind w:right="26"/>
              <w:spacing w:after="0"/>
              <w:rPr>
                <w:sz w:val="20"/>
                <w:szCs w:val="20"/>
                <w:color w:val="auto"/>
              </w:rPr>
            </w:pPr>
            <w:r>
              <w:rPr>
                <w:rFonts w:ascii="Arial" w:cs="Arial" w:eastAsia="Arial" w:hAnsi="Arial"/>
                <w:sz w:val="11"/>
                <w:szCs w:val="11"/>
                <w:b w:val="1"/>
                <w:bCs w:val="1"/>
                <w:color w:val="009BDE"/>
              </w:rPr>
              <w:t>Percentage</w:t>
            </w:r>
          </w:p>
        </w:tc>
        <w:tc>
          <w:tcPr>
            <w:tcW w:w="700" w:type="dxa"/>
            <w:vAlign w:val="bottom"/>
            <w:shd w:val="clear" w:color="auto" w:fill="CCEBF8"/>
          </w:tcPr>
          <w:p>
            <w:pPr>
              <w:jc w:val="right"/>
              <w:ind w:right="86"/>
              <w:spacing w:after="0"/>
              <w:rPr>
                <w:sz w:val="20"/>
                <w:szCs w:val="20"/>
                <w:color w:val="auto"/>
              </w:rPr>
            </w:pPr>
            <w:r>
              <w:rPr>
                <w:rFonts w:ascii="Arial" w:cs="Arial" w:eastAsia="Arial" w:hAnsi="Arial"/>
                <w:sz w:val="11"/>
                <w:szCs w:val="11"/>
                <w:b w:val="1"/>
                <w:bCs w:val="1"/>
                <w:color w:val="009BDE"/>
              </w:rPr>
              <w:t>Payout</w:t>
            </w:r>
          </w:p>
        </w:tc>
      </w:tr>
      <w:tr>
        <w:trPr>
          <w:trHeight w:val="103"/>
        </w:trPr>
        <w:tc>
          <w:tcPr>
            <w:tcW w:w="2840" w:type="dxa"/>
            <w:vAlign w:val="bottom"/>
            <w:tcBorders>
              <w:bottom w:val="single" w:sz="8" w:color="009BDE"/>
            </w:tcBorders>
            <w:shd w:val="clear" w:color="auto" w:fill="CCEBF8"/>
          </w:tcPr>
          <w:p>
            <w:pPr>
              <w:spacing w:after="0"/>
              <w:rPr>
                <w:sz w:val="8"/>
                <w:szCs w:val="8"/>
                <w:color w:val="auto"/>
              </w:rPr>
            </w:pPr>
          </w:p>
        </w:tc>
        <w:tc>
          <w:tcPr>
            <w:tcW w:w="1120" w:type="dxa"/>
            <w:vAlign w:val="bottom"/>
            <w:tcBorders>
              <w:bottom w:val="single" w:sz="8" w:color="009BDE"/>
            </w:tcBorders>
            <w:shd w:val="clear" w:color="auto" w:fill="CCEBF8"/>
          </w:tcPr>
          <w:p>
            <w:pPr>
              <w:spacing w:after="0"/>
              <w:rPr>
                <w:sz w:val="8"/>
                <w:szCs w:val="8"/>
                <w:color w:val="auto"/>
              </w:rPr>
            </w:pPr>
          </w:p>
        </w:tc>
        <w:tc>
          <w:tcPr>
            <w:tcW w:w="860" w:type="dxa"/>
            <w:vAlign w:val="bottom"/>
            <w:tcBorders>
              <w:bottom w:val="single" w:sz="8" w:color="009BDE"/>
            </w:tcBorders>
            <w:shd w:val="clear" w:color="auto" w:fill="CCEBF8"/>
          </w:tcPr>
          <w:p>
            <w:pPr>
              <w:spacing w:after="0"/>
              <w:rPr>
                <w:sz w:val="8"/>
                <w:szCs w:val="8"/>
                <w:color w:val="auto"/>
              </w:rPr>
            </w:pPr>
          </w:p>
        </w:tc>
        <w:tc>
          <w:tcPr>
            <w:tcW w:w="980" w:type="dxa"/>
            <w:vAlign w:val="bottom"/>
            <w:tcBorders>
              <w:bottom w:val="single" w:sz="8" w:color="009BDE"/>
            </w:tcBorders>
            <w:shd w:val="clear" w:color="auto" w:fill="CCEBF8"/>
          </w:tcPr>
          <w:p>
            <w:pPr>
              <w:spacing w:after="0"/>
              <w:rPr>
                <w:sz w:val="8"/>
                <w:szCs w:val="8"/>
                <w:color w:val="auto"/>
              </w:rPr>
            </w:pPr>
          </w:p>
        </w:tc>
        <w:tc>
          <w:tcPr>
            <w:tcW w:w="840" w:type="dxa"/>
            <w:vAlign w:val="bottom"/>
            <w:tcBorders>
              <w:bottom w:val="single" w:sz="8" w:color="009BDE"/>
            </w:tcBorders>
            <w:shd w:val="clear" w:color="auto" w:fill="CCEBF8"/>
          </w:tcPr>
          <w:p>
            <w:pPr>
              <w:spacing w:after="0"/>
              <w:rPr>
                <w:sz w:val="8"/>
                <w:szCs w:val="8"/>
                <w:color w:val="auto"/>
              </w:rPr>
            </w:pPr>
          </w:p>
        </w:tc>
        <w:tc>
          <w:tcPr>
            <w:tcW w:w="700" w:type="dxa"/>
            <w:vAlign w:val="bottom"/>
            <w:tcBorders>
              <w:bottom w:val="single" w:sz="8" w:color="009BDE"/>
            </w:tcBorders>
            <w:shd w:val="clear" w:color="auto" w:fill="CCEBF8"/>
          </w:tcPr>
          <w:p>
            <w:pPr>
              <w:spacing w:after="0"/>
              <w:rPr>
                <w:sz w:val="8"/>
                <w:szCs w:val="8"/>
                <w:color w:val="auto"/>
              </w:rPr>
            </w:pPr>
          </w:p>
        </w:tc>
      </w:tr>
      <w:tr>
        <w:trPr>
          <w:trHeight w:val="183"/>
        </w:trPr>
        <w:tc>
          <w:tcPr>
            <w:tcW w:w="2840" w:type="dxa"/>
            <w:vAlign w:val="bottom"/>
          </w:tcPr>
          <w:p>
            <w:pPr>
              <w:ind w:left="40"/>
              <w:spacing w:after="0"/>
              <w:rPr>
                <w:sz w:val="20"/>
                <w:szCs w:val="20"/>
                <w:color w:val="auto"/>
              </w:rPr>
            </w:pPr>
            <w:r>
              <w:rPr>
                <w:rFonts w:ascii="Arial" w:cs="Arial" w:eastAsia="Arial" w:hAnsi="Arial"/>
                <w:sz w:val="11"/>
                <w:szCs w:val="11"/>
                <w:color w:val="auto"/>
              </w:rPr>
              <w:t>Wizards Business Area Net Revenue (Weighted 40%)</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$1,351,181</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$1,347,003</w:t>
            </w: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100%</w:t>
            </w: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100%</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40%</w:t>
            </w:r>
          </w:p>
        </w:tc>
      </w:tr>
      <w:tr>
        <w:trPr>
          <w:trHeight w:val="67"/>
        </w:trPr>
        <w:tc>
          <w:tcPr>
            <w:tcW w:w="2840" w:type="dxa"/>
            <w:vAlign w:val="bottom"/>
            <w:tcBorders>
              <w:bottom w:val="single" w:sz="8" w:color="009BDE"/>
            </w:tcBorders>
          </w:tcPr>
          <w:p>
            <w:pPr>
              <w:spacing w:after="0"/>
              <w:rPr>
                <w:sz w:val="5"/>
                <w:szCs w:val="5"/>
                <w:color w:val="auto"/>
              </w:rPr>
            </w:pPr>
          </w:p>
        </w:tc>
        <w:tc>
          <w:tcPr>
            <w:tcW w:w="112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r>
      <w:tr>
        <w:trPr>
          <w:trHeight w:val="179"/>
        </w:trPr>
        <w:tc>
          <w:tcPr>
            <w:tcW w:w="2840" w:type="dxa"/>
            <w:vAlign w:val="bottom"/>
          </w:tcPr>
          <w:p>
            <w:pPr>
              <w:ind w:left="40"/>
              <w:spacing w:after="0"/>
              <w:rPr>
                <w:sz w:val="20"/>
                <w:szCs w:val="20"/>
                <w:color w:val="auto"/>
              </w:rPr>
            </w:pPr>
            <w:r>
              <w:rPr>
                <w:rFonts w:ascii="Arial" w:cs="Arial" w:eastAsia="Arial" w:hAnsi="Arial"/>
                <w:sz w:val="11"/>
                <w:szCs w:val="11"/>
                <w:color w:val="auto"/>
                <w:w w:val="97"/>
              </w:rPr>
              <w:t>Wizards Business Area Operating Profit Margin (Weighted</w:t>
            </w: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0"/>
        </w:trPr>
        <w:tc>
          <w:tcPr>
            <w:tcW w:w="2840" w:type="dxa"/>
            <w:vAlign w:val="bottom"/>
          </w:tcPr>
          <w:p>
            <w:pPr>
              <w:ind w:left="40"/>
              <w:spacing w:after="0"/>
              <w:rPr>
                <w:sz w:val="20"/>
                <w:szCs w:val="20"/>
                <w:color w:val="auto"/>
              </w:rPr>
            </w:pPr>
            <w:r>
              <w:rPr>
                <w:rFonts w:ascii="Arial" w:cs="Arial" w:eastAsia="Arial" w:hAnsi="Arial"/>
                <w:sz w:val="11"/>
                <w:szCs w:val="11"/>
                <w:color w:val="auto"/>
              </w:rPr>
              <w:t>40%))</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41.27%</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40.68%</w:t>
            </w: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99%</w:t>
            </w: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98%</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39.20%</w:t>
            </w:r>
          </w:p>
        </w:tc>
      </w:tr>
      <w:tr>
        <w:trPr>
          <w:trHeight w:val="67"/>
        </w:trPr>
        <w:tc>
          <w:tcPr>
            <w:tcW w:w="2840" w:type="dxa"/>
            <w:vAlign w:val="bottom"/>
            <w:tcBorders>
              <w:bottom w:val="single" w:sz="8" w:color="009BDE"/>
            </w:tcBorders>
          </w:tcPr>
          <w:p>
            <w:pPr>
              <w:spacing w:after="0"/>
              <w:rPr>
                <w:sz w:val="5"/>
                <w:szCs w:val="5"/>
                <w:color w:val="auto"/>
              </w:rPr>
            </w:pPr>
          </w:p>
        </w:tc>
        <w:tc>
          <w:tcPr>
            <w:tcW w:w="112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r>
      <w:tr>
        <w:trPr>
          <w:trHeight w:val="183"/>
        </w:trPr>
        <w:tc>
          <w:tcPr>
            <w:tcW w:w="2840" w:type="dxa"/>
            <w:vAlign w:val="bottom"/>
          </w:tcPr>
          <w:p>
            <w:pPr>
              <w:ind w:left="40"/>
              <w:spacing w:after="0"/>
              <w:rPr>
                <w:sz w:val="20"/>
                <w:szCs w:val="20"/>
                <w:color w:val="auto"/>
              </w:rPr>
            </w:pPr>
            <w:r>
              <w:rPr>
                <w:rFonts w:ascii="Arial" w:cs="Arial" w:eastAsia="Arial" w:hAnsi="Arial"/>
                <w:sz w:val="11"/>
                <w:szCs w:val="11"/>
                <w:color w:val="auto"/>
              </w:rPr>
              <w:t>Company Weighted Payout* (Weighted 20%)</w:t>
            </w: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70%</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14%</w:t>
            </w:r>
          </w:p>
        </w:tc>
      </w:tr>
      <w:tr>
        <w:trPr>
          <w:trHeight w:val="67"/>
        </w:trPr>
        <w:tc>
          <w:tcPr>
            <w:tcW w:w="2840" w:type="dxa"/>
            <w:vAlign w:val="bottom"/>
            <w:tcBorders>
              <w:bottom w:val="single" w:sz="8" w:color="009BDE"/>
            </w:tcBorders>
          </w:tcPr>
          <w:p>
            <w:pPr>
              <w:spacing w:after="0"/>
              <w:rPr>
                <w:sz w:val="5"/>
                <w:szCs w:val="5"/>
                <w:color w:val="auto"/>
              </w:rPr>
            </w:pPr>
          </w:p>
        </w:tc>
        <w:tc>
          <w:tcPr>
            <w:tcW w:w="112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1820" w:type="dxa"/>
            <w:vAlign w:val="bottom"/>
            <w:tcBorders>
              <w:bottom w:val="single" w:sz="8" w:color="009BDE"/>
            </w:tcBorders>
            <w:gridSpan w:val="2"/>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r>
      <w:tr>
        <w:trPr>
          <w:trHeight w:val="183"/>
        </w:trPr>
        <w:tc>
          <w:tcPr>
            <w:tcW w:w="2840" w:type="dxa"/>
            <w:vAlign w:val="bottom"/>
          </w:tcPr>
          <w:p>
            <w:pPr>
              <w:ind w:left="40"/>
              <w:spacing w:after="0"/>
              <w:rPr>
                <w:sz w:val="20"/>
                <w:szCs w:val="20"/>
                <w:color w:val="auto"/>
              </w:rPr>
            </w:pPr>
            <w:r>
              <w:rPr>
                <w:rFonts w:ascii="Arial" w:cs="Arial" w:eastAsia="Arial" w:hAnsi="Arial"/>
                <w:sz w:val="11"/>
                <w:szCs w:val="11"/>
                <w:color w:val="auto"/>
              </w:rPr>
              <w:t>All numbers are in thousands, except percentages</w:t>
            </w: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gridSpan w:val="2"/>
          </w:tcPr>
          <w:p>
            <w:pPr>
              <w:jc w:val="right"/>
              <w:ind w:right="26"/>
              <w:spacing w:after="0"/>
              <w:rPr>
                <w:sz w:val="20"/>
                <w:szCs w:val="20"/>
                <w:color w:val="auto"/>
              </w:rPr>
            </w:pPr>
            <w:r>
              <w:rPr>
                <w:rFonts w:ascii="Arial" w:cs="Arial" w:eastAsia="Arial" w:hAnsi="Arial"/>
                <w:sz w:val="11"/>
                <w:szCs w:val="11"/>
                <w:color w:val="auto"/>
              </w:rPr>
              <w:t>Total Weighted Payout</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93.20%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42545</wp:posOffset>
            </wp:positionV>
            <wp:extent cx="4663440" cy="571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Note: For the Business Area to have a payout both Business Area metrics must achieve the minimum threshold.</w:t>
      </w:r>
    </w:p>
    <w:p>
      <w:pPr>
        <w:spacing w:after="0" w:line="55" w:lineRule="exact"/>
        <w:rPr>
          <w:sz w:val="20"/>
          <w:szCs w:val="20"/>
          <w:color w:val="auto"/>
        </w:rPr>
      </w:pPr>
    </w:p>
    <w:p>
      <w:pPr>
        <w:ind w:left="2260" w:right="999" w:hanging="288"/>
        <w:spacing w:after="0" w:line="232" w:lineRule="auto"/>
        <w:tabs>
          <w:tab w:leader="none" w:pos="2260" w:val="left"/>
        </w:tabs>
        <w:numPr>
          <w:ilvl w:val="0"/>
          <w:numId w:val="41"/>
        </w:numPr>
        <w:rPr>
          <w:rFonts w:ascii="Arial" w:cs="Arial" w:eastAsia="Arial" w:hAnsi="Arial"/>
          <w:sz w:val="10"/>
          <w:szCs w:val="10"/>
          <w:color w:val="auto"/>
        </w:rPr>
      </w:pPr>
      <w:r>
        <w:rPr>
          <w:rFonts w:ascii="Arial" w:cs="Arial" w:eastAsia="Arial" w:hAnsi="Arial"/>
          <w:sz w:val="10"/>
          <w:szCs w:val="10"/>
          <w:color w:val="auto"/>
        </w:rPr>
        <w:t>Ms. Williams was subject to the same Company performance goals as Mr. Cocks and Ms. Thomas; however, those goals were weighted, in the aggregate, 20% for Ms.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56515</wp:posOffset>
            </wp:positionV>
            <wp:extent cx="3971925" cy="21717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6"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42</w:t>
      </w:r>
    </w:p>
    <w:p>
      <w:pPr>
        <w:sectPr>
          <w:pgSz w:w="11900" w:h="16838" w:orient="portrait"/>
          <w:cols w:equalWidth="0" w:num="1">
            <w:col w:w="10159"/>
          </w:cols>
          <w:pgMar w:left="300" w:top="372" w:right="1440" w:bottom="1440" w:gutter="0" w:footer="0" w:header="0"/>
        </w:sectPr>
      </w:pPr>
    </w:p>
    <w:bookmarkStart w:id="64" w:name="page65"/>
    <w:bookmarkEnd w:id="6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tbl>
      <w:tblPr>
        <w:tblLayout w:type="fixed"/>
        <w:tblInd w:w="1980" w:type="dxa"/>
        <w:tblCellMar>
          <w:top w:w="0" w:type="dxa"/>
          <w:left w:w="0" w:type="dxa"/>
          <w:bottom w:w="0" w:type="dxa"/>
          <w:right w:w="0" w:type="dxa"/>
        </w:tblCellMar>
      </w:tblPr>
      <w:tr>
        <w:trPr>
          <w:trHeight w:val="142"/>
        </w:trPr>
        <w:tc>
          <w:tcPr>
            <w:tcW w:w="2860" w:type="dxa"/>
            <w:vAlign w:val="bottom"/>
          </w:tcPr>
          <w:p>
            <w:pPr>
              <w:spacing w:after="0"/>
              <w:rPr>
                <w:sz w:val="20"/>
                <w:szCs w:val="20"/>
                <w:color w:val="auto"/>
              </w:rPr>
            </w:pPr>
            <w:r>
              <w:rPr>
                <w:rFonts w:ascii="Arial" w:cs="Arial" w:eastAsia="Arial" w:hAnsi="Arial"/>
                <w:sz w:val="11"/>
                <w:szCs w:val="11"/>
                <w:b w:val="1"/>
                <w:bCs w:val="1"/>
                <w:i w:val="1"/>
                <w:iCs w:val="1"/>
                <w:color w:val="009BDE"/>
              </w:rPr>
              <w:t>Mr. Nyman’s 2022 Calculated Annual Incentive Payout</w:t>
            </w: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7"/>
        </w:trPr>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0"/>
        </w:trPr>
        <w:tc>
          <w:tcPr>
            <w:tcW w:w="2860" w:type="dxa"/>
            <w:vAlign w:val="bottom"/>
            <w:shd w:val="clear" w:color="auto" w:fill="CCEBF8"/>
          </w:tcPr>
          <w:p>
            <w:pPr>
              <w:spacing w:after="0"/>
              <w:rPr>
                <w:sz w:val="13"/>
                <w:szCs w:val="13"/>
                <w:color w:val="auto"/>
              </w:rPr>
            </w:pPr>
          </w:p>
        </w:tc>
        <w:tc>
          <w:tcPr>
            <w:tcW w:w="1000" w:type="dxa"/>
            <w:vAlign w:val="bottom"/>
            <w:shd w:val="clear" w:color="auto" w:fill="CCEBF8"/>
          </w:tcPr>
          <w:p>
            <w:pPr>
              <w:spacing w:after="0"/>
              <w:rPr>
                <w:sz w:val="13"/>
                <w:szCs w:val="13"/>
                <w:color w:val="auto"/>
              </w:rPr>
            </w:pPr>
          </w:p>
        </w:tc>
        <w:tc>
          <w:tcPr>
            <w:tcW w:w="880" w:type="dxa"/>
            <w:vAlign w:val="bottom"/>
            <w:shd w:val="clear" w:color="auto" w:fill="CCEBF8"/>
          </w:tcPr>
          <w:p>
            <w:pPr>
              <w:spacing w:after="0"/>
              <w:rPr>
                <w:sz w:val="13"/>
                <w:szCs w:val="13"/>
                <w:color w:val="auto"/>
              </w:rPr>
            </w:pPr>
          </w:p>
        </w:tc>
        <w:tc>
          <w:tcPr>
            <w:tcW w:w="1020" w:type="dxa"/>
            <w:vAlign w:val="bottom"/>
            <w:shd w:val="clear" w:color="auto" w:fill="CCEBF8"/>
          </w:tcPr>
          <w:p>
            <w:pPr>
              <w:jc w:val="right"/>
              <w:ind w:right="166"/>
              <w:spacing w:after="0"/>
              <w:rPr>
                <w:sz w:val="20"/>
                <w:szCs w:val="20"/>
                <w:color w:val="auto"/>
              </w:rPr>
            </w:pPr>
            <w:r>
              <w:rPr>
                <w:rFonts w:ascii="Arial" w:cs="Arial" w:eastAsia="Arial" w:hAnsi="Arial"/>
                <w:sz w:val="11"/>
                <w:szCs w:val="11"/>
                <w:b w:val="1"/>
                <w:bCs w:val="1"/>
                <w:color w:val="009BDE"/>
              </w:rPr>
              <w:t>Percentage</w:t>
            </w:r>
          </w:p>
        </w:tc>
        <w:tc>
          <w:tcPr>
            <w:tcW w:w="860" w:type="dxa"/>
            <w:vAlign w:val="bottom"/>
            <w:shd w:val="clear" w:color="auto" w:fill="CCEBF8"/>
          </w:tcPr>
          <w:p>
            <w:pPr>
              <w:jc w:val="right"/>
              <w:ind w:right="166"/>
              <w:spacing w:after="0"/>
              <w:rPr>
                <w:sz w:val="20"/>
                <w:szCs w:val="20"/>
                <w:color w:val="auto"/>
              </w:rPr>
            </w:pPr>
            <w:r>
              <w:rPr>
                <w:rFonts w:ascii="Arial" w:cs="Arial" w:eastAsia="Arial" w:hAnsi="Arial"/>
                <w:sz w:val="11"/>
                <w:szCs w:val="11"/>
                <w:b w:val="1"/>
                <w:bCs w:val="1"/>
                <w:color w:val="009BDE"/>
              </w:rPr>
              <w:t>Payout</w:t>
            </w:r>
          </w:p>
        </w:tc>
        <w:tc>
          <w:tcPr>
            <w:tcW w:w="720" w:type="dxa"/>
            <w:vAlign w:val="bottom"/>
            <w:shd w:val="clear" w:color="auto" w:fill="CCEBF8"/>
          </w:tcPr>
          <w:p>
            <w:pPr>
              <w:jc w:val="right"/>
              <w:ind w:right="86"/>
              <w:spacing w:after="0"/>
              <w:rPr>
                <w:sz w:val="20"/>
                <w:szCs w:val="20"/>
                <w:color w:val="auto"/>
              </w:rPr>
            </w:pPr>
            <w:r>
              <w:rPr>
                <w:rFonts w:ascii="Arial" w:cs="Arial" w:eastAsia="Arial" w:hAnsi="Arial"/>
                <w:sz w:val="11"/>
                <w:szCs w:val="11"/>
                <w:b w:val="1"/>
                <w:bCs w:val="1"/>
                <w:color w:val="009BDE"/>
              </w:rPr>
              <w:t>Weighted</w:t>
            </w:r>
          </w:p>
        </w:tc>
      </w:tr>
      <w:tr>
        <w:trPr>
          <w:trHeight w:val="142"/>
        </w:trPr>
        <w:tc>
          <w:tcPr>
            <w:tcW w:w="2860" w:type="dxa"/>
            <w:vAlign w:val="bottom"/>
            <w:shd w:val="clear" w:color="auto" w:fill="CCEBF8"/>
          </w:tcPr>
          <w:p>
            <w:pPr>
              <w:spacing w:after="0"/>
              <w:rPr>
                <w:sz w:val="12"/>
                <w:szCs w:val="12"/>
                <w:color w:val="auto"/>
              </w:rPr>
            </w:pPr>
          </w:p>
        </w:tc>
        <w:tc>
          <w:tcPr>
            <w:tcW w:w="1000" w:type="dxa"/>
            <w:vAlign w:val="bottom"/>
            <w:shd w:val="clear" w:color="auto" w:fill="CCEBF8"/>
          </w:tcPr>
          <w:p>
            <w:pPr>
              <w:jc w:val="right"/>
              <w:ind w:right="266"/>
              <w:spacing w:after="0"/>
              <w:rPr>
                <w:sz w:val="20"/>
                <w:szCs w:val="20"/>
                <w:color w:val="auto"/>
              </w:rPr>
            </w:pPr>
            <w:r>
              <w:rPr>
                <w:rFonts w:ascii="Arial" w:cs="Arial" w:eastAsia="Arial" w:hAnsi="Arial"/>
                <w:sz w:val="11"/>
                <w:szCs w:val="11"/>
                <w:b w:val="1"/>
                <w:bCs w:val="1"/>
                <w:color w:val="009BDE"/>
              </w:rPr>
              <w:t>Goal</w:t>
            </w:r>
          </w:p>
        </w:tc>
        <w:tc>
          <w:tcPr>
            <w:tcW w:w="880" w:type="dxa"/>
            <w:vAlign w:val="bottom"/>
            <w:shd w:val="clear" w:color="auto" w:fill="CCEBF8"/>
          </w:tcPr>
          <w:p>
            <w:pPr>
              <w:jc w:val="right"/>
              <w:ind w:right="206"/>
              <w:spacing w:after="0"/>
              <w:rPr>
                <w:sz w:val="20"/>
                <w:szCs w:val="20"/>
                <w:color w:val="auto"/>
              </w:rPr>
            </w:pPr>
            <w:r>
              <w:rPr>
                <w:rFonts w:ascii="Arial" w:cs="Arial" w:eastAsia="Arial" w:hAnsi="Arial"/>
                <w:sz w:val="11"/>
                <w:szCs w:val="11"/>
                <w:b w:val="1"/>
                <w:bCs w:val="1"/>
                <w:color w:val="009BDE"/>
              </w:rPr>
              <w:t>Actual</w:t>
            </w:r>
          </w:p>
        </w:tc>
        <w:tc>
          <w:tcPr>
            <w:tcW w:w="1020" w:type="dxa"/>
            <w:vAlign w:val="bottom"/>
            <w:shd w:val="clear" w:color="auto" w:fill="CCEBF8"/>
          </w:tcPr>
          <w:p>
            <w:pPr>
              <w:jc w:val="right"/>
              <w:ind w:right="126"/>
              <w:spacing w:after="0"/>
              <w:rPr>
                <w:sz w:val="20"/>
                <w:szCs w:val="20"/>
                <w:color w:val="auto"/>
              </w:rPr>
            </w:pPr>
            <w:r>
              <w:rPr>
                <w:rFonts w:ascii="Arial" w:cs="Arial" w:eastAsia="Arial" w:hAnsi="Arial"/>
                <w:sz w:val="11"/>
                <w:szCs w:val="11"/>
                <w:b w:val="1"/>
                <w:bCs w:val="1"/>
                <w:color w:val="009BDE"/>
              </w:rPr>
              <w:t>Achievement</w:t>
            </w:r>
          </w:p>
        </w:tc>
        <w:tc>
          <w:tcPr>
            <w:tcW w:w="860" w:type="dxa"/>
            <w:vAlign w:val="bottom"/>
            <w:shd w:val="clear" w:color="auto" w:fill="CCEBF8"/>
          </w:tcPr>
          <w:p>
            <w:pPr>
              <w:jc w:val="right"/>
              <w:ind w:right="66"/>
              <w:spacing w:after="0"/>
              <w:rPr>
                <w:sz w:val="20"/>
                <w:szCs w:val="20"/>
                <w:color w:val="auto"/>
              </w:rPr>
            </w:pPr>
            <w:r>
              <w:rPr>
                <w:rFonts w:ascii="Arial" w:cs="Arial" w:eastAsia="Arial" w:hAnsi="Arial"/>
                <w:sz w:val="11"/>
                <w:szCs w:val="11"/>
                <w:b w:val="1"/>
                <w:bCs w:val="1"/>
                <w:color w:val="009BDE"/>
              </w:rPr>
              <w:t>Percentage</w:t>
            </w:r>
          </w:p>
        </w:tc>
        <w:tc>
          <w:tcPr>
            <w:tcW w:w="720" w:type="dxa"/>
            <w:vAlign w:val="bottom"/>
            <w:shd w:val="clear" w:color="auto" w:fill="CCEBF8"/>
          </w:tcPr>
          <w:p>
            <w:pPr>
              <w:jc w:val="right"/>
              <w:ind w:right="146"/>
              <w:spacing w:after="0"/>
              <w:rPr>
                <w:sz w:val="20"/>
                <w:szCs w:val="20"/>
                <w:color w:val="auto"/>
              </w:rPr>
            </w:pPr>
            <w:r>
              <w:rPr>
                <w:rFonts w:ascii="Arial" w:cs="Arial" w:eastAsia="Arial" w:hAnsi="Arial"/>
                <w:sz w:val="11"/>
                <w:szCs w:val="11"/>
                <w:b w:val="1"/>
                <w:bCs w:val="1"/>
                <w:color w:val="009BDE"/>
              </w:rPr>
              <w:t>Payout</w:t>
            </w:r>
          </w:p>
        </w:tc>
      </w:tr>
      <w:tr>
        <w:trPr>
          <w:trHeight w:val="103"/>
        </w:trPr>
        <w:tc>
          <w:tcPr>
            <w:tcW w:w="2860" w:type="dxa"/>
            <w:vAlign w:val="bottom"/>
            <w:tcBorders>
              <w:bottom w:val="single" w:sz="8" w:color="009BDE"/>
            </w:tcBorders>
            <w:shd w:val="clear" w:color="auto" w:fill="CCEBF8"/>
          </w:tcPr>
          <w:p>
            <w:pPr>
              <w:spacing w:after="0"/>
              <w:rPr>
                <w:sz w:val="8"/>
                <w:szCs w:val="8"/>
                <w:color w:val="auto"/>
              </w:rPr>
            </w:pPr>
          </w:p>
        </w:tc>
        <w:tc>
          <w:tcPr>
            <w:tcW w:w="1000" w:type="dxa"/>
            <w:vAlign w:val="bottom"/>
            <w:tcBorders>
              <w:bottom w:val="single" w:sz="8" w:color="009BDE"/>
            </w:tcBorders>
            <w:shd w:val="clear" w:color="auto" w:fill="CCEBF8"/>
          </w:tcPr>
          <w:p>
            <w:pPr>
              <w:spacing w:after="0"/>
              <w:rPr>
                <w:sz w:val="8"/>
                <w:szCs w:val="8"/>
                <w:color w:val="auto"/>
              </w:rPr>
            </w:pPr>
          </w:p>
        </w:tc>
        <w:tc>
          <w:tcPr>
            <w:tcW w:w="880" w:type="dxa"/>
            <w:vAlign w:val="bottom"/>
            <w:tcBorders>
              <w:bottom w:val="single" w:sz="8" w:color="009BDE"/>
            </w:tcBorders>
            <w:shd w:val="clear" w:color="auto" w:fill="CCEBF8"/>
          </w:tcPr>
          <w:p>
            <w:pPr>
              <w:spacing w:after="0"/>
              <w:rPr>
                <w:sz w:val="8"/>
                <w:szCs w:val="8"/>
                <w:color w:val="auto"/>
              </w:rPr>
            </w:pPr>
          </w:p>
        </w:tc>
        <w:tc>
          <w:tcPr>
            <w:tcW w:w="1020" w:type="dxa"/>
            <w:vAlign w:val="bottom"/>
            <w:tcBorders>
              <w:bottom w:val="single" w:sz="8" w:color="009BDE"/>
            </w:tcBorders>
            <w:shd w:val="clear" w:color="auto" w:fill="CCEBF8"/>
          </w:tcPr>
          <w:p>
            <w:pPr>
              <w:spacing w:after="0"/>
              <w:rPr>
                <w:sz w:val="8"/>
                <w:szCs w:val="8"/>
                <w:color w:val="auto"/>
              </w:rPr>
            </w:pPr>
          </w:p>
        </w:tc>
        <w:tc>
          <w:tcPr>
            <w:tcW w:w="860" w:type="dxa"/>
            <w:vAlign w:val="bottom"/>
            <w:tcBorders>
              <w:bottom w:val="single" w:sz="8" w:color="009BDE"/>
            </w:tcBorders>
            <w:shd w:val="clear" w:color="auto" w:fill="CCEBF8"/>
          </w:tcPr>
          <w:p>
            <w:pPr>
              <w:spacing w:after="0"/>
              <w:rPr>
                <w:sz w:val="8"/>
                <w:szCs w:val="8"/>
                <w:color w:val="auto"/>
              </w:rPr>
            </w:pPr>
          </w:p>
        </w:tc>
        <w:tc>
          <w:tcPr>
            <w:tcW w:w="720" w:type="dxa"/>
            <w:vAlign w:val="bottom"/>
            <w:tcBorders>
              <w:bottom w:val="single" w:sz="8" w:color="009BDE"/>
            </w:tcBorders>
            <w:shd w:val="clear" w:color="auto" w:fill="CCEBF8"/>
          </w:tcPr>
          <w:p>
            <w:pPr>
              <w:spacing w:after="0"/>
              <w:rPr>
                <w:sz w:val="8"/>
                <w:szCs w:val="8"/>
                <w:color w:val="auto"/>
              </w:rPr>
            </w:pPr>
          </w:p>
        </w:tc>
      </w:tr>
      <w:tr>
        <w:trPr>
          <w:trHeight w:val="183"/>
        </w:trPr>
        <w:tc>
          <w:tcPr>
            <w:tcW w:w="2860" w:type="dxa"/>
            <w:vAlign w:val="bottom"/>
          </w:tcPr>
          <w:p>
            <w:pPr>
              <w:ind w:left="40"/>
              <w:spacing w:after="0"/>
              <w:rPr>
                <w:sz w:val="20"/>
                <w:szCs w:val="20"/>
                <w:color w:val="auto"/>
              </w:rPr>
            </w:pPr>
            <w:r>
              <w:rPr>
                <w:rFonts w:ascii="Arial" w:cs="Arial" w:eastAsia="Arial" w:hAnsi="Arial"/>
                <w:sz w:val="11"/>
                <w:szCs w:val="11"/>
                <w:color w:val="auto"/>
              </w:rPr>
              <w:t>HCP Business Area Net Revenue (Weighted 40%)</w:t>
            </w:r>
          </w:p>
        </w:tc>
        <w:tc>
          <w:tcPr>
            <w:tcW w:w="1000" w:type="dxa"/>
            <w:vAlign w:val="bottom"/>
          </w:tcPr>
          <w:p>
            <w:pPr>
              <w:jc w:val="right"/>
              <w:ind w:right="106"/>
              <w:spacing w:after="0"/>
              <w:rPr>
                <w:sz w:val="20"/>
                <w:szCs w:val="20"/>
                <w:color w:val="auto"/>
              </w:rPr>
            </w:pPr>
            <w:r>
              <w:rPr>
                <w:rFonts w:ascii="Arial" w:cs="Arial" w:eastAsia="Arial" w:hAnsi="Arial"/>
                <w:sz w:val="11"/>
                <w:szCs w:val="11"/>
                <w:color w:val="auto"/>
              </w:rPr>
              <w:t>$4,115,109</w:t>
            </w: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$3,745,294</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91%</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76%</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0%</w:t>
            </w:r>
          </w:p>
        </w:tc>
      </w:tr>
      <w:tr>
        <w:trPr>
          <w:trHeight w:val="67"/>
        </w:trPr>
        <w:tc>
          <w:tcPr>
            <w:tcW w:w="2860" w:type="dxa"/>
            <w:vAlign w:val="bottom"/>
            <w:tcBorders>
              <w:bottom w:val="single" w:sz="8" w:color="009BDE"/>
            </w:tcBorders>
          </w:tcPr>
          <w:p>
            <w:pPr>
              <w:spacing w:after="0"/>
              <w:rPr>
                <w:sz w:val="5"/>
                <w:szCs w:val="5"/>
                <w:color w:val="auto"/>
              </w:rPr>
            </w:pPr>
          </w:p>
        </w:tc>
        <w:tc>
          <w:tcPr>
            <w:tcW w:w="100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102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720" w:type="dxa"/>
            <w:vAlign w:val="bottom"/>
            <w:tcBorders>
              <w:bottom w:val="single" w:sz="8" w:color="009BDE"/>
            </w:tcBorders>
          </w:tcPr>
          <w:p>
            <w:pPr>
              <w:spacing w:after="0"/>
              <w:rPr>
                <w:sz w:val="5"/>
                <w:szCs w:val="5"/>
                <w:color w:val="auto"/>
              </w:rPr>
            </w:pPr>
          </w:p>
        </w:tc>
      </w:tr>
      <w:tr>
        <w:trPr>
          <w:trHeight w:val="179"/>
        </w:trPr>
        <w:tc>
          <w:tcPr>
            <w:tcW w:w="2860" w:type="dxa"/>
            <w:vAlign w:val="bottom"/>
          </w:tcPr>
          <w:p>
            <w:pPr>
              <w:ind w:left="40"/>
              <w:spacing w:after="0"/>
              <w:rPr>
                <w:sz w:val="20"/>
                <w:szCs w:val="20"/>
                <w:color w:val="auto"/>
              </w:rPr>
            </w:pPr>
            <w:r>
              <w:rPr>
                <w:rFonts w:ascii="Arial" w:cs="Arial" w:eastAsia="Arial" w:hAnsi="Arial"/>
                <w:sz w:val="11"/>
                <w:szCs w:val="11"/>
                <w:color w:val="auto"/>
              </w:rPr>
              <w:t>HCP Business Area Operating Profit Margin (Weighted</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30"/>
        </w:trPr>
        <w:tc>
          <w:tcPr>
            <w:tcW w:w="2860" w:type="dxa"/>
            <w:vAlign w:val="bottom"/>
          </w:tcPr>
          <w:p>
            <w:pPr>
              <w:ind w:left="40"/>
              <w:spacing w:after="0"/>
              <w:rPr>
                <w:sz w:val="20"/>
                <w:szCs w:val="20"/>
                <w:color w:val="auto"/>
              </w:rPr>
            </w:pPr>
            <w:r>
              <w:rPr>
                <w:rFonts w:ascii="Arial" w:cs="Arial" w:eastAsia="Arial" w:hAnsi="Arial"/>
                <w:sz w:val="11"/>
                <w:szCs w:val="11"/>
                <w:color w:val="auto"/>
              </w:rPr>
              <w:t>40%)</w:t>
            </w:r>
          </w:p>
        </w:tc>
        <w:tc>
          <w:tcPr>
            <w:tcW w:w="1000" w:type="dxa"/>
            <w:vAlign w:val="bottom"/>
          </w:tcPr>
          <w:p>
            <w:pPr>
              <w:jc w:val="right"/>
              <w:ind w:right="106"/>
              <w:spacing w:after="0"/>
              <w:rPr>
                <w:sz w:val="20"/>
                <w:szCs w:val="20"/>
                <w:color w:val="auto"/>
              </w:rPr>
            </w:pPr>
            <w:r>
              <w:rPr>
                <w:rFonts w:ascii="Arial" w:cs="Arial" w:eastAsia="Arial" w:hAnsi="Arial"/>
                <w:sz w:val="11"/>
                <w:szCs w:val="11"/>
                <w:color w:val="auto"/>
              </w:rPr>
              <w:t>10.31%</w:t>
            </w: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8.14%</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79%</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0%</w:t>
            </w:r>
          </w:p>
        </w:tc>
      </w:tr>
      <w:tr>
        <w:trPr>
          <w:trHeight w:val="67"/>
        </w:trPr>
        <w:tc>
          <w:tcPr>
            <w:tcW w:w="2860" w:type="dxa"/>
            <w:vAlign w:val="bottom"/>
            <w:tcBorders>
              <w:bottom w:val="single" w:sz="8" w:color="009BDE"/>
            </w:tcBorders>
          </w:tcPr>
          <w:p>
            <w:pPr>
              <w:spacing w:after="0"/>
              <w:rPr>
                <w:sz w:val="5"/>
                <w:szCs w:val="5"/>
                <w:color w:val="auto"/>
              </w:rPr>
            </w:pPr>
          </w:p>
        </w:tc>
        <w:tc>
          <w:tcPr>
            <w:tcW w:w="100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102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720" w:type="dxa"/>
            <w:vAlign w:val="bottom"/>
            <w:tcBorders>
              <w:bottom w:val="single" w:sz="8" w:color="009BDE"/>
            </w:tcBorders>
          </w:tcPr>
          <w:p>
            <w:pPr>
              <w:spacing w:after="0"/>
              <w:rPr>
                <w:sz w:val="5"/>
                <w:szCs w:val="5"/>
                <w:color w:val="auto"/>
              </w:rPr>
            </w:pPr>
          </w:p>
        </w:tc>
      </w:tr>
      <w:tr>
        <w:trPr>
          <w:trHeight w:val="183"/>
        </w:trPr>
        <w:tc>
          <w:tcPr>
            <w:tcW w:w="2860" w:type="dxa"/>
            <w:vAlign w:val="bottom"/>
          </w:tcPr>
          <w:p>
            <w:pPr>
              <w:ind w:left="40"/>
              <w:spacing w:after="0"/>
              <w:rPr>
                <w:sz w:val="20"/>
                <w:szCs w:val="20"/>
                <w:color w:val="auto"/>
              </w:rPr>
            </w:pPr>
            <w:r>
              <w:rPr>
                <w:rFonts w:ascii="Arial" w:cs="Arial" w:eastAsia="Arial" w:hAnsi="Arial"/>
                <w:sz w:val="11"/>
                <w:szCs w:val="11"/>
                <w:color w:val="auto"/>
              </w:rPr>
              <w:t>Company Weighted Payout* (Weighted 20%)</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70%</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w:t>
            </w:r>
          </w:p>
        </w:tc>
      </w:tr>
      <w:tr>
        <w:trPr>
          <w:trHeight w:val="67"/>
        </w:trPr>
        <w:tc>
          <w:tcPr>
            <w:tcW w:w="2860" w:type="dxa"/>
            <w:vAlign w:val="bottom"/>
            <w:tcBorders>
              <w:bottom w:val="single" w:sz="8" w:color="009BDE"/>
            </w:tcBorders>
          </w:tcPr>
          <w:p>
            <w:pPr>
              <w:spacing w:after="0"/>
              <w:rPr>
                <w:sz w:val="5"/>
                <w:szCs w:val="5"/>
                <w:color w:val="auto"/>
              </w:rPr>
            </w:pPr>
          </w:p>
        </w:tc>
        <w:tc>
          <w:tcPr>
            <w:tcW w:w="100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1880" w:type="dxa"/>
            <w:vAlign w:val="bottom"/>
            <w:tcBorders>
              <w:bottom w:val="single" w:sz="8" w:color="009BDE"/>
            </w:tcBorders>
            <w:gridSpan w:val="2"/>
          </w:tcPr>
          <w:p>
            <w:pPr>
              <w:spacing w:after="0"/>
              <w:rPr>
                <w:sz w:val="5"/>
                <w:szCs w:val="5"/>
                <w:color w:val="auto"/>
              </w:rPr>
            </w:pPr>
          </w:p>
        </w:tc>
        <w:tc>
          <w:tcPr>
            <w:tcW w:w="720" w:type="dxa"/>
            <w:vAlign w:val="bottom"/>
            <w:tcBorders>
              <w:bottom w:val="single" w:sz="8" w:color="009BDE"/>
            </w:tcBorders>
          </w:tcPr>
          <w:p>
            <w:pPr>
              <w:spacing w:after="0"/>
              <w:rPr>
                <w:sz w:val="5"/>
                <w:szCs w:val="5"/>
                <w:color w:val="auto"/>
              </w:rPr>
            </w:pPr>
          </w:p>
        </w:tc>
      </w:tr>
      <w:tr>
        <w:trPr>
          <w:trHeight w:val="183"/>
        </w:trPr>
        <w:tc>
          <w:tcPr>
            <w:tcW w:w="2860" w:type="dxa"/>
            <w:vAlign w:val="bottom"/>
          </w:tcPr>
          <w:p>
            <w:pPr>
              <w:ind w:left="40"/>
              <w:spacing w:after="0"/>
              <w:rPr>
                <w:sz w:val="20"/>
                <w:szCs w:val="20"/>
                <w:color w:val="auto"/>
              </w:rPr>
            </w:pPr>
            <w:r>
              <w:rPr>
                <w:rFonts w:ascii="Arial" w:cs="Arial" w:eastAsia="Arial" w:hAnsi="Arial"/>
                <w:sz w:val="11"/>
                <w:szCs w:val="11"/>
                <w:color w:val="auto"/>
              </w:rPr>
              <w:t>All numbers are in thousands, except percentages</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gridSpan w:val="2"/>
          </w:tcPr>
          <w:p>
            <w:pPr>
              <w:jc w:val="right"/>
              <w:ind w:right="66"/>
              <w:spacing w:after="0"/>
              <w:rPr>
                <w:sz w:val="20"/>
                <w:szCs w:val="20"/>
                <w:color w:val="auto"/>
              </w:rPr>
            </w:pPr>
            <w:r>
              <w:rPr>
                <w:rFonts w:ascii="Arial" w:cs="Arial" w:eastAsia="Arial" w:hAnsi="Arial"/>
                <w:sz w:val="11"/>
                <w:szCs w:val="11"/>
                <w:color w:val="auto"/>
              </w:rPr>
              <w:t>Total Weighted Payout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42545</wp:posOffset>
            </wp:positionV>
            <wp:extent cx="4663440" cy="571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Note: For the Business Area to have a payout both Business Area metrics must achieve the minimum threshold.</w:t>
      </w:r>
    </w:p>
    <w:p>
      <w:pPr>
        <w:spacing w:after="0" w:line="55" w:lineRule="exact"/>
        <w:rPr>
          <w:sz w:val="20"/>
          <w:szCs w:val="20"/>
          <w:color w:val="auto"/>
        </w:rPr>
      </w:pPr>
    </w:p>
    <w:p>
      <w:pPr>
        <w:ind w:left="2260" w:right="1059" w:hanging="288"/>
        <w:spacing w:after="0" w:line="232" w:lineRule="auto"/>
        <w:tabs>
          <w:tab w:leader="none" w:pos="2260" w:val="left"/>
        </w:tabs>
        <w:numPr>
          <w:ilvl w:val="0"/>
          <w:numId w:val="42"/>
        </w:numPr>
        <w:rPr>
          <w:rFonts w:ascii="Arial" w:cs="Arial" w:eastAsia="Arial" w:hAnsi="Arial"/>
          <w:sz w:val="10"/>
          <w:szCs w:val="10"/>
          <w:color w:val="auto"/>
        </w:rPr>
      </w:pPr>
      <w:r>
        <w:rPr>
          <w:rFonts w:ascii="Arial" w:cs="Arial" w:eastAsia="Arial" w:hAnsi="Arial"/>
          <w:sz w:val="10"/>
          <w:szCs w:val="10"/>
          <w:color w:val="auto"/>
        </w:rPr>
        <w:t>Ms. Nyman was subject to the same Company performance goals as Mr. Cocks and Ms. Thomas; however, those goals were weighted, in the aggregate, 20% for Mr. Nyman.</w:t>
      </w:r>
    </w:p>
    <w:p>
      <w:pPr>
        <w:spacing w:after="0" w:line="196" w:lineRule="exact"/>
        <w:rPr>
          <w:sz w:val="20"/>
          <w:szCs w:val="20"/>
          <w:color w:val="auto"/>
        </w:rPr>
      </w:pPr>
    </w:p>
    <w:tbl>
      <w:tblPr>
        <w:tblLayout w:type="fixed"/>
        <w:tblInd w:w="1980" w:type="dxa"/>
        <w:tblCellMar>
          <w:top w:w="0" w:type="dxa"/>
          <w:left w:w="0" w:type="dxa"/>
          <w:bottom w:w="0" w:type="dxa"/>
          <w:right w:w="0" w:type="dxa"/>
        </w:tblCellMar>
      </w:tblPr>
      <w:tr>
        <w:trPr>
          <w:trHeight w:val="142"/>
        </w:trPr>
        <w:tc>
          <w:tcPr>
            <w:tcW w:w="2940" w:type="dxa"/>
            <w:vAlign w:val="bottom"/>
          </w:tcPr>
          <w:p>
            <w:pPr>
              <w:spacing w:after="0"/>
              <w:rPr>
                <w:sz w:val="20"/>
                <w:szCs w:val="20"/>
                <w:color w:val="auto"/>
              </w:rPr>
            </w:pPr>
            <w:r>
              <w:rPr>
                <w:rFonts w:ascii="Arial" w:cs="Arial" w:eastAsia="Arial" w:hAnsi="Arial"/>
                <w:sz w:val="11"/>
                <w:szCs w:val="11"/>
                <w:b w:val="1"/>
                <w:bCs w:val="1"/>
                <w:i w:val="1"/>
                <w:iCs w:val="1"/>
                <w:color w:val="009BDE"/>
              </w:rPr>
              <w:t>Mr. Throop’s 2022 Calculated Annual Incentive Payout</w:t>
            </w: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7"/>
        </w:trPr>
        <w:tc>
          <w:tcPr>
            <w:tcW w:w="2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0"/>
        </w:trPr>
        <w:tc>
          <w:tcPr>
            <w:tcW w:w="2940" w:type="dxa"/>
            <w:vAlign w:val="bottom"/>
            <w:shd w:val="clear" w:color="auto" w:fill="CCEBF8"/>
          </w:tcPr>
          <w:p>
            <w:pPr>
              <w:spacing w:after="0"/>
              <w:rPr>
                <w:sz w:val="13"/>
                <w:szCs w:val="13"/>
                <w:color w:val="auto"/>
              </w:rPr>
            </w:pPr>
          </w:p>
        </w:tc>
        <w:tc>
          <w:tcPr>
            <w:tcW w:w="1000" w:type="dxa"/>
            <w:vAlign w:val="bottom"/>
            <w:shd w:val="clear" w:color="auto" w:fill="CCEBF8"/>
          </w:tcPr>
          <w:p>
            <w:pPr>
              <w:spacing w:after="0"/>
              <w:rPr>
                <w:sz w:val="13"/>
                <w:szCs w:val="13"/>
                <w:color w:val="auto"/>
              </w:rPr>
            </w:pPr>
          </w:p>
        </w:tc>
        <w:tc>
          <w:tcPr>
            <w:tcW w:w="800" w:type="dxa"/>
            <w:vAlign w:val="bottom"/>
            <w:shd w:val="clear" w:color="auto" w:fill="CCEBF8"/>
          </w:tcPr>
          <w:p>
            <w:pPr>
              <w:spacing w:after="0"/>
              <w:rPr>
                <w:sz w:val="13"/>
                <w:szCs w:val="13"/>
                <w:color w:val="auto"/>
              </w:rPr>
            </w:pPr>
          </w:p>
        </w:tc>
        <w:tc>
          <w:tcPr>
            <w:tcW w:w="1000" w:type="dxa"/>
            <w:vAlign w:val="bottom"/>
            <w:shd w:val="clear" w:color="auto" w:fill="CCEBF8"/>
          </w:tcPr>
          <w:p>
            <w:pPr>
              <w:jc w:val="right"/>
              <w:ind w:right="146"/>
              <w:spacing w:after="0"/>
              <w:rPr>
                <w:sz w:val="20"/>
                <w:szCs w:val="20"/>
                <w:color w:val="auto"/>
              </w:rPr>
            </w:pPr>
            <w:r>
              <w:rPr>
                <w:rFonts w:ascii="Arial" w:cs="Arial" w:eastAsia="Arial" w:hAnsi="Arial"/>
                <w:sz w:val="11"/>
                <w:szCs w:val="11"/>
                <w:b w:val="1"/>
                <w:bCs w:val="1"/>
                <w:color w:val="009BDE"/>
              </w:rPr>
              <w:t>Percentage</w:t>
            </w:r>
          </w:p>
        </w:tc>
        <w:tc>
          <w:tcPr>
            <w:tcW w:w="880" w:type="dxa"/>
            <w:vAlign w:val="bottom"/>
            <w:shd w:val="clear" w:color="auto" w:fill="CCEBF8"/>
          </w:tcPr>
          <w:p>
            <w:pPr>
              <w:jc w:val="right"/>
              <w:ind w:right="186"/>
              <w:spacing w:after="0"/>
              <w:rPr>
                <w:sz w:val="20"/>
                <w:szCs w:val="20"/>
                <w:color w:val="auto"/>
              </w:rPr>
            </w:pPr>
            <w:r>
              <w:rPr>
                <w:rFonts w:ascii="Arial" w:cs="Arial" w:eastAsia="Arial" w:hAnsi="Arial"/>
                <w:sz w:val="11"/>
                <w:szCs w:val="11"/>
                <w:b w:val="1"/>
                <w:bCs w:val="1"/>
                <w:color w:val="009BDE"/>
              </w:rPr>
              <w:t>Payout</w:t>
            </w:r>
          </w:p>
        </w:tc>
        <w:tc>
          <w:tcPr>
            <w:tcW w:w="720" w:type="dxa"/>
            <w:vAlign w:val="bottom"/>
            <w:shd w:val="clear" w:color="auto" w:fill="CCEBF8"/>
          </w:tcPr>
          <w:p>
            <w:pPr>
              <w:jc w:val="right"/>
              <w:ind w:right="86"/>
              <w:spacing w:after="0"/>
              <w:rPr>
                <w:sz w:val="20"/>
                <w:szCs w:val="20"/>
                <w:color w:val="auto"/>
              </w:rPr>
            </w:pPr>
            <w:r>
              <w:rPr>
                <w:rFonts w:ascii="Arial" w:cs="Arial" w:eastAsia="Arial" w:hAnsi="Arial"/>
                <w:sz w:val="11"/>
                <w:szCs w:val="11"/>
                <w:b w:val="1"/>
                <w:bCs w:val="1"/>
                <w:color w:val="009BDE"/>
              </w:rPr>
              <w:t>Weighted</w:t>
            </w:r>
          </w:p>
        </w:tc>
      </w:tr>
      <w:tr>
        <w:trPr>
          <w:trHeight w:val="142"/>
        </w:trPr>
        <w:tc>
          <w:tcPr>
            <w:tcW w:w="2940" w:type="dxa"/>
            <w:vAlign w:val="bottom"/>
            <w:shd w:val="clear" w:color="auto" w:fill="CCEBF8"/>
          </w:tcPr>
          <w:p>
            <w:pPr>
              <w:spacing w:after="0"/>
              <w:rPr>
                <w:sz w:val="12"/>
                <w:szCs w:val="12"/>
                <w:color w:val="auto"/>
              </w:rPr>
            </w:pPr>
          </w:p>
        </w:tc>
        <w:tc>
          <w:tcPr>
            <w:tcW w:w="1000" w:type="dxa"/>
            <w:vAlign w:val="bottom"/>
            <w:shd w:val="clear" w:color="auto" w:fill="CCEBF8"/>
          </w:tcPr>
          <w:p>
            <w:pPr>
              <w:jc w:val="right"/>
              <w:ind w:right="266"/>
              <w:spacing w:after="0"/>
              <w:rPr>
                <w:sz w:val="20"/>
                <w:szCs w:val="20"/>
                <w:color w:val="auto"/>
              </w:rPr>
            </w:pPr>
            <w:r>
              <w:rPr>
                <w:rFonts w:ascii="Arial" w:cs="Arial" w:eastAsia="Arial" w:hAnsi="Arial"/>
                <w:sz w:val="11"/>
                <w:szCs w:val="11"/>
                <w:b w:val="1"/>
                <w:bCs w:val="1"/>
                <w:color w:val="009BDE"/>
              </w:rPr>
              <w:t>Goal</w:t>
            </w:r>
          </w:p>
        </w:tc>
        <w:tc>
          <w:tcPr>
            <w:tcW w:w="800" w:type="dxa"/>
            <w:vAlign w:val="bottom"/>
            <w:shd w:val="clear" w:color="auto" w:fill="CCEBF8"/>
          </w:tcPr>
          <w:p>
            <w:pPr>
              <w:jc w:val="right"/>
              <w:ind w:right="186"/>
              <w:spacing w:after="0"/>
              <w:rPr>
                <w:sz w:val="20"/>
                <w:szCs w:val="20"/>
                <w:color w:val="auto"/>
              </w:rPr>
            </w:pPr>
            <w:r>
              <w:rPr>
                <w:rFonts w:ascii="Arial" w:cs="Arial" w:eastAsia="Arial" w:hAnsi="Arial"/>
                <w:sz w:val="11"/>
                <w:szCs w:val="11"/>
                <w:b w:val="1"/>
                <w:bCs w:val="1"/>
                <w:color w:val="009BDE"/>
              </w:rPr>
              <w:t>Actual</w:t>
            </w:r>
          </w:p>
        </w:tc>
        <w:tc>
          <w:tcPr>
            <w:tcW w:w="1000" w:type="dxa"/>
            <w:vAlign w:val="bottom"/>
            <w:shd w:val="clear" w:color="auto" w:fill="CCEBF8"/>
          </w:tcPr>
          <w:p>
            <w:pPr>
              <w:jc w:val="right"/>
              <w:ind w:right="106"/>
              <w:spacing w:after="0"/>
              <w:rPr>
                <w:sz w:val="20"/>
                <w:szCs w:val="20"/>
                <w:color w:val="auto"/>
              </w:rPr>
            </w:pPr>
            <w:r>
              <w:rPr>
                <w:rFonts w:ascii="Arial" w:cs="Arial" w:eastAsia="Arial" w:hAnsi="Arial"/>
                <w:sz w:val="11"/>
                <w:szCs w:val="11"/>
                <w:b w:val="1"/>
                <w:bCs w:val="1"/>
                <w:color w:val="009BDE"/>
              </w:rPr>
              <w:t>Achievement</w:t>
            </w:r>
          </w:p>
        </w:tc>
        <w:tc>
          <w:tcPr>
            <w:tcW w:w="880" w:type="dxa"/>
            <w:vAlign w:val="bottom"/>
            <w:shd w:val="clear" w:color="auto" w:fill="CCEBF8"/>
          </w:tcPr>
          <w:p>
            <w:pPr>
              <w:jc w:val="right"/>
              <w:ind w:right="66"/>
              <w:spacing w:after="0"/>
              <w:rPr>
                <w:sz w:val="20"/>
                <w:szCs w:val="20"/>
                <w:color w:val="auto"/>
              </w:rPr>
            </w:pPr>
            <w:r>
              <w:rPr>
                <w:rFonts w:ascii="Arial" w:cs="Arial" w:eastAsia="Arial" w:hAnsi="Arial"/>
                <w:sz w:val="11"/>
                <w:szCs w:val="11"/>
                <w:b w:val="1"/>
                <w:bCs w:val="1"/>
                <w:color w:val="009BDE"/>
              </w:rPr>
              <w:t>Percentage</w:t>
            </w:r>
          </w:p>
        </w:tc>
        <w:tc>
          <w:tcPr>
            <w:tcW w:w="720" w:type="dxa"/>
            <w:vAlign w:val="bottom"/>
            <w:shd w:val="clear" w:color="auto" w:fill="CCEBF8"/>
          </w:tcPr>
          <w:p>
            <w:pPr>
              <w:jc w:val="right"/>
              <w:ind w:right="146"/>
              <w:spacing w:after="0"/>
              <w:rPr>
                <w:sz w:val="20"/>
                <w:szCs w:val="20"/>
                <w:color w:val="auto"/>
              </w:rPr>
            </w:pPr>
            <w:r>
              <w:rPr>
                <w:rFonts w:ascii="Arial" w:cs="Arial" w:eastAsia="Arial" w:hAnsi="Arial"/>
                <w:sz w:val="11"/>
                <w:szCs w:val="11"/>
                <w:b w:val="1"/>
                <w:bCs w:val="1"/>
                <w:color w:val="009BDE"/>
              </w:rPr>
              <w:t>Payout</w:t>
            </w:r>
          </w:p>
        </w:tc>
      </w:tr>
      <w:tr>
        <w:trPr>
          <w:trHeight w:val="103"/>
        </w:trPr>
        <w:tc>
          <w:tcPr>
            <w:tcW w:w="2940" w:type="dxa"/>
            <w:vAlign w:val="bottom"/>
            <w:tcBorders>
              <w:bottom w:val="single" w:sz="8" w:color="009BDE"/>
            </w:tcBorders>
            <w:shd w:val="clear" w:color="auto" w:fill="CCEBF8"/>
          </w:tcPr>
          <w:p>
            <w:pPr>
              <w:spacing w:after="0"/>
              <w:rPr>
                <w:sz w:val="8"/>
                <w:szCs w:val="8"/>
                <w:color w:val="auto"/>
              </w:rPr>
            </w:pPr>
          </w:p>
        </w:tc>
        <w:tc>
          <w:tcPr>
            <w:tcW w:w="1000" w:type="dxa"/>
            <w:vAlign w:val="bottom"/>
            <w:tcBorders>
              <w:bottom w:val="single" w:sz="8" w:color="009BDE"/>
            </w:tcBorders>
            <w:shd w:val="clear" w:color="auto" w:fill="CCEBF8"/>
          </w:tcPr>
          <w:p>
            <w:pPr>
              <w:spacing w:after="0"/>
              <w:rPr>
                <w:sz w:val="8"/>
                <w:szCs w:val="8"/>
                <w:color w:val="auto"/>
              </w:rPr>
            </w:pPr>
          </w:p>
        </w:tc>
        <w:tc>
          <w:tcPr>
            <w:tcW w:w="800" w:type="dxa"/>
            <w:vAlign w:val="bottom"/>
            <w:tcBorders>
              <w:bottom w:val="single" w:sz="8" w:color="009BDE"/>
            </w:tcBorders>
            <w:shd w:val="clear" w:color="auto" w:fill="CCEBF8"/>
          </w:tcPr>
          <w:p>
            <w:pPr>
              <w:spacing w:after="0"/>
              <w:rPr>
                <w:sz w:val="8"/>
                <w:szCs w:val="8"/>
                <w:color w:val="auto"/>
              </w:rPr>
            </w:pPr>
          </w:p>
        </w:tc>
        <w:tc>
          <w:tcPr>
            <w:tcW w:w="1000" w:type="dxa"/>
            <w:vAlign w:val="bottom"/>
            <w:tcBorders>
              <w:bottom w:val="single" w:sz="8" w:color="009BDE"/>
            </w:tcBorders>
            <w:shd w:val="clear" w:color="auto" w:fill="CCEBF8"/>
          </w:tcPr>
          <w:p>
            <w:pPr>
              <w:spacing w:after="0"/>
              <w:rPr>
                <w:sz w:val="8"/>
                <w:szCs w:val="8"/>
                <w:color w:val="auto"/>
              </w:rPr>
            </w:pPr>
          </w:p>
        </w:tc>
        <w:tc>
          <w:tcPr>
            <w:tcW w:w="880" w:type="dxa"/>
            <w:vAlign w:val="bottom"/>
            <w:tcBorders>
              <w:bottom w:val="single" w:sz="8" w:color="009BDE"/>
            </w:tcBorders>
            <w:shd w:val="clear" w:color="auto" w:fill="CCEBF8"/>
          </w:tcPr>
          <w:p>
            <w:pPr>
              <w:spacing w:after="0"/>
              <w:rPr>
                <w:sz w:val="8"/>
                <w:szCs w:val="8"/>
                <w:color w:val="auto"/>
              </w:rPr>
            </w:pPr>
          </w:p>
        </w:tc>
        <w:tc>
          <w:tcPr>
            <w:tcW w:w="720" w:type="dxa"/>
            <w:vAlign w:val="bottom"/>
            <w:tcBorders>
              <w:bottom w:val="single" w:sz="8" w:color="009BDE"/>
            </w:tcBorders>
            <w:shd w:val="clear" w:color="auto" w:fill="CCEBF8"/>
          </w:tcPr>
          <w:p>
            <w:pPr>
              <w:spacing w:after="0"/>
              <w:rPr>
                <w:sz w:val="8"/>
                <w:szCs w:val="8"/>
                <w:color w:val="auto"/>
              </w:rPr>
            </w:pPr>
          </w:p>
        </w:tc>
      </w:tr>
      <w:tr>
        <w:trPr>
          <w:trHeight w:val="183"/>
        </w:trPr>
        <w:tc>
          <w:tcPr>
            <w:tcW w:w="2940" w:type="dxa"/>
            <w:vAlign w:val="bottom"/>
          </w:tcPr>
          <w:p>
            <w:pPr>
              <w:ind w:left="40"/>
              <w:spacing w:after="0"/>
              <w:rPr>
                <w:sz w:val="20"/>
                <w:szCs w:val="20"/>
                <w:color w:val="auto"/>
              </w:rPr>
            </w:pPr>
            <w:r>
              <w:rPr>
                <w:rFonts w:ascii="Arial" w:cs="Arial" w:eastAsia="Arial" w:hAnsi="Arial"/>
                <w:sz w:val="11"/>
                <w:szCs w:val="11"/>
                <w:color w:val="auto"/>
                <w:w w:val="98"/>
              </w:rPr>
              <w:t>Entertainment Business Area Net Revenue (Weighted 50%)</w:t>
            </w:r>
          </w:p>
        </w:tc>
        <w:tc>
          <w:tcPr>
            <w:tcW w:w="1000" w:type="dxa"/>
            <w:vAlign w:val="bottom"/>
          </w:tcPr>
          <w:p>
            <w:pPr>
              <w:jc w:val="right"/>
              <w:ind w:right="106"/>
              <w:spacing w:after="0"/>
              <w:rPr>
                <w:sz w:val="20"/>
                <w:szCs w:val="20"/>
                <w:color w:val="auto"/>
              </w:rPr>
            </w:pPr>
            <w:r>
              <w:rPr>
                <w:rFonts w:ascii="Arial" w:cs="Arial" w:eastAsia="Arial" w:hAnsi="Arial"/>
                <w:sz w:val="11"/>
                <w:szCs w:val="11"/>
                <w:color w:val="auto"/>
              </w:rPr>
              <w:t>$1,118,983</w:t>
            </w:r>
          </w:p>
        </w:tc>
        <w:tc>
          <w:tcPr>
            <w:tcW w:w="800" w:type="dxa"/>
            <w:vAlign w:val="bottom"/>
          </w:tcPr>
          <w:p>
            <w:pPr>
              <w:jc w:val="right"/>
              <w:ind w:right="106"/>
              <w:spacing w:after="0"/>
              <w:rPr>
                <w:sz w:val="20"/>
                <w:szCs w:val="20"/>
                <w:color w:val="auto"/>
              </w:rPr>
            </w:pPr>
            <w:r>
              <w:rPr>
                <w:rFonts w:ascii="Arial" w:cs="Arial" w:eastAsia="Arial" w:hAnsi="Arial"/>
                <w:sz w:val="11"/>
                <w:szCs w:val="11"/>
                <w:color w:val="auto"/>
              </w:rPr>
              <w:t>$976,000</w:t>
            </w:r>
          </w:p>
        </w:tc>
        <w:tc>
          <w:tcPr>
            <w:tcW w:w="1000" w:type="dxa"/>
            <w:vAlign w:val="bottom"/>
          </w:tcPr>
          <w:p>
            <w:pPr>
              <w:jc w:val="right"/>
              <w:ind w:right="106"/>
              <w:spacing w:after="0"/>
              <w:rPr>
                <w:sz w:val="20"/>
                <w:szCs w:val="20"/>
                <w:color w:val="auto"/>
              </w:rPr>
            </w:pPr>
            <w:r>
              <w:rPr>
                <w:rFonts w:ascii="Arial" w:cs="Arial" w:eastAsia="Arial" w:hAnsi="Arial"/>
                <w:sz w:val="11"/>
                <w:szCs w:val="11"/>
                <w:color w:val="auto"/>
              </w:rPr>
              <w:t>87%</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65%</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33%</w:t>
            </w:r>
          </w:p>
        </w:tc>
      </w:tr>
      <w:tr>
        <w:trPr>
          <w:trHeight w:val="67"/>
        </w:trPr>
        <w:tc>
          <w:tcPr>
            <w:tcW w:w="2940" w:type="dxa"/>
            <w:vAlign w:val="bottom"/>
            <w:tcBorders>
              <w:bottom w:val="single" w:sz="8" w:color="009BDE"/>
            </w:tcBorders>
          </w:tcPr>
          <w:p>
            <w:pPr>
              <w:spacing w:after="0"/>
              <w:rPr>
                <w:sz w:val="5"/>
                <w:szCs w:val="5"/>
                <w:color w:val="auto"/>
              </w:rPr>
            </w:pPr>
          </w:p>
        </w:tc>
        <w:tc>
          <w:tcPr>
            <w:tcW w:w="1000" w:type="dxa"/>
            <w:vAlign w:val="bottom"/>
            <w:tcBorders>
              <w:bottom w:val="single" w:sz="8" w:color="009BDE"/>
            </w:tcBorders>
          </w:tcPr>
          <w:p>
            <w:pPr>
              <w:spacing w:after="0"/>
              <w:rPr>
                <w:sz w:val="5"/>
                <w:szCs w:val="5"/>
                <w:color w:val="auto"/>
              </w:rPr>
            </w:pPr>
          </w:p>
        </w:tc>
        <w:tc>
          <w:tcPr>
            <w:tcW w:w="800" w:type="dxa"/>
            <w:vAlign w:val="bottom"/>
            <w:tcBorders>
              <w:bottom w:val="single" w:sz="8" w:color="009BDE"/>
            </w:tcBorders>
          </w:tcPr>
          <w:p>
            <w:pPr>
              <w:spacing w:after="0"/>
              <w:rPr>
                <w:sz w:val="5"/>
                <w:szCs w:val="5"/>
                <w:color w:val="auto"/>
              </w:rPr>
            </w:pPr>
          </w:p>
        </w:tc>
        <w:tc>
          <w:tcPr>
            <w:tcW w:w="100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720" w:type="dxa"/>
            <w:vAlign w:val="bottom"/>
            <w:tcBorders>
              <w:bottom w:val="single" w:sz="8" w:color="009BDE"/>
            </w:tcBorders>
          </w:tcPr>
          <w:p>
            <w:pPr>
              <w:spacing w:after="0"/>
              <w:rPr>
                <w:sz w:val="5"/>
                <w:szCs w:val="5"/>
                <w:color w:val="auto"/>
              </w:rPr>
            </w:pPr>
          </w:p>
        </w:tc>
      </w:tr>
      <w:tr>
        <w:trPr>
          <w:trHeight w:val="179"/>
        </w:trPr>
        <w:tc>
          <w:tcPr>
            <w:tcW w:w="2940" w:type="dxa"/>
            <w:vAlign w:val="bottom"/>
          </w:tcPr>
          <w:p>
            <w:pPr>
              <w:ind w:left="40"/>
              <w:spacing w:after="0"/>
              <w:rPr>
                <w:sz w:val="20"/>
                <w:szCs w:val="20"/>
                <w:color w:val="auto"/>
              </w:rPr>
            </w:pPr>
            <w:r>
              <w:rPr>
                <w:rFonts w:ascii="Arial" w:cs="Arial" w:eastAsia="Arial" w:hAnsi="Arial"/>
                <w:sz w:val="11"/>
                <w:szCs w:val="11"/>
                <w:color w:val="auto"/>
              </w:rPr>
              <w:t>Entertainment Business Area Operating Profit Margin</w:t>
            </w: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30"/>
        </w:trPr>
        <w:tc>
          <w:tcPr>
            <w:tcW w:w="2940" w:type="dxa"/>
            <w:vAlign w:val="bottom"/>
          </w:tcPr>
          <w:p>
            <w:pPr>
              <w:ind w:left="40"/>
              <w:spacing w:after="0"/>
              <w:rPr>
                <w:sz w:val="20"/>
                <w:szCs w:val="20"/>
                <w:color w:val="auto"/>
              </w:rPr>
            </w:pPr>
            <w:r>
              <w:rPr>
                <w:rFonts w:ascii="Arial" w:cs="Arial" w:eastAsia="Arial" w:hAnsi="Arial"/>
                <w:sz w:val="11"/>
                <w:szCs w:val="11"/>
                <w:color w:val="auto"/>
              </w:rPr>
              <w:t>(Weighted 50%)</w:t>
            </w:r>
          </w:p>
        </w:tc>
        <w:tc>
          <w:tcPr>
            <w:tcW w:w="1000" w:type="dxa"/>
            <w:vAlign w:val="bottom"/>
          </w:tcPr>
          <w:p>
            <w:pPr>
              <w:jc w:val="right"/>
              <w:ind w:right="106"/>
              <w:spacing w:after="0"/>
              <w:rPr>
                <w:sz w:val="20"/>
                <w:szCs w:val="20"/>
                <w:color w:val="auto"/>
              </w:rPr>
            </w:pPr>
            <w:r>
              <w:rPr>
                <w:rFonts w:ascii="Arial" w:cs="Arial" w:eastAsia="Arial" w:hAnsi="Arial"/>
                <w:sz w:val="11"/>
                <w:szCs w:val="11"/>
                <w:color w:val="auto"/>
              </w:rPr>
              <w:t>7.93%</w:t>
            </w:r>
          </w:p>
        </w:tc>
        <w:tc>
          <w:tcPr>
            <w:tcW w:w="800" w:type="dxa"/>
            <w:vAlign w:val="bottom"/>
          </w:tcPr>
          <w:p>
            <w:pPr>
              <w:jc w:val="right"/>
              <w:ind w:right="106"/>
              <w:spacing w:after="0"/>
              <w:rPr>
                <w:sz w:val="20"/>
                <w:szCs w:val="20"/>
                <w:color w:val="auto"/>
              </w:rPr>
            </w:pPr>
            <w:r>
              <w:rPr>
                <w:rFonts w:ascii="Arial" w:cs="Arial" w:eastAsia="Arial" w:hAnsi="Arial"/>
                <w:sz w:val="11"/>
                <w:szCs w:val="11"/>
                <w:color w:val="auto"/>
              </w:rPr>
              <w:t>8.41%</w:t>
            </w:r>
          </w:p>
        </w:tc>
        <w:tc>
          <w:tcPr>
            <w:tcW w:w="1000" w:type="dxa"/>
            <w:vAlign w:val="bottom"/>
          </w:tcPr>
          <w:p>
            <w:pPr>
              <w:jc w:val="right"/>
              <w:ind w:right="106"/>
              <w:spacing w:after="0"/>
              <w:rPr>
                <w:sz w:val="20"/>
                <w:szCs w:val="20"/>
                <w:color w:val="auto"/>
              </w:rPr>
            </w:pPr>
            <w:r>
              <w:rPr>
                <w:rFonts w:ascii="Arial" w:cs="Arial" w:eastAsia="Arial" w:hAnsi="Arial"/>
                <w:sz w:val="11"/>
                <w:szCs w:val="11"/>
                <w:color w:val="auto"/>
              </w:rPr>
              <w:t>106%</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124%</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62%</w:t>
            </w:r>
          </w:p>
        </w:tc>
      </w:tr>
      <w:tr>
        <w:trPr>
          <w:trHeight w:val="67"/>
        </w:trPr>
        <w:tc>
          <w:tcPr>
            <w:tcW w:w="2940" w:type="dxa"/>
            <w:vAlign w:val="bottom"/>
            <w:tcBorders>
              <w:bottom w:val="single" w:sz="8" w:color="009BDE"/>
            </w:tcBorders>
          </w:tcPr>
          <w:p>
            <w:pPr>
              <w:spacing w:after="0"/>
              <w:rPr>
                <w:sz w:val="5"/>
                <w:szCs w:val="5"/>
                <w:color w:val="auto"/>
              </w:rPr>
            </w:pPr>
          </w:p>
        </w:tc>
        <w:tc>
          <w:tcPr>
            <w:tcW w:w="1000" w:type="dxa"/>
            <w:vAlign w:val="bottom"/>
            <w:tcBorders>
              <w:bottom w:val="single" w:sz="8" w:color="009BDE"/>
            </w:tcBorders>
          </w:tcPr>
          <w:p>
            <w:pPr>
              <w:spacing w:after="0"/>
              <w:rPr>
                <w:sz w:val="5"/>
                <w:szCs w:val="5"/>
                <w:color w:val="auto"/>
              </w:rPr>
            </w:pPr>
          </w:p>
        </w:tc>
        <w:tc>
          <w:tcPr>
            <w:tcW w:w="800" w:type="dxa"/>
            <w:vAlign w:val="bottom"/>
            <w:tcBorders>
              <w:bottom w:val="single" w:sz="8" w:color="009BDE"/>
            </w:tcBorders>
          </w:tcPr>
          <w:p>
            <w:pPr>
              <w:spacing w:after="0"/>
              <w:rPr>
                <w:sz w:val="5"/>
                <w:szCs w:val="5"/>
                <w:color w:val="auto"/>
              </w:rPr>
            </w:pPr>
          </w:p>
        </w:tc>
        <w:tc>
          <w:tcPr>
            <w:tcW w:w="1880" w:type="dxa"/>
            <w:vAlign w:val="bottom"/>
            <w:tcBorders>
              <w:bottom w:val="single" w:sz="8" w:color="009BDE"/>
            </w:tcBorders>
            <w:gridSpan w:val="2"/>
          </w:tcPr>
          <w:p>
            <w:pPr>
              <w:spacing w:after="0"/>
              <w:rPr>
                <w:sz w:val="5"/>
                <w:szCs w:val="5"/>
                <w:color w:val="auto"/>
              </w:rPr>
            </w:pPr>
          </w:p>
        </w:tc>
        <w:tc>
          <w:tcPr>
            <w:tcW w:w="720" w:type="dxa"/>
            <w:vAlign w:val="bottom"/>
            <w:tcBorders>
              <w:bottom w:val="single" w:sz="8" w:color="009BDE"/>
            </w:tcBorders>
          </w:tcPr>
          <w:p>
            <w:pPr>
              <w:spacing w:after="0"/>
              <w:rPr>
                <w:sz w:val="5"/>
                <w:szCs w:val="5"/>
                <w:color w:val="auto"/>
              </w:rPr>
            </w:pPr>
          </w:p>
        </w:tc>
      </w:tr>
      <w:tr>
        <w:trPr>
          <w:trHeight w:val="183"/>
        </w:trPr>
        <w:tc>
          <w:tcPr>
            <w:tcW w:w="2940" w:type="dxa"/>
            <w:vAlign w:val="bottom"/>
          </w:tcPr>
          <w:p>
            <w:pPr>
              <w:ind w:left="40"/>
              <w:spacing w:after="0"/>
              <w:rPr>
                <w:sz w:val="20"/>
                <w:szCs w:val="20"/>
                <w:color w:val="auto"/>
              </w:rPr>
            </w:pPr>
            <w:r>
              <w:rPr>
                <w:rFonts w:ascii="Arial" w:cs="Arial" w:eastAsia="Arial" w:hAnsi="Arial"/>
                <w:sz w:val="11"/>
                <w:szCs w:val="11"/>
                <w:color w:val="auto"/>
              </w:rPr>
              <w:t>All numbers are in thousands, except percentages</w:t>
            </w: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80" w:type="dxa"/>
            <w:vAlign w:val="bottom"/>
            <w:gridSpan w:val="2"/>
          </w:tcPr>
          <w:p>
            <w:pPr>
              <w:jc w:val="right"/>
              <w:ind w:right="66"/>
              <w:spacing w:after="0"/>
              <w:rPr>
                <w:sz w:val="20"/>
                <w:szCs w:val="20"/>
                <w:color w:val="auto"/>
              </w:rPr>
            </w:pPr>
            <w:r>
              <w:rPr>
                <w:rFonts w:ascii="Arial" w:cs="Arial" w:eastAsia="Arial" w:hAnsi="Arial"/>
                <w:sz w:val="11"/>
                <w:szCs w:val="11"/>
                <w:color w:val="auto"/>
              </w:rPr>
              <w:t>Total Weighted Payout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95%</w:t>
            </w:r>
          </w:p>
        </w:tc>
      </w:tr>
      <w:tr>
        <w:trPr>
          <w:trHeight w:val="67"/>
        </w:trPr>
        <w:tc>
          <w:tcPr>
            <w:tcW w:w="2940" w:type="dxa"/>
            <w:vAlign w:val="bottom"/>
            <w:tcBorders>
              <w:bottom w:val="single" w:sz="8" w:color="009BDE"/>
            </w:tcBorders>
          </w:tcPr>
          <w:p>
            <w:pPr>
              <w:spacing w:after="0"/>
              <w:rPr>
                <w:sz w:val="5"/>
                <w:szCs w:val="5"/>
                <w:color w:val="auto"/>
              </w:rPr>
            </w:pPr>
          </w:p>
        </w:tc>
        <w:tc>
          <w:tcPr>
            <w:tcW w:w="1000" w:type="dxa"/>
            <w:vAlign w:val="bottom"/>
            <w:tcBorders>
              <w:bottom w:val="single" w:sz="8" w:color="009BDE"/>
            </w:tcBorders>
          </w:tcPr>
          <w:p>
            <w:pPr>
              <w:spacing w:after="0"/>
              <w:rPr>
                <w:sz w:val="5"/>
                <w:szCs w:val="5"/>
                <w:color w:val="auto"/>
              </w:rPr>
            </w:pPr>
          </w:p>
        </w:tc>
        <w:tc>
          <w:tcPr>
            <w:tcW w:w="800" w:type="dxa"/>
            <w:vAlign w:val="bottom"/>
            <w:tcBorders>
              <w:bottom w:val="single" w:sz="8" w:color="009BDE"/>
            </w:tcBorders>
          </w:tcPr>
          <w:p>
            <w:pPr>
              <w:spacing w:after="0"/>
              <w:rPr>
                <w:sz w:val="5"/>
                <w:szCs w:val="5"/>
                <w:color w:val="auto"/>
              </w:rPr>
            </w:pPr>
          </w:p>
        </w:tc>
        <w:tc>
          <w:tcPr>
            <w:tcW w:w="100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720" w:type="dxa"/>
            <w:vAlign w:val="bottom"/>
            <w:tcBorders>
              <w:bottom w:val="single" w:sz="8" w:color="009BDE"/>
            </w:tcBorders>
          </w:tcPr>
          <w:p>
            <w:pPr>
              <w:spacing w:after="0"/>
              <w:rPr>
                <w:sz w:val="5"/>
                <w:szCs w:val="5"/>
                <w:color w:val="auto"/>
              </w:rPr>
            </w:pPr>
          </w:p>
        </w:tc>
      </w:tr>
    </w:tbl>
    <w:p>
      <w:pPr>
        <w:spacing w:after="0" w:line="145" w:lineRule="exact"/>
        <w:rPr>
          <w:sz w:val="20"/>
          <w:szCs w:val="20"/>
          <w:color w:val="auto"/>
        </w:rPr>
      </w:pPr>
    </w:p>
    <w:p>
      <w:pPr>
        <w:ind w:left="1980" w:right="839"/>
        <w:spacing w:after="0" w:line="241" w:lineRule="auto"/>
        <w:rPr>
          <w:sz w:val="20"/>
          <w:szCs w:val="20"/>
          <w:color w:val="auto"/>
        </w:rPr>
      </w:pPr>
      <w:r>
        <w:rPr>
          <w:rFonts w:ascii="Arial" w:cs="Arial" w:eastAsia="Arial" w:hAnsi="Arial"/>
          <w:sz w:val="11"/>
          <w:szCs w:val="11"/>
          <w:color w:val="auto"/>
        </w:rPr>
        <w:t>Note: Mr. Throop’s employment agreement provides that 90% target achievement against the weighted financial goals results in a 60% of base salary payout percentage and 110% target achievement against the weighted financial goals results in a 200% of base salary payout percentage. Given both the Company Total Weighted Payout (70%) and the Entertainment Business Area Total Weighted Payout (95%), Mr. Throop received a weighted average payout of 80.9% in accordance with the bonus formula noted above and his employment agreement.</w:t>
      </w:r>
    </w:p>
    <w:p>
      <w:pPr>
        <w:spacing w:after="0" w:line="68" w:lineRule="exact"/>
        <w:rPr>
          <w:sz w:val="20"/>
          <w:szCs w:val="20"/>
          <w:color w:val="auto"/>
        </w:rPr>
      </w:pPr>
    </w:p>
    <w:p>
      <w:pPr>
        <w:ind w:left="1980" w:right="979"/>
        <w:spacing w:after="0" w:line="262" w:lineRule="auto"/>
        <w:rPr>
          <w:sz w:val="20"/>
          <w:szCs w:val="20"/>
          <w:color w:val="auto"/>
        </w:rPr>
      </w:pPr>
      <w:r>
        <w:rPr>
          <w:rFonts w:ascii="Arial" w:cs="Arial" w:eastAsia="Arial" w:hAnsi="Arial"/>
          <w:sz w:val="10"/>
          <w:szCs w:val="10"/>
          <w:color w:val="auto"/>
        </w:rPr>
        <w:t>The calculation of achieved performance excluded certain pre-determined items including (i) unusual, one-time or other significant unbudgeted costs or expenses (such as restructuring costs, acquisitions or disposition of assets, asset impairment charges, intangible asset amortization, litigation related expenses), (ii) unanticipated one-time operation or tax costs associated with changes in the U.S. tax code, (iii) significant customer bankruptcy,</w:t>
      </w:r>
    </w:p>
    <w:p>
      <w:pPr>
        <w:spacing w:after="0" w:line="1" w:lineRule="exact"/>
        <w:rPr>
          <w:sz w:val="20"/>
          <w:szCs w:val="20"/>
          <w:color w:val="auto"/>
        </w:rPr>
      </w:pPr>
    </w:p>
    <w:p>
      <w:pPr>
        <w:ind w:left="1980" w:right="979" w:hanging="8"/>
        <w:spacing w:after="0" w:line="245" w:lineRule="auto"/>
        <w:tabs>
          <w:tab w:leader="none" w:pos="2160" w:val="left"/>
        </w:tabs>
        <w:numPr>
          <w:ilvl w:val="0"/>
          <w:numId w:val="43"/>
        </w:numPr>
        <w:rPr>
          <w:rFonts w:ascii="Arial" w:cs="Arial" w:eastAsia="Arial" w:hAnsi="Arial"/>
          <w:sz w:val="11"/>
          <w:szCs w:val="11"/>
          <w:color w:val="auto"/>
        </w:rPr>
      </w:pPr>
      <w:r>
        <w:rPr>
          <w:rFonts w:ascii="Arial" w:cs="Arial" w:eastAsia="Arial" w:hAnsi="Arial"/>
          <w:sz w:val="11"/>
          <w:szCs w:val="11"/>
          <w:color w:val="auto"/>
        </w:rPr>
        <w:t>changes in exchange rates and (v) significant unanticipated or unbudgeted payments outside the normal course of business related to certain other matters approved by the Committee.</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009BDE"/>
        </w:rPr>
        <w:t>Modification of Calculated Annual Incentive Payouts, including Negative Discretion</w:t>
      </w:r>
    </w:p>
    <w:p>
      <w:pPr>
        <w:spacing w:after="0" w:line="84" w:lineRule="exact"/>
        <w:rPr>
          <w:sz w:val="20"/>
          <w:szCs w:val="20"/>
          <w:color w:val="auto"/>
        </w:rPr>
      </w:pPr>
    </w:p>
    <w:p>
      <w:pPr>
        <w:ind w:left="1980" w:right="899"/>
        <w:spacing w:after="0"/>
        <w:rPr>
          <w:sz w:val="20"/>
          <w:szCs w:val="20"/>
          <w:color w:val="auto"/>
        </w:rPr>
      </w:pPr>
      <w:r>
        <w:rPr>
          <w:rFonts w:ascii="Arial" w:cs="Arial" w:eastAsia="Arial" w:hAnsi="Arial"/>
          <w:sz w:val="11"/>
          <w:szCs w:val="11"/>
          <w:color w:val="auto"/>
        </w:rPr>
        <w:t>With respect to the 2022 annual management incentive plan, the Committee reviewed the performance of the Company and its business areas against the annual incentive plan targets for fiscal year 2022. The Company payout factor for awards under the 2022 annual incentive plan, as shared with the Committee, would have been 70% of target. The Committee reviewed the base incentive awards that would have been received by the NEOs using the Company and business area performance. In addition to the NEO’s individual performance, the Committee also considered the Company’s underperformance, the Company’s transformation efforts, its new strategy and focus areas under Blueprint 2.0 and cost reduction measures taken by the Company intended to position the Company for future success. After this review, the Committee determined to exercise negative discretion and reduce the Company payout factor to 20% of target for senior leaders and 25% for remaining employees. Following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3971925" cy="21717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43</w:t>
      </w:r>
    </w:p>
    <w:p>
      <w:pPr>
        <w:sectPr>
          <w:pgSz w:w="11900" w:h="16838" w:orient="portrait"/>
          <w:cols w:equalWidth="0" w:num="1">
            <w:col w:w="10159"/>
          </w:cols>
          <w:pgMar w:left="300" w:top="372" w:right="1440" w:bottom="1440" w:gutter="0" w:footer="0" w:header="0"/>
        </w:sectPr>
      </w:pPr>
    </w:p>
    <w:bookmarkStart w:id="65" w:name="page66"/>
    <w:bookmarkEnd w:id="6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859"/>
        <w:spacing w:after="0" w:line="241" w:lineRule="auto"/>
        <w:rPr>
          <w:sz w:val="20"/>
          <w:szCs w:val="20"/>
          <w:color w:val="auto"/>
        </w:rPr>
      </w:pPr>
      <w:r>
        <w:rPr>
          <w:rFonts w:ascii="Arial" w:cs="Arial" w:eastAsia="Arial" w:hAnsi="Arial"/>
          <w:sz w:val="11"/>
          <w:szCs w:val="11"/>
          <w:color w:val="auto"/>
        </w:rPr>
        <w:t>determination, including recommendations from both our CEO and CFO that they receive no bonus for 2022, the Committee considered such recommendation and determined to award no payout for each of Mr. Cocks, Ms. Thomas and Mr. Nyman. Ms. Williams received a modified bonus of 75% of target under her bonus formula, reflecting a reduced payout for all senior executives due to the Company’s overall performance while acknowledging Wizards’ solid performance.</w:t>
      </w:r>
    </w:p>
    <w:p>
      <w:pPr>
        <w:spacing w:after="0" w:line="157" w:lineRule="exact"/>
        <w:rPr>
          <w:sz w:val="20"/>
          <w:szCs w:val="20"/>
          <w:color w:val="auto"/>
        </w:rPr>
      </w:pPr>
    </w:p>
    <w:tbl>
      <w:tblPr>
        <w:tblLayout w:type="fixed"/>
        <w:tblInd w:w="1980" w:type="dxa"/>
        <w:tblCellMar>
          <w:top w:w="0" w:type="dxa"/>
          <w:left w:w="0" w:type="dxa"/>
          <w:bottom w:w="0" w:type="dxa"/>
          <w:right w:w="0" w:type="dxa"/>
        </w:tblCellMar>
      </w:tblPr>
      <w:tr>
        <w:trPr>
          <w:trHeight w:val="160"/>
        </w:trPr>
        <w:tc>
          <w:tcPr>
            <w:tcW w:w="1540" w:type="dxa"/>
            <w:vAlign w:val="bottom"/>
            <w:shd w:val="clear" w:color="auto" w:fill="CCEBF8"/>
          </w:tcPr>
          <w:p>
            <w:pPr>
              <w:spacing w:after="0"/>
              <w:rPr>
                <w:sz w:val="13"/>
                <w:szCs w:val="13"/>
                <w:color w:val="auto"/>
              </w:rPr>
            </w:pPr>
          </w:p>
        </w:tc>
        <w:tc>
          <w:tcPr>
            <w:tcW w:w="1040" w:type="dxa"/>
            <w:vAlign w:val="bottom"/>
            <w:shd w:val="clear" w:color="auto" w:fill="CCEBF8"/>
          </w:tcPr>
          <w:p>
            <w:pPr>
              <w:jc w:val="right"/>
              <w:ind w:right="186"/>
              <w:spacing w:after="0"/>
              <w:rPr>
                <w:sz w:val="20"/>
                <w:szCs w:val="20"/>
                <w:color w:val="auto"/>
              </w:rPr>
            </w:pPr>
            <w:r>
              <w:rPr>
                <w:rFonts w:ascii="Arial" w:cs="Arial" w:eastAsia="Arial" w:hAnsi="Arial"/>
                <w:sz w:val="11"/>
                <w:szCs w:val="11"/>
                <w:b w:val="1"/>
                <w:bCs w:val="1"/>
                <w:color w:val="009BDE"/>
              </w:rPr>
              <w:t>Calculated</w:t>
            </w:r>
          </w:p>
        </w:tc>
        <w:tc>
          <w:tcPr>
            <w:tcW w:w="860" w:type="dxa"/>
            <w:vAlign w:val="bottom"/>
            <w:shd w:val="clear" w:color="auto" w:fill="CCEBF8"/>
          </w:tcPr>
          <w:p>
            <w:pPr>
              <w:jc w:val="right"/>
              <w:ind w:right="206"/>
              <w:spacing w:after="0"/>
              <w:rPr>
                <w:sz w:val="20"/>
                <w:szCs w:val="20"/>
                <w:color w:val="auto"/>
              </w:rPr>
            </w:pPr>
            <w:r>
              <w:rPr>
                <w:rFonts w:ascii="Arial" w:cs="Arial" w:eastAsia="Arial" w:hAnsi="Arial"/>
                <w:sz w:val="11"/>
                <w:szCs w:val="11"/>
                <w:b w:val="1"/>
                <w:bCs w:val="1"/>
                <w:color w:val="009BDE"/>
              </w:rPr>
              <w:t>Modified</w:t>
            </w:r>
          </w:p>
        </w:tc>
        <w:tc>
          <w:tcPr>
            <w:tcW w:w="3900" w:type="dxa"/>
            <w:vAlign w:val="bottom"/>
            <w:shd w:val="clear" w:color="auto" w:fill="CCEBF8"/>
          </w:tcPr>
          <w:p>
            <w:pPr>
              <w:spacing w:after="0"/>
              <w:rPr>
                <w:sz w:val="13"/>
                <w:szCs w:val="13"/>
                <w:color w:val="auto"/>
              </w:rPr>
            </w:pPr>
          </w:p>
        </w:tc>
      </w:tr>
      <w:tr>
        <w:trPr>
          <w:trHeight w:val="151"/>
        </w:trPr>
        <w:tc>
          <w:tcPr>
            <w:tcW w:w="1540" w:type="dxa"/>
            <w:vAlign w:val="bottom"/>
            <w:shd w:val="clear" w:color="auto" w:fill="CCEBF8"/>
          </w:tcPr>
          <w:p>
            <w:pPr>
              <w:spacing w:after="0"/>
              <w:rPr>
                <w:sz w:val="20"/>
                <w:szCs w:val="20"/>
                <w:color w:val="auto"/>
              </w:rPr>
            </w:pPr>
            <w:r>
              <w:rPr>
                <w:rFonts w:ascii="Arial" w:cs="Arial" w:eastAsia="Arial" w:hAnsi="Arial"/>
                <w:sz w:val="11"/>
                <w:szCs w:val="11"/>
                <w:b w:val="1"/>
                <w:bCs w:val="1"/>
                <w:color w:val="009BDE"/>
              </w:rPr>
              <w:t>Named Executive Officer</w:t>
            </w:r>
          </w:p>
        </w:tc>
        <w:tc>
          <w:tcPr>
            <w:tcW w:w="1040" w:type="dxa"/>
            <w:vAlign w:val="bottom"/>
            <w:shd w:val="clear" w:color="auto" w:fill="CCEBF8"/>
          </w:tcPr>
          <w:p>
            <w:pPr>
              <w:jc w:val="right"/>
              <w:ind w:right="226"/>
              <w:spacing w:after="0"/>
              <w:rPr>
                <w:sz w:val="20"/>
                <w:szCs w:val="20"/>
                <w:color w:val="auto"/>
              </w:rPr>
            </w:pPr>
            <w:r>
              <w:rPr>
                <w:rFonts w:ascii="Arial" w:cs="Arial" w:eastAsia="Arial" w:hAnsi="Arial"/>
                <w:sz w:val="11"/>
                <w:szCs w:val="11"/>
                <w:b w:val="1"/>
                <w:bCs w:val="1"/>
                <w:color w:val="009BDE"/>
              </w:rPr>
              <w:t>Payout %</w:t>
            </w:r>
          </w:p>
        </w:tc>
        <w:tc>
          <w:tcPr>
            <w:tcW w:w="860" w:type="dxa"/>
            <w:vAlign w:val="bottom"/>
            <w:shd w:val="clear" w:color="auto" w:fill="CCEBF8"/>
          </w:tcPr>
          <w:p>
            <w:pPr>
              <w:jc w:val="right"/>
              <w:ind w:right="186"/>
              <w:spacing w:after="0"/>
              <w:rPr>
                <w:sz w:val="20"/>
                <w:szCs w:val="20"/>
                <w:color w:val="auto"/>
              </w:rPr>
            </w:pPr>
            <w:r>
              <w:rPr>
                <w:rFonts w:ascii="Arial" w:cs="Arial" w:eastAsia="Arial" w:hAnsi="Arial"/>
                <w:sz w:val="11"/>
                <w:szCs w:val="11"/>
                <w:b w:val="1"/>
                <w:bCs w:val="1"/>
                <w:color w:val="009BDE"/>
              </w:rPr>
              <w:t>Payout %</w:t>
            </w:r>
          </w:p>
        </w:tc>
        <w:tc>
          <w:tcPr>
            <w:tcW w:w="3900" w:type="dxa"/>
            <w:vAlign w:val="bottom"/>
            <w:shd w:val="clear" w:color="auto" w:fill="CCEBF8"/>
          </w:tcPr>
          <w:p>
            <w:pPr>
              <w:ind w:left="820"/>
              <w:spacing w:after="0"/>
              <w:rPr>
                <w:sz w:val="20"/>
                <w:szCs w:val="20"/>
                <w:color w:val="auto"/>
              </w:rPr>
            </w:pPr>
            <w:r>
              <w:rPr>
                <w:rFonts w:ascii="Arial" w:cs="Arial" w:eastAsia="Arial" w:hAnsi="Arial"/>
                <w:sz w:val="11"/>
                <w:szCs w:val="11"/>
                <w:b w:val="1"/>
                <w:bCs w:val="1"/>
                <w:color w:val="009BDE"/>
              </w:rPr>
              <w:t>Rationale for Modification to Calculated Payout</w:t>
            </w:r>
          </w:p>
        </w:tc>
      </w:tr>
      <w:tr>
        <w:trPr>
          <w:trHeight w:val="85"/>
        </w:trPr>
        <w:tc>
          <w:tcPr>
            <w:tcW w:w="1540" w:type="dxa"/>
            <w:vAlign w:val="bottom"/>
            <w:tcBorders>
              <w:bottom w:val="single" w:sz="8" w:color="009BDE"/>
            </w:tcBorders>
            <w:shd w:val="clear" w:color="auto" w:fill="CCEBF8"/>
          </w:tcPr>
          <w:p>
            <w:pPr>
              <w:spacing w:after="0"/>
              <w:rPr>
                <w:sz w:val="7"/>
                <w:szCs w:val="7"/>
                <w:color w:val="auto"/>
              </w:rPr>
            </w:pPr>
          </w:p>
        </w:tc>
        <w:tc>
          <w:tcPr>
            <w:tcW w:w="1040" w:type="dxa"/>
            <w:vAlign w:val="bottom"/>
            <w:tcBorders>
              <w:bottom w:val="single" w:sz="8" w:color="009BDE"/>
            </w:tcBorders>
            <w:shd w:val="clear" w:color="auto" w:fill="CCEBF8"/>
          </w:tcPr>
          <w:p>
            <w:pPr>
              <w:spacing w:after="0"/>
              <w:rPr>
                <w:sz w:val="7"/>
                <w:szCs w:val="7"/>
                <w:color w:val="auto"/>
              </w:rPr>
            </w:pPr>
          </w:p>
        </w:tc>
        <w:tc>
          <w:tcPr>
            <w:tcW w:w="860" w:type="dxa"/>
            <w:vAlign w:val="bottom"/>
            <w:tcBorders>
              <w:bottom w:val="single" w:sz="8" w:color="009BDE"/>
            </w:tcBorders>
            <w:shd w:val="clear" w:color="auto" w:fill="CCEBF8"/>
          </w:tcPr>
          <w:p>
            <w:pPr>
              <w:spacing w:after="0"/>
              <w:rPr>
                <w:sz w:val="7"/>
                <w:szCs w:val="7"/>
                <w:color w:val="auto"/>
              </w:rPr>
            </w:pPr>
          </w:p>
        </w:tc>
        <w:tc>
          <w:tcPr>
            <w:tcW w:w="3900" w:type="dxa"/>
            <w:vAlign w:val="bottom"/>
            <w:tcBorders>
              <w:bottom w:val="single" w:sz="8" w:color="009BDE"/>
            </w:tcBorders>
            <w:shd w:val="clear" w:color="auto" w:fill="CCEBF8"/>
          </w:tcPr>
          <w:p>
            <w:pPr>
              <w:spacing w:after="0"/>
              <w:rPr>
                <w:sz w:val="7"/>
                <w:szCs w:val="7"/>
                <w:color w:val="auto"/>
              </w:rPr>
            </w:pPr>
          </w:p>
        </w:tc>
      </w:tr>
      <w:tr>
        <w:trPr>
          <w:trHeight w:val="116"/>
        </w:trPr>
        <w:tc>
          <w:tcPr>
            <w:tcW w:w="1540" w:type="dxa"/>
            <w:vAlign w:val="bottom"/>
          </w:tcPr>
          <w:p>
            <w:pPr>
              <w:ind w:left="40"/>
              <w:spacing w:after="0" w:line="116" w:lineRule="exact"/>
              <w:rPr>
                <w:sz w:val="20"/>
                <w:szCs w:val="20"/>
                <w:color w:val="auto"/>
              </w:rPr>
            </w:pPr>
            <w:r>
              <w:rPr>
                <w:rFonts w:ascii="Arial" w:cs="Arial" w:eastAsia="Arial" w:hAnsi="Arial"/>
                <w:sz w:val="11"/>
                <w:szCs w:val="11"/>
                <w:color w:val="auto"/>
              </w:rPr>
              <w:t>Chris Cocks</w:t>
            </w:r>
          </w:p>
        </w:tc>
        <w:tc>
          <w:tcPr>
            <w:tcW w:w="1040" w:type="dxa"/>
            <w:vAlign w:val="bottom"/>
          </w:tcPr>
          <w:p>
            <w:pPr>
              <w:jc w:val="right"/>
              <w:ind w:right="106"/>
              <w:spacing w:after="0" w:line="116" w:lineRule="exact"/>
              <w:rPr>
                <w:sz w:val="20"/>
                <w:szCs w:val="20"/>
                <w:color w:val="auto"/>
              </w:rPr>
            </w:pPr>
            <w:r>
              <w:rPr>
                <w:rFonts w:ascii="Arial" w:cs="Arial" w:eastAsia="Arial" w:hAnsi="Arial"/>
                <w:sz w:val="11"/>
                <w:szCs w:val="11"/>
                <w:color w:val="auto"/>
              </w:rPr>
              <w:t>70%</w:t>
            </w:r>
          </w:p>
        </w:tc>
        <w:tc>
          <w:tcPr>
            <w:tcW w:w="860" w:type="dxa"/>
            <w:vAlign w:val="bottom"/>
          </w:tcPr>
          <w:p>
            <w:pPr>
              <w:jc w:val="right"/>
              <w:ind w:right="86"/>
              <w:spacing w:after="0" w:line="116" w:lineRule="exact"/>
              <w:rPr>
                <w:sz w:val="20"/>
                <w:szCs w:val="20"/>
                <w:color w:val="auto"/>
              </w:rPr>
            </w:pPr>
            <w:r>
              <w:rPr>
                <w:rFonts w:ascii="Arial" w:cs="Arial" w:eastAsia="Arial" w:hAnsi="Arial"/>
                <w:sz w:val="11"/>
                <w:szCs w:val="11"/>
                <w:color w:val="auto"/>
              </w:rPr>
              <w:t>0%</w:t>
            </w:r>
          </w:p>
        </w:tc>
        <w:tc>
          <w:tcPr>
            <w:tcW w:w="3900" w:type="dxa"/>
            <w:vAlign w:val="bottom"/>
          </w:tcPr>
          <w:p>
            <w:pPr>
              <w:ind w:left="160"/>
              <w:spacing w:after="0" w:line="116" w:lineRule="exact"/>
              <w:rPr>
                <w:sz w:val="20"/>
                <w:szCs w:val="20"/>
                <w:color w:val="auto"/>
              </w:rPr>
            </w:pPr>
            <w:r>
              <w:rPr>
                <w:rFonts w:ascii="Arial" w:cs="Arial" w:eastAsia="Arial" w:hAnsi="Arial"/>
                <w:sz w:val="11"/>
                <w:szCs w:val="11"/>
                <w:color w:val="auto"/>
                <w:w w:val="99"/>
              </w:rPr>
              <w:t>Mr. Cocks recommended that his earned annual incentive payout be reduced</w:t>
            </w:r>
          </w:p>
        </w:tc>
      </w:tr>
      <w:tr>
        <w:trPr>
          <w:trHeight w:val="130"/>
        </w:trPr>
        <w:tc>
          <w:tcPr>
            <w:tcW w:w="1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900" w:type="dxa"/>
            <w:vAlign w:val="bottom"/>
          </w:tcPr>
          <w:p>
            <w:pPr>
              <w:ind w:left="160"/>
              <w:spacing w:after="0"/>
              <w:rPr>
                <w:sz w:val="20"/>
                <w:szCs w:val="20"/>
                <w:color w:val="auto"/>
              </w:rPr>
            </w:pPr>
            <w:r>
              <w:rPr>
                <w:rFonts w:ascii="Arial" w:cs="Arial" w:eastAsia="Arial" w:hAnsi="Arial"/>
                <w:sz w:val="11"/>
                <w:szCs w:val="11"/>
                <w:color w:val="auto"/>
              </w:rPr>
              <w:t>to zero due to the Company’s overall performance during 2022.</w:t>
            </w:r>
          </w:p>
        </w:tc>
      </w:tr>
      <w:tr>
        <w:trPr>
          <w:trHeight w:val="85"/>
        </w:trPr>
        <w:tc>
          <w:tcPr>
            <w:tcW w:w="1540" w:type="dxa"/>
            <w:vAlign w:val="bottom"/>
            <w:tcBorders>
              <w:bottom w:val="single" w:sz="8" w:color="009BDE"/>
            </w:tcBorders>
          </w:tcPr>
          <w:p>
            <w:pPr>
              <w:spacing w:after="0"/>
              <w:rPr>
                <w:sz w:val="7"/>
                <w:szCs w:val="7"/>
                <w:color w:val="auto"/>
              </w:rPr>
            </w:pPr>
          </w:p>
        </w:tc>
        <w:tc>
          <w:tcPr>
            <w:tcW w:w="104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3900" w:type="dxa"/>
            <w:vAlign w:val="bottom"/>
            <w:tcBorders>
              <w:bottom w:val="single" w:sz="8" w:color="009BDE"/>
            </w:tcBorders>
          </w:tcPr>
          <w:p>
            <w:pPr>
              <w:spacing w:after="0"/>
              <w:rPr>
                <w:sz w:val="7"/>
                <w:szCs w:val="7"/>
                <w:color w:val="auto"/>
              </w:rPr>
            </w:pPr>
          </w:p>
        </w:tc>
      </w:tr>
      <w:tr>
        <w:trPr>
          <w:trHeight w:val="116"/>
        </w:trPr>
        <w:tc>
          <w:tcPr>
            <w:tcW w:w="1540" w:type="dxa"/>
            <w:vAlign w:val="bottom"/>
          </w:tcPr>
          <w:p>
            <w:pPr>
              <w:ind w:left="40"/>
              <w:spacing w:after="0" w:line="116" w:lineRule="exact"/>
              <w:rPr>
                <w:sz w:val="20"/>
                <w:szCs w:val="20"/>
                <w:color w:val="auto"/>
              </w:rPr>
            </w:pPr>
            <w:r>
              <w:rPr>
                <w:rFonts w:ascii="Arial" w:cs="Arial" w:eastAsia="Arial" w:hAnsi="Arial"/>
                <w:sz w:val="11"/>
                <w:szCs w:val="11"/>
                <w:color w:val="auto"/>
              </w:rPr>
              <w:t>Deb Thomas</w:t>
            </w:r>
          </w:p>
        </w:tc>
        <w:tc>
          <w:tcPr>
            <w:tcW w:w="1040" w:type="dxa"/>
            <w:vAlign w:val="bottom"/>
          </w:tcPr>
          <w:p>
            <w:pPr>
              <w:jc w:val="right"/>
              <w:ind w:right="106"/>
              <w:spacing w:after="0" w:line="116" w:lineRule="exact"/>
              <w:rPr>
                <w:sz w:val="20"/>
                <w:szCs w:val="20"/>
                <w:color w:val="auto"/>
              </w:rPr>
            </w:pPr>
            <w:r>
              <w:rPr>
                <w:rFonts w:ascii="Arial" w:cs="Arial" w:eastAsia="Arial" w:hAnsi="Arial"/>
                <w:sz w:val="11"/>
                <w:szCs w:val="11"/>
                <w:color w:val="auto"/>
              </w:rPr>
              <w:t>70%</w:t>
            </w:r>
          </w:p>
        </w:tc>
        <w:tc>
          <w:tcPr>
            <w:tcW w:w="860" w:type="dxa"/>
            <w:vAlign w:val="bottom"/>
          </w:tcPr>
          <w:p>
            <w:pPr>
              <w:jc w:val="right"/>
              <w:ind w:right="86"/>
              <w:spacing w:after="0" w:line="116" w:lineRule="exact"/>
              <w:rPr>
                <w:sz w:val="20"/>
                <w:szCs w:val="20"/>
                <w:color w:val="auto"/>
              </w:rPr>
            </w:pPr>
            <w:r>
              <w:rPr>
                <w:rFonts w:ascii="Arial" w:cs="Arial" w:eastAsia="Arial" w:hAnsi="Arial"/>
                <w:sz w:val="11"/>
                <w:szCs w:val="11"/>
                <w:color w:val="auto"/>
              </w:rPr>
              <w:t>0%</w:t>
            </w:r>
          </w:p>
        </w:tc>
        <w:tc>
          <w:tcPr>
            <w:tcW w:w="3900" w:type="dxa"/>
            <w:vAlign w:val="bottom"/>
          </w:tcPr>
          <w:p>
            <w:pPr>
              <w:ind w:left="160"/>
              <w:spacing w:after="0" w:line="116" w:lineRule="exact"/>
              <w:rPr>
                <w:sz w:val="20"/>
                <w:szCs w:val="20"/>
                <w:color w:val="auto"/>
              </w:rPr>
            </w:pPr>
            <w:r>
              <w:rPr>
                <w:rFonts w:ascii="Arial" w:cs="Arial" w:eastAsia="Arial" w:hAnsi="Arial"/>
                <w:sz w:val="11"/>
                <w:szCs w:val="11"/>
                <w:color w:val="auto"/>
              </w:rPr>
              <w:t>Ms. Thomas recommended that her earned annual incentive payout be</w:t>
            </w:r>
          </w:p>
        </w:tc>
      </w:tr>
      <w:tr>
        <w:trPr>
          <w:trHeight w:val="130"/>
        </w:trPr>
        <w:tc>
          <w:tcPr>
            <w:tcW w:w="1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900" w:type="dxa"/>
            <w:vAlign w:val="bottom"/>
          </w:tcPr>
          <w:p>
            <w:pPr>
              <w:ind w:left="160"/>
              <w:spacing w:after="0"/>
              <w:rPr>
                <w:sz w:val="20"/>
                <w:szCs w:val="20"/>
                <w:color w:val="auto"/>
              </w:rPr>
            </w:pPr>
            <w:r>
              <w:rPr>
                <w:rFonts w:ascii="Arial" w:cs="Arial" w:eastAsia="Arial" w:hAnsi="Arial"/>
                <w:sz w:val="11"/>
                <w:szCs w:val="11"/>
                <w:color w:val="auto"/>
              </w:rPr>
              <w:t>reduced to zero due to the Company’s overall performance during 2022.</w:t>
            </w:r>
          </w:p>
        </w:tc>
      </w:tr>
      <w:tr>
        <w:trPr>
          <w:trHeight w:val="85"/>
        </w:trPr>
        <w:tc>
          <w:tcPr>
            <w:tcW w:w="1540" w:type="dxa"/>
            <w:vAlign w:val="bottom"/>
            <w:tcBorders>
              <w:bottom w:val="single" w:sz="8" w:color="009BDE"/>
            </w:tcBorders>
          </w:tcPr>
          <w:p>
            <w:pPr>
              <w:spacing w:after="0"/>
              <w:rPr>
                <w:sz w:val="7"/>
                <w:szCs w:val="7"/>
                <w:color w:val="auto"/>
              </w:rPr>
            </w:pPr>
          </w:p>
        </w:tc>
        <w:tc>
          <w:tcPr>
            <w:tcW w:w="104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3900" w:type="dxa"/>
            <w:vAlign w:val="bottom"/>
            <w:tcBorders>
              <w:bottom w:val="single" w:sz="8" w:color="009BDE"/>
            </w:tcBorders>
          </w:tcPr>
          <w:p>
            <w:pPr>
              <w:spacing w:after="0"/>
              <w:rPr>
                <w:sz w:val="7"/>
                <w:szCs w:val="7"/>
                <w:color w:val="auto"/>
              </w:rPr>
            </w:pPr>
          </w:p>
        </w:tc>
      </w:tr>
      <w:tr>
        <w:trPr>
          <w:trHeight w:val="116"/>
        </w:trPr>
        <w:tc>
          <w:tcPr>
            <w:tcW w:w="1540" w:type="dxa"/>
            <w:vAlign w:val="bottom"/>
          </w:tcPr>
          <w:p>
            <w:pPr>
              <w:ind w:left="40"/>
              <w:spacing w:after="0" w:line="116" w:lineRule="exact"/>
              <w:rPr>
                <w:sz w:val="20"/>
                <w:szCs w:val="20"/>
                <w:color w:val="auto"/>
              </w:rPr>
            </w:pPr>
            <w:r>
              <w:rPr>
                <w:rFonts w:ascii="Arial" w:cs="Arial" w:eastAsia="Arial" w:hAnsi="Arial"/>
                <w:sz w:val="11"/>
                <w:szCs w:val="11"/>
                <w:color w:val="auto"/>
              </w:rPr>
              <w:t>Cynthia Williams</w:t>
            </w:r>
          </w:p>
        </w:tc>
        <w:tc>
          <w:tcPr>
            <w:tcW w:w="1040" w:type="dxa"/>
            <w:vAlign w:val="bottom"/>
          </w:tcPr>
          <w:p>
            <w:pPr>
              <w:jc w:val="right"/>
              <w:ind w:right="106"/>
              <w:spacing w:after="0" w:line="116" w:lineRule="exact"/>
              <w:rPr>
                <w:sz w:val="20"/>
                <w:szCs w:val="20"/>
                <w:color w:val="auto"/>
              </w:rPr>
            </w:pPr>
            <w:r>
              <w:rPr>
                <w:rFonts w:ascii="Arial" w:cs="Arial" w:eastAsia="Arial" w:hAnsi="Arial"/>
                <w:sz w:val="11"/>
                <w:szCs w:val="11"/>
                <w:color w:val="auto"/>
              </w:rPr>
              <w:t>93.2%</w:t>
            </w:r>
          </w:p>
        </w:tc>
        <w:tc>
          <w:tcPr>
            <w:tcW w:w="860" w:type="dxa"/>
            <w:vAlign w:val="bottom"/>
          </w:tcPr>
          <w:p>
            <w:pPr>
              <w:jc w:val="right"/>
              <w:ind w:right="86"/>
              <w:spacing w:after="0" w:line="116" w:lineRule="exact"/>
              <w:rPr>
                <w:sz w:val="20"/>
                <w:szCs w:val="20"/>
                <w:color w:val="auto"/>
              </w:rPr>
            </w:pPr>
            <w:r>
              <w:rPr>
                <w:rFonts w:ascii="Arial" w:cs="Arial" w:eastAsia="Arial" w:hAnsi="Arial"/>
                <w:sz w:val="11"/>
                <w:szCs w:val="11"/>
                <w:color w:val="auto"/>
              </w:rPr>
              <w:t>75%</w:t>
            </w:r>
          </w:p>
        </w:tc>
        <w:tc>
          <w:tcPr>
            <w:tcW w:w="3900" w:type="dxa"/>
            <w:vAlign w:val="bottom"/>
          </w:tcPr>
          <w:p>
            <w:pPr>
              <w:ind w:left="160"/>
              <w:spacing w:after="0" w:line="116" w:lineRule="exact"/>
              <w:rPr>
                <w:sz w:val="20"/>
                <w:szCs w:val="20"/>
                <w:color w:val="auto"/>
              </w:rPr>
            </w:pPr>
            <w:r>
              <w:rPr>
                <w:rFonts w:ascii="Arial" w:cs="Arial" w:eastAsia="Arial" w:hAnsi="Arial"/>
                <w:sz w:val="11"/>
                <w:szCs w:val="11"/>
                <w:color w:val="auto"/>
                <w:w w:val="98"/>
              </w:rPr>
              <w:t>Ms. Williams’ calculated annual incentive payout was reduced consistent with</w:t>
            </w:r>
          </w:p>
        </w:tc>
      </w:tr>
      <w:tr>
        <w:trPr>
          <w:trHeight w:val="126"/>
        </w:trPr>
        <w:tc>
          <w:tcPr>
            <w:tcW w:w="1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900" w:type="dxa"/>
            <w:vAlign w:val="bottom"/>
          </w:tcPr>
          <w:p>
            <w:pPr>
              <w:ind w:left="160"/>
              <w:spacing w:after="0"/>
              <w:rPr>
                <w:sz w:val="20"/>
                <w:szCs w:val="20"/>
                <w:color w:val="auto"/>
              </w:rPr>
            </w:pPr>
            <w:r>
              <w:rPr>
                <w:rFonts w:ascii="Arial" w:cs="Arial" w:eastAsia="Arial" w:hAnsi="Arial"/>
                <w:sz w:val="11"/>
                <w:szCs w:val="11"/>
                <w:color w:val="auto"/>
              </w:rPr>
              <w:t>the Committee’s philosophy of holding senior executives accountable for the</w:t>
            </w:r>
          </w:p>
        </w:tc>
      </w:tr>
      <w:tr>
        <w:trPr>
          <w:trHeight w:val="126"/>
        </w:trPr>
        <w:tc>
          <w:tcPr>
            <w:tcW w:w="1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900" w:type="dxa"/>
            <w:vAlign w:val="bottom"/>
          </w:tcPr>
          <w:p>
            <w:pPr>
              <w:ind w:left="160"/>
              <w:spacing w:after="0"/>
              <w:rPr>
                <w:sz w:val="20"/>
                <w:szCs w:val="20"/>
                <w:color w:val="auto"/>
              </w:rPr>
            </w:pPr>
            <w:r>
              <w:rPr>
                <w:rFonts w:ascii="Arial" w:cs="Arial" w:eastAsia="Arial" w:hAnsi="Arial"/>
                <w:sz w:val="11"/>
                <w:szCs w:val="11"/>
                <w:color w:val="auto"/>
                <w:w w:val="99"/>
              </w:rPr>
              <w:t>overall performance of the Company, while recognizing Wizards’ solid overall</w:t>
            </w:r>
          </w:p>
        </w:tc>
      </w:tr>
      <w:tr>
        <w:trPr>
          <w:trHeight w:val="130"/>
        </w:trPr>
        <w:tc>
          <w:tcPr>
            <w:tcW w:w="1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900" w:type="dxa"/>
            <w:vAlign w:val="bottom"/>
          </w:tcPr>
          <w:p>
            <w:pPr>
              <w:ind w:left="160"/>
              <w:spacing w:after="0"/>
              <w:rPr>
                <w:sz w:val="20"/>
                <w:szCs w:val="20"/>
                <w:color w:val="auto"/>
              </w:rPr>
            </w:pPr>
            <w:r>
              <w:rPr>
                <w:rFonts w:ascii="Arial" w:cs="Arial" w:eastAsia="Arial" w:hAnsi="Arial"/>
                <w:sz w:val="11"/>
                <w:szCs w:val="11"/>
                <w:color w:val="auto"/>
              </w:rPr>
              <w:t>performance.</w:t>
            </w:r>
          </w:p>
        </w:tc>
      </w:tr>
      <w:tr>
        <w:trPr>
          <w:trHeight w:val="85"/>
        </w:trPr>
        <w:tc>
          <w:tcPr>
            <w:tcW w:w="1540" w:type="dxa"/>
            <w:vAlign w:val="bottom"/>
            <w:tcBorders>
              <w:bottom w:val="single" w:sz="8" w:color="009BDE"/>
            </w:tcBorders>
          </w:tcPr>
          <w:p>
            <w:pPr>
              <w:spacing w:after="0"/>
              <w:rPr>
                <w:sz w:val="7"/>
                <w:szCs w:val="7"/>
                <w:color w:val="auto"/>
              </w:rPr>
            </w:pPr>
          </w:p>
        </w:tc>
        <w:tc>
          <w:tcPr>
            <w:tcW w:w="104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3900" w:type="dxa"/>
            <w:vAlign w:val="bottom"/>
            <w:tcBorders>
              <w:bottom w:val="single" w:sz="8" w:color="009BDE"/>
            </w:tcBorders>
          </w:tcPr>
          <w:p>
            <w:pPr>
              <w:spacing w:after="0"/>
              <w:rPr>
                <w:sz w:val="7"/>
                <w:szCs w:val="7"/>
                <w:color w:val="auto"/>
              </w:rPr>
            </w:pPr>
          </w:p>
        </w:tc>
      </w:tr>
      <w:tr>
        <w:trPr>
          <w:trHeight w:val="116"/>
        </w:trPr>
        <w:tc>
          <w:tcPr>
            <w:tcW w:w="1540" w:type="dxa"/>
            <w:vAlign w:val="bottom"/>
          </w:tcPr>
          <w:p>
            <w:pPr>
              <w:ind w:left="40"/>
              <w:spacing w:after="0" w:line="116" w:lineRule="exact"/>
              <w:rPr>
                <w:sz w:val="20"/>
                <w:szCs w:val="20"/>
                <w:color w:val="auto"/>
              </w:rPr>
            </w:pPr>
            <w:r>
              <w:rPr>
                <w:rFonts w:ascii="Arial" w:cs="Arial" w:eastAsia="Arial" w:hAnsi="Arial"/>
                <w:sz w:val="11"/>
                <w:szCs w:val="11"/>
                <w:color w:val="auto"/>
              </w:rPr>
              <w:t>Eric Nyman</w:t>
            </w:r>
          </w:p>
        </w:tc>
        <w:tc>
          <w:tcPr>
            <w:tcW w:w="1040" w:type="dxa"/>
            <w:vAlign w:val="bottom"/>
          </w:tcPr>
          <w:p>
            <w:pPr>
              <w:jc w:val="right"/>
              <w:ind w:right="106"/>
              <w:spacing w:after="0" w:line="116" w:lineRule="exact"/>
              <w:rPr>
                <w:sz w:val="20"/>
                <w:szCs w:val="20"/>
                <w:color w:val="auto"/>
              </w:rPr>
            </w:pPr>
            <w:r>
              <w:rPr>
                <w:rFonts w:ascii="Arial" w:cs="Arial" w:eastAsia="Arial" w:hAnsi="Arial"/>
                <w:sz w:val="11"/>
                <w:szCs w:val="11"/>
                <w:color w:val="auto"/>
              </w:rPr>
              <w:t>14%</w:t>
            </w:r>
          </w:p>
        </w:tc>
        <w:tc>
          <w:tcPr>
            <w:tcW w:w="860" w:type="dxa"/>
            <w:vAlign w:val="bottom"/>
          </w:tcPr>
          <w:p>
            <w:pPr>
              <w:jc w:val="right"/>
              <w:ind w:right="86"/>
              <w:spacing w:after="0" w:line="116" w:lineRule="exact"/>
              <w:rPr>
                <w:sz w:val="20"/>
                <w:szCs w:val="20"/>
                <w:color w:val="auto"/>
              </w:rPr>
            </w:pPr>
            <w:r>
              <w:rPr>
                <w:rFonts w:ascii="Arial" w:cs="Arial" w:eastAsia="Arial" w:hAnsi="Arial"/>
                <w:sz w:val="11"/>
                <w:szCs w:val="11"/>
                <w:color w:val="auto"/>
              </w:rPr>
              <w:t>0%</w:t>
            </w:r>
          </w:p>
        </w:tc>
        <w:tc>
          <w:tcPr>
            <w:tcW w:w="3900" w:type="dxa"/>
            <w:vAlign w:val="bottom"/>
          </w:tcPr>
          <w:p>
            <w:pPr>
              <w:ind w:left="160"/>
              <w:spacing w:after="0" w:line="116" w:lineRule="exact"/>
              <w:rPr>
                <w:sz w:val="20"/>
                <w:szCs w:val="20"/>
                <w:color w:val="auto"/>
              </w:rPr>
            </w:pPr>
            <w:r>
              <w:rPr>
                <w:rFonts w:ascii="Arial" w:cs="Arial" w:eastAsia="Arial" w:hAnsi="Arial"/>
                <w:sz w:val="11"/>
                <w:szCs w:val="11"/>
                <w:color w:val="auto"/>
              </w:rPr>
              <w:t>Mr. Nyman’s calculated annual incentive payout was reduced due to the</w:t>
            </w:r>
          </w:p>
        </w:tc>
      </w:tr>
      <w:tr>
        <w:trPr>
          <w:trHeight w:val="130"/>
        </w:trPr>
        <w:tc>
          <w:tcPr>
            <w:tcW w:w="1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900" w:type="dxa"/>
            <w:vAlign w:val="bottom"/>
          </w:tcPr>
          <w:p>
            <w:pPr>
              <w:ind w:left="160"/>
              <w:spacing w:after="0"/>
              <w:rPr>
                <w:sz w:val="20"/>
                <w:szCs w:val="20"/>
                <w:color w:val="auto"/>
              </w:rPr>
            </w:pPr>
            <w:r>
              <w:rPr>
                <w:rFonts w:ascii="Arial" w:cs="Arial" w:eastAsia="Arial" w:hAnsi="Arial"/>
                <w:sz w:val="11"/>
                <w:szCs w:val="11"/>
                <w:color w:val="auto"/>
              </w:rPr>
              <w:t>results within the Hasbro Consumer Products Business Area.</w:t>
            </w:r>
          </w:p>
        </w:tc>
      </w:tr>
      <w:tr>
        <w:trPr>
          <w:trHeight w:val="85"/>
        </w:trPr>
        <w:tc>
          <w:tcPr>
            <w:tcW w:w="1540" w:type="dxa"/>
            <w:vAlign w:val="bottom"/>
            <w:tcBorders>
              <w:bottom w:val="single" w:sz="8" w:color="009BDE"/>
            </w:tcBorders>
          </w:tcPr>
          <w:p>
            <w:pPr>
              <w:spacing w:after="0"/>
              <w:rPr>
                <w:sz w:val="7"/>
                <w:szCs w:val="7"/>
                <w:color w:val="auto"/>
              </w:rPr>
            </w:pPr>
          </w:p>
        </w:tc>
        <w:tc>
          <w:tcPr>
            <w:tcW w:w="104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3900" w:type="dxa"/>
            <w:vAlign w:val="bottom"/>
            <w:tcBorders>
              <w:bottom w:val="single" w:sz="8" w:color="009BDE"/>
            </w:tcBorders>
          </w:tcPr>
          <w:p>
            <w:pPr>
              <w:spacing w:after="0"/>
              <w:rPr>
                <w:sz w:val="7"/>
                <w:szCs w:val="7"/>
                <w:color w:val="auto"/>
              </w:rPr>
            </w:pPr>
          </w:p>
        </w:tc>
      </w:tr>
      <w:tr>
        <w:trPr>
          <w:trHeight w:val="120"/>
        </w:trPr>
        <w:tc>
          <w:tcPr>
            <w:tcW w:w="1540" w:type="dxa"/>
            <w:vAlign w:val="bottom"/>
          </w:tcPr>
          <w:p>
            <w:pPr>
              <w:ind w:left="40"/>
              <w:spacing w:after="0" w:line="120" w:lineRule="exact"/>
              <w:rPr>
                <w:sz w:val="20"/>
                <w:szCs w:val="20"/>
                <w:color w:val="auto"/>
              </w:rPr>
            </w:pPr>
            <w:r>
              <w:rPr>
                <w:rFonts w:ascii="Arial" w:cs="Arial" w:eastAsia="Arial" w:hAnsi="Arial"/>
                <w:sz w:val="11"/>
                <w:szCs w:val="11"/>
                <w:color w:val="auto"/>
              </w:rPr>
              <w:t>Darren Throop</w:t>
            </w:r>
          </w:p>
        </w:tc>
        <w:tc>
          <w:tcPr>
            <w:tcW w:w="104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80.9%</w:t>
            </w:r>
          </w:p>
        </w:tc>
        <w:tc>
          <w:tcPr>
            <w:tcW w:w="860" w:type="dxa"/>
            <w:vAlign w:val="bottom"/>
          </w:tcPr>
          <w:p>
            <w:pPr>
              <w:jc w:val="right"/>
              <w:ind w:right="86"/>
              <w:spacing w:after="0" w:line="120" w:lineRule="exact"/>
              <w:rPr>
                <w:sz w:val="20"/>
                <w:szCs w:val="20"/>
                <w:color w:val="auto"/>
              </w:rPr>
            </w:pPr>
            <w:r>
              <w:rPr>
                <w:rFonts w:ascii="Arial" w:cs="Arial" w:eastAsia="Arial" w:hAnsi="Arial"/>
                <w:sz w:val="11"/>
                <w:szCs w:val="11"/>
                <w:color w:val="auto"/>
              </w:rPr>
              <w:t>80.9%</w:t>
            </w:r>
          </w:p>
        </w:tc>
        <w:tc>
          <w:tcPr>
            <w:tcW w:w="3900" w:type="dxa"/>
            <w:vAlign w:val="bottom"/>
          </w:tcPr>
          <w:p>
            <w:pPr>
              <w:ind w:left="160"/>
              <w:spacing w:after="0" w:line="120" w:lineRule="exact"/>
              <w:rPr>
                <w:sz w:val="20"/>
                <w:szCs w:val="20"/>
                <w:color w:val="auto"/>
              </w:rPr>
            </w:pPr>
            <w:r>
              <w:rPr>
                <w:rFonts w:ascii="Arial" w:cs="Arial" w:eastAsia="Arial" w:hAnsi="Arial"/>
                <w:sz w:val="11"/>
                <w:szCs w:val="11"/>
                <w:color w:val="auto"/>
              </w:rPr>
              <w:t>Mr. Throop’s payout is governed by his employment agreement.</w:t>
            </w:r>
          </w:p>
        </w:tc>
      </w:tr>
      <w:tr>
        <w:trPr>
          <w:trHeight w:val="85"/>
        </w:trPr>
        <w:tc>
          <w:tcPr>
            <w:tcW w:w="1540" w:type="dxa"/>
            <w:vAlign w:val="bottom"/>
            <w:tcBorders>
              <w:bottom w:val="single" w:sz="8" w:color="009BDE"/>
            </w:tcBorders>
          </w:tcPr>
          <w:p>
            <w:pPr>
              <w:spacing w:after="0"/>
              <w:rPr>
                <w:sz w:val="7"/>
                <w:szCs w:val="7"/>
                <w:color w:val="auto"/>
              </w:rPr>
            </w:pPr>
          </w:p>
        </w:tc>
        <w:tc>
          <w:tcPr>
            <w:tcW w:w="104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3900" w:type="dxa"/>
            <w:vAlign w:val="bottom"/>
            <w:tcBorders>
              <w:bottom w:val="single" w:sz="8" w:color="009BDE"/>
            </w:tcBorders>
          </w:tcPr>
          <w:p>
            <w:pPr>
              <w:spacing w:after="0"/>
              <w:rPr>
                <w:sz w:val="7"/>
                <w:szCs w:val="7"/>
                <w:color w:val="auto"/>
              </w:rPr>
            </w:pPr>
          </w:p>
        </w:tc>
      </w:tr>
    </w:tbl>
    <w:p>
      <w:pPr>
        <w:spacing w:after="0" w:line="205"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009BDE"/>
        </w:rPr>
        <w:t>2022 Modified Annual Incentive Payouts</w:t>
      </w:r>
    </w:p>
    <w:p>
      <w:pPr>
        <w:spacing w:after="0" w:line="8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table below shows each eligible NEO’s calculated and modified 2022 annual incentive payout.</w:t>
      </w:r>
    </w:p>
    <w:p>
      <w:pPr>
        <w:spacing w:after="0" w:line="160" w:lineRule="exact"/>
        <w:rPr>
          <w:sz w:val="20"/>
          <w:szCs w:val="20"/>
          <w:color w:val="auto"/>
        </w:rPr>
      </w:pPr>
    </w:p>
    <w:tbl>
      <w:tblPr>
        <w:tblLayout w:type="fixed"/>
        <w:tblInd w:w="2520" w:type="dxa"/>
        <w:tblCellMar>
          <w:top w:w="0" w:type="dxa"/>
          <w:left w:w="0" w:type="dxa"/>
          <w:bottom w:w="0" w:type="dxa"/>
          <w:right w:w="0" w:type="dxa"/>
        </w:tblCellMar>
      </w:tblPr>
      <w:tr>
        <w:trPr>
          <w:trHeight w:val="160"/>
        </w:trPr>
        <w:tc>
          <w:tcPr>
            <w:tcW w:w="2480" w:type="dxa"/>
            <w:vAlign w:val="bottom"/>
            <w:shd w:val="clear" w:color="auto" w:fill="CCEBF8"/>
          </w:tcPr>
          <w:p>
            <w:pPr>
              <w:spacing w:after="0"/>
              <w:rPr>
                <w:sz w:val="13"/>
                <w:szCs w:val="13"/>
                <w:color w:val="auto"/>
              </w:rPr>
            </w:pPr>
          </w:p>
        </w:tc>
        <w:tc>
          <w:tcPr>
            <w:tcW w:w="420" w:type="dxa"/>
            <w:vAlign w:val="bottom"/>
            <w:shd w:val="clear" w:color="auto" w:fill="CCEBF8"/>
          </w:tcPr>
          <w:p>
            <w:pPr>
              <w:spacing w:after="0"/>
              <w:rPr>
                <w:sz w:val="13"/>
                <w:szCs w:val="13"/>
                <w:color w:val="auto"/>
              </w:rPr>
            </w:pPr>
          </w:p>
        </w:tc>
        <w:tc>
          <w:tcPr>
            <w:tcW w:w="760" w:type="dxa"/>
            <w:vAlign w:val="bottom"/>
            <w:shd w:val="clear" w:color="auto" w:fill="CCEBF8"/>
          </w:tcPr>
          <w:p>
            <w:pPr>
              <w:jc w:val="center"/>
              <w:ind w:right="186"/>
              <w:spacing w:after="0"/>
              <w:rPr>
                <w:sz w:val="20"/>
                <w:szCs w:val="20"/>
                <w:color w:val="auto"/>
              </w:rPr>
            </w:pPr>
            <w:r>
              <w:rPr>
                <w:rFonts w:ascii="Arial" w:cs="Arial" w:eastAsia="Arial" w:hAnsi="Arial"/>
                <w:sz w:val="11"/>
                <w:szCs w:val="11"/>
                <w:b w:val="1"/>
                <w:bCs w:val="1"/>
                <w:color w:val="009BDE"/>
                <w:w w:val="97"/>
              </w:rPr>
              <w:t>2022</w:t>
            </w:r>
          </w:p>
        </w:tc>
        <w:tc>
          <w:tcPr>
            <w:tcW w:w="260" w:type="dxa"/>
            <w:vAlign w:val="bottom"/>
            <w:shd w:val="clear" w:color="auto" w:fill="CCEBF8"/>
          </w:tcPr>
          <w:p>
            <w:pPr>
              <w:spacing w:after="0"/>
              <w:rPr>
                <w:sz w:val="13"/>
                <w:szCs w:val="13"/>
                <w:color w:val="auto"/>
              </w:rPr>
            </w:pPr>
          </w:p>
        </w:tc>
        <w:tc>
          <w:tcPr>
            <w:tcW w:w="680" w:type="dxa"/>
            <w:vAlign w:val="bottom"/>
            <w:shd w:val="clear" w:color="auto" w:fill="CCEBF8"/>
          </w:tcPr>
          <w:p>
            <w:pPr>
              <w:spacing w:after="0"/>
              <w:rPr>
                <w:sz w:val="13"/>
                <w:szCs w:val="13"/>
                <w:color w:val="auto"/>
              </w:rPr>
            </w:pPr>
          </w:p>
        </w:tc>
        <w:tc>
          <w:tcPr>
            <w:tcW w:w="260" w:type="dxa"/>
            <w:vAlign w:val="bottom"/>
            <w:shd w:val="clear" w:color="auto" w:fill="CCEBF8"/>
          </w:tcPr>
          <w:p>
            <w:pPr>
              <w:spacing w:after="0"/>
              <w:rPr>
                <w:sz w:val="13"/>
                <w:szCs w:val="13"/>
                <w:color w:val="auto"/>
              </w:rPr>
            </w:pPr>
          </w:p>
        </w:tc>
        <w:tc>
          <w:tcPr>
            <w:tcW w:w="640" w:type="dxa"/>
            <w:vAlign w:val="bottom"/>
            <w:shd w:val="clear" w:color="auto" w:fill="CCEBF8"/>
          </w:tcPr>
          <w:p>
            <w:pPr>
              <w:spacing w:after="0"/>
              <w:rPr>
                <w:sz w:val="13"/>
                <w:szCs w:val="13"/>
                <w:color w:val="auto"/>
              </w:rPr>
            </w:pPr>
          </w:p>
        </w:tc>
        <w:tc>
          <w:tcPr>
            <w:tcW w:w="74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rPr>
              <w:t>Modified</w:t>
            </w:r>
          </w:p>
        </w:tc>
      </w:tr>
      <w:tr>
        <w:trPr>
          <w:trHeight w:val="126"/>
        </w:trPr>
        <w:tc>
          <w:tcPr>
            <w:tcW w:w="2480" w:type="dxa"/>
            <w:vAlign w:val="bottom"/>
            <w:shd w:val="clear" w:color="auto" w:fill="CCEBF8"/>
          </w:tcPr>
          <w:p>
            <w:pPr>
              <w:spacing w:after="0"/>
              <w:rPr>
                <w:sz w:val="10"/>
                <w:szCs w:val="10"/>
                <w:color w:val="auto"/>
              </w:rPr>
            </w:pPr>
          </w:p>
        </w:tc>
        <w:tc>
          <w:tcPr>
            <w:tcW w:w="420" w:type="dxa"/>
            <w:vAlign w:val="bottom"/>
            <w:shd w:val="clear" w:color="auto" w:fill="CCEBF8"/>
          </w:tcPr>
          <w:p>
            <w:pPr>
              <w:spacing w:after="0"/>
              <w:rPr>
                <w:sz w:val="10"/>
                <w:szCs w:val="10"/>
                <w:color w:val="auto"/>
              </w:rPr>
            </w:pPr>
          </w:p>
        </w:tc>
        <w:tc>
          <w:tcPr>
            <w:tcW w:w="760" w:type="dxa"/>
            <w:vAlign w:val="bottom"/>
            <w:shd w:val="clear" w:color="auto" w:fill="CCEBF8"/>
          </w:tcPr>
          <w:p>
            <w:pPr>
              <w:jc w:val="center"/>
              <w:ind w:right="186"/>
              <w:spacing w:after="0"/>
              <w:rPr>
                <w:sz w:val="20"/>
                <w:szCs w:val="20"/>
                <w:color w:val="auto"/>
              </w:rPr>
            </w:pPr>
            <w:r>
              <w:rPr>
                <w:rFonts w:ascii="Arial" w:cs="Arial" w:eastAsia="Arial" w:hAnsi="Arial"/>
                <w:sz w:val="11"/>
                <w:szCs w:val="11"/>
                <w:b w:val="1"/>
                <w:bCs w:val="1"/>
                <w:color w:val="009BDE"/>
                <w:w w:val="95"/>
              </w:rPr>
              <w:t>Target</w:t>
            </w:r>
          </w:p>
        </w:tc>
        <w:tc>
          <w:tcPr>
            <w:tcW w:w="260" w:type="dxa"/>
            <w:vAlign w:val="bottom"/>
            <w:shd w:val="clear" w:color="auto" w:fill="CCEBF8"/>
          </w:tcPr>
          <w:p>
            <w:pPr>
              <w:spacing w:after="0"/>
              <w:rPr>
                <w:sz w:val="10"/>
                <w:szCs w:val="10"/>
                <w:color w:val="auto"/>
              </w:rPr>
            </w:pPr>
          </w:p>
        </w:tc>
        <w:tc>
          <w:tcPr>
            <w:tcW w:w="680" w:type="dxa"/>
            <w:vAlign w:val="bottom"/>
            <w:shd w:val="clear" w:color="auto" w:fill="CCEBF8"/>
          </w:tcPr>
          <w:p>
            <w:pPr>
              <w:spacing w:after="0"/>
              <w:rPr>
                <w:sz w:val="10"/>
                <w:szCs w:val="10"/>
                <w:color w:val="auto"/>
              </w:rPr>
            </w:pPr>
          </w:p>
        </w:tc>
        <w:tc>
          <w:tcPr>
            <w:tcW w:w="260" w:type="dxa"/>
            <w:vAlign w:val="bottom"/>
            <w:shd w:val="clear" w:color="auto" w:fill="CCEBF8"/>
          </w:tcPr>
          <w:p>
            <w:pPr>
              <w:spacing w:after="0"/>
              <w:rPr>
                <w:sz w:val="10"/>
                <w:szCs w:val="10"/>
                <w:color w:val="auto"/>
              </w:rPr>
            </w:pPr>
          </w:p>
        </w:tc>
        <w:tc>
          <w:tcPr>
            <w:tcW w:w="640" w:type="dxa"/>
            <w:vAlign w:val="bottom"/>
            <w:shd w:val="clear" w:color="auto" w:fill="CCEBF8"/>
          </w:tcPr>
          <w:p>
            <w:pPr>
              <w:spacing w:after="0"/>
              <w:rPr>
                <w:sz w:val="10"/>
                <w:szCs w:val="10"/>
                <w:color w:val="auto"/>
              </w:rPr>
            </w:pPr>
          </w:p>
        </w:tc>
        <w:tc>
          <w:tcPr>
            <w:tcW w:w="74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6"/>
              </w:rPr>
              <w:t>Incentive</w:t>
            </w:r>
          </w:p>
        </w:tc>
      </w:tr>
      <w:tr>
        <w:trPr>
          <w:trHeight w:val="126"/>
        </w:trPr>
        <w:tc>
          <w:tcPr>
            <w:tcW w:w="2480" w:type="dxa"/>
            <w:vAlign w:val="bottom"/>
            <w:shd w:val="clear" w:color="auto" w:fill="CCEBF8"/>
          </w:tcPr>
          <w:p>
            <w:pPr>
              <w:spacing w:after="0"/>
              <w:rPr>
                <w:sz w:val="10"/>
                <w:szCs w:val="10"/>
                <w:color w:val="auto"/>
              </w:rPr>
            </w:pPr>
          </w:p>
        </w:tc>
        <w:tc>
          <w:tcPr>
            <w:tcW w:w="420" w:type="dxa"/>
            <w:vAlign w:val="bottom"/>
            <w:shd w:val="clear" w:color="auto" w:fill="CCEBF8"/>
          </w:tcPr>
          <w:p>
            <w:pPr>
              <w:spacing w:after="0"/>
              <w:rPr>
                <w:sz w:val="10"/>
                <w:szCs w:val="10"/>
                <w:color w:val="auto"/>
              </w:rPr>
            </w:pPr>
          </w:p>
        </w:tc>
        <w:tc>
          <w:tcPr>
            <w:tcW w:w="760" w:type="dxa"/>
            <w:vAlign w:val="bottom"/>
            <w:shd w:val="clear" w:color="auto" w:fill="CCEBF8"/>
          </w:tcPr>
          <w:p>
            <w:pPr>
              <w:jc w:val="center"/>
              <w:ind w:right="206"/>
              <w:spacing w:after="0"/>
              <w:rPr>
                <w:sz w:val="20"/>
                <w:szCs w:val="20"/>
                <w:color w:val="auto"/>
              </w:rPr>
            </w:pPr>
            <w:r>
              <w:rPr>
                <w:rFonts w:ascii="Arial" w:cs="Arial" w:eastAsia="Arial" w:hAnsi="Arial"/>
                <w:sz w:val="11"/>
                <w:szCs w:val="11"/>
                <w:b w:val="1"/>
                <w:bCs w:val="1"/>
                <w:color w:val="009BDE"/>
                <w:w w:val="96"/>
              </w:rPr>
              <w:t>Incentive</w:t>
            </w:r>
          </w:p>
        </w:tc>
        <w:tc>
          <w:tcPr>
            <w:tcW w:w="940" w:type="dxa"/>
            <w:vAlign w:val="bottom"/>
            <w:gridSpan w:val="2"/>
            <w:shd w:val="clear" w:color="auto" w:fill="CCEBF8"/>
          </w:tcPr>
          <w:p>
            <w:pPr>
              <w:ind w:left="200"/>
              <w:spacing w:after="0"/>
              <w:rPr>
                <w:sz w:val="20"/>
                <w:szCs w:val="20"/>
                <w:color w:val="auto"/>
              </w:rPr>
            </w:pPr>
            <w:r>
              <w:rPr>
                <w:rFonts w:ascii="Arial" w:cs="Arial" w:eastAsia="Arial" w:hAnsi="Arial"/>
                <w:sz w:val="11"/>
                <w:szCs w:val="11"/>
                <w:b w:val="1"/>
                <w:bCs w:val="1"/>
                <w:color w:val="009BDE"/>
              </w:rPr>
              <w:t>Calculated</w:t>
            </w:r>
          </w:p>
        </w:tc>
        <w:tc>
          <w:tcPr>
            <w:tcW w:w="900" w:type="dxa"/>
            <w:vAlign w:val="bottom"/>
            <w:gridSpan w:val="2"/>
            <w:shd w:val="clear" w:color="auto" w:fill="CCEBF8"/>
          </w:tcPr>
          <w:p>
            <w:pPr>
              <w:jc w:val="center"/>
              <w:ind w:left="6"/>
              <w:spacing w:after="0"/>
              <w:rPr>
                <w:sz w:val="20"/>
                <w:szCs w:val="20"/>
                <w:color w:val="auto"/>
              </w:rPr>
            </w:pPr>
            <w:r>
              <w:rPr>
                <w:rFonts w:ascii="Arial" w:cs="Arial" w:eastAsia="Arial" w:hAnsi="Arial"/>
                <w:sz w:val="11"/>
                <w:szCs w:val="11"/>
                <w:b w:val="1"/>
                <w:bCs w:val="1"/>
                <w:color w:val="009BDE"/>
                <w:w w:val="97"/>
              </w:rPr>
              <w:t>Modified</w:t>
            </w:r>
          </w:p>
        </w:tc>
        <w:tc>
          <w:tcPr>
            <w:tcW w:w="74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rPr>
              <w:t>Award</w:t>
            </w:r>
          </w:p>
        </w:tc>
      </w:tr>
      <w:tr>
        <w:trPr>
          <w:trHeight w:val="126"/>
        </w:trPr>
        <w:tc>
          <w:tcPr>
            <w:tcW w:w="2480" w:type="dxa"/>
            <w:vAlign w:val="bottom"/>
            <w:shd w:val="clear" w:color="auto" w:fill="CCEBF8"/>
          </w:tcPr>
          <w:p>
            <w:pPr>
              <w:spacing w:after="0"/>
              <w:rPr>
                <w:sz w:val="10"/>
                <w:szCs w:val="10"/>
                <w:color w:val="auto"/>
              </w:rPr>
            </w:pPr>
          </w:p>
        </w:tc>
        <w:tc>
          <w:tcPr>
            <w:tcW w:w="420" w:type="dxa"/>
            <w:vAlign w:val="bottom"/>
            <w:shd w:val="clear" w:color="auto" w:fill="CCEBF8"/>
          </w:tcPr>
          <w:p>
            <w:pPr>
              <w:spacing w:after="0"/>
              <w:rPr>
                <w:sz w:val="10"/>
                <w:szCs w:val="10"/>
                <w:color w:val="auto"/>
              </w:rPr>
            </w:pPr>
          </w:p>
        </w:tc>
        <w:tc>
          <w:tcPr>
            <w:tcW w:w="760" w:type="dxa"/>
            <w:vAlign w:val="bottom"/>
            <w:shd w:val="clear" w:color="auto" w:fill="CCEBF8"/>
          </w:tcPr>
          <w:p>
            <w:pPr>
              <w:jc w:val="center"/>
              <w:ind w:right="206"/>
              <w:spacing w:after="0"/>
              <w:rPr>
                <w:sz w:val="20"/>
                <w:szCs w:val="20"/>
                <w:color w:val="auto"/>
              </w:rPr>
            </w:pPr>
            <w:r>
              <w:rPr>
                <w:rFonts w:ascii="Arial" w:cs="Arial" w:eastAsia="Arial" w:hAnsi="Arial"/>
                <w:sz w:val="11"/>
                <w:szCs w:val="11"/>
                <w:b w:val="1"/>
                <w:bCs w:val="1"/>
                <w:color w:val="009BDE"/>
              </w:rPr>
              <w:t>Award</w:t>
            </w:r>
          </w:p>
        </w:tc>
        <w:tc>
          <w:tcPr>
            <w:tcW w:w="940" w:type="dxa"/>
            <w:vAlign w:val="bottom"/>
            <w:gridSpan w:val="2"/>
            <w:shd w:val="clear" w:color="auto" w:fill="CCEBF8"/>
          </w:tcPr>
          <w:p>
            <w:pPr>
              <w:ind w:left="240"/>
              <w:spacing w:after="0"/>
              <w:rPr>
                <w:sz w:val="20"/>
                <w:szCs w:val="20"/>
                <w:color w:val="auto"/>
              </w:rPr>
            </w:pPr>
            <w:r>
              <w:rPr>
                <w:rFonts w:ascii="Arial" w:cs="Arial" w:eastAsia="Arial" w:hAnsi="Arial"/>
                <w:sz w:val="11"/>
                <w:szCs w:val="11"/>
                <w:b w:val="1"/>
                <w:bCs w:val="1"/>
                <w:color w:val="009BDE"/>
              </w:rPr>
              <w:t>Incentive</w:t>
            </w:r>
          </w:p>
        </w:tc>
        <w:tc>
          <w:tcPr>
            <w:tcW w:w="900" w:type="dxa"/>
            <w:vAlign w:val="bottom"/>
            <w:gridSpan w:val="2"/>
            <w:shd w:val="clear" w:color="auto" w:fill="CCEBF8"/>
          </w:tcPr>
          <w:p>
            <w:pPr>
              <w:jc w:val="center"/>
              <w:ind w:left="6"/>
              <w:spacing w:after="0"/>
              <w:rPr>
                <w:sz w:val="20"/>
                <w:szCs w:val="20"/>
                <w:color w:val="auto"/>
              </w:rPr>
            </w:pPr>
            <w:r>
              <w:rPr>
                <w:rFonts w:ascii="Arial" w:cs="Arial" w:eastAsia="Arial" w:hAnsi="Arial"/>
                <w:sz w:val="11"/>
                <w:szCs w:val="11"/>
                <w:b w:val="1"/>
                <w:bCs w:val="1"/>
                <w:color w:val="009BDE"/>
              </w:rPr>
              <w:t>Incentive</w:t>
            </w:r>
          </w:p>
        </w:tc>
        <w:tc>
          <w:tcPr>
            <w:tcW w:w="74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6"/>
              </w:rPr>
              <w:t>as a % of</w:t>
            </w:r>
          </w:p>
        </w:tc>
      </w:tr>
      <w:tr>
        <w:trPr>
          <w:trHeight w:val="151"/>
        </w:trPr>
        <w:tc>
          <w:tcPr>
            <w:tcW w:w="2480" w:type="dxa"/>
            <w:vAlign w:val="bottom"/>
            <w:shd w:val="clear" w:color="auto" w:fill="CCEBF8"/>
          </w:tcPr>
          <w:p>
            <w:pPr>
              <w:spacing w:after="0"/>
              <w:rPr>
                <w:sz w:val="20"/>
                <w:szCs w:val="20"/>
                <w:color w:val="auto"/>
              </w:rPr>
            </w:pPr>
            <w:r>
              <w:rPr>
                <w:rFonts w:ascii="Arial" w:cs="Arial" w:eastAsia="Arial" w:hAnsi="Arial"/>
                <w:sz w:val="11"/>
                <w:szCs w:val="11"/>
                <w:b w:val="1"/>
                <w:bCs w:val="1"/>
                <w:color w:val="009BDE"/>
              </w:rPr>
              <w:t>Named Executive Officer</w:t>
            </w:r>
          </w:p>
        </w:tc>
        <w:tc>
          <w:tcPr>
            <w:tcW w:w="1180" w:type="dxa"/>
            <w:vAlign w:val="bottom"/>
            <w:gridSpan w:val="2"/>
            <w:shd w:val="clear" w:color="auto" w:fill="CCEBF8"/>
          </w:tcPr>
          <w:p>
            <w:pPr>
              <w:ind w:left="360"/>
              <w:spacing w:after="0"/>
              <w:rPr>
                <w:sz w:val="20"/>
                <w:szCs w:val="20"/>
                <w:color w:val="auto"/>
              </w:rPr>
            </w:pPr>
            <w:r>
              <w:rPr>
                <w:rFonts w:ascii="Arial" w:cs="Arial" w:eastAsia="Arial" w:hAnsi="Arial"/>
                <w:sz w:val="11"/>
                <w:szCs w:val="11"/>
                <w:b w:val="1"/>
                <w:bCs w:val="1"/>
                <w:color w:val="009BDE"/>
              </w:rPr>
              <w:t>Opportunity</w:t>
            </w:r>
          </w:p>
        </w:tc>
        <w:tc>
          <w:tcPr>
            <w:tcW w:w="260" w:type="dxa"/>
            <w:vAlign w:val="bottom"/>
            <w:shd w:val="clear" w:color="auto" w:fill="CCEBF8"/>
          </w:tcPr>
          <w:p>
            <w:pPr>
              <w:spacing w:after="0"/>
              <w:rPr>
                <w:sz w:val="13"/>
                <w:szCs w:val="13"/>
                <w:color w:val="auto"/>
              </w:rPr>
            </w:pPr>
          </w:p>
        </w:tc>
        <w:tc>
          <w:tcPr>
            <w:tcW w:w="680" w:type="dxa"/>
            <w:vAlign w:val="bottom"/>
            <w:shd w:val="clear" w:color="auto" w:fill="CCEBF8"/>
          </w:tcPr>
          <w:p>
            <w:pPr>
              <w:jc w:val="right"/>
              <w:ind w:right="246"/>
              <w:spacing w:after="0"/>
              <w:rPr>
                <w:sz w:val="20"/>
                <w:szCs w:val="20"/>
                <w:color w:val="auto"/>
              </w:rPr>
            </w:pPr>
            <w:r>
              <w:rPr>
                <w:rFonts w:ascii="Arial" w:cs="Arial" w:eastAsia="Arial" w:hAnsi="Arial"/>
                <w:sz w:val="11"/>
                <w:szCs w:val="11"/>
                <w:b w:val="1"/>
                <w:bCs w:val="1"/>
                <w:color w:val="009BDE"/>
              </w:rPr>
              <w:t>Award</w:t>
            </w:r>
          </w:p>
        </w:tc>
        <w:tc>
          <w:tcPr>
            <w:tcW w:w="260" w:type="dxa"/>
            <w:vAlign w:val="bottom"/>
            <w:shd w:val="clear" w:color="auto" w:fill="CCEBF8"/>
          </w:tcPr>
          <w:p>
            <w:pPr>
              <w:spacing w:after="0"/>
              <w:rPr>
                <w:sz w:val="13"/>
                <w:szCs w:val="13"/>
                <w:color w:val="auto"/>
              </w:rPr>
            </w:pPr>
          </w:p>
        </w:tc>
        <w:tc>
          <w:tcPr>
            <w:tcW w:w="640" w:type="dxa"/>
            <w:vAlign w:val="bottom"/>
            <w:shd w:val="clear" w:color="auto" w:fill="CCEBF8"/>
          </w:tcPr>
          <w:p>
            <w:pPr>
              <w:jc w:val="center"/>
              <w:ind w:right="146"/>
              <w:spacing w:after="0"/>
              <w:rPr>
                <w:sz w:val="20"/>
                <w:szCs w:val="20"/>
                <w:color w:val="auto"/>
              </w:rPr>
            </w:pPr>
            <w:r>
              <w:rPr>
                <w:rFonts w:ascii="Arial" w:cs="Arial" w:eastAsia="Arial" w:hAnsi="Arial"/>
                <w:sz w:val="11"/>
                <w:szCs w:val="11"/>
                <w:b w:val="1"/>
                <w:bCs w:val="1"/>
                <w:color w:val="009BDE"/>
                <w:w w:val="95"/>
              </w:rPr>
              <w:t>Award</w:t>
            </w:r>
          </w:p>
        </w:tc>
        <w:tc>
          <w:tcPr>
            <w:tcW w:w="74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rPr>
              <w:t>Target</w:t>
            </w:r>
          </w:p>
        </w:tc>
      </w:tr>
      <w:tr>
        <w:trPr>
          <w:trHeight w:val="85"/>
        </w:trPr>
        <w:tc>
          <w:tcPr>
            <w:tcW w:w="2480" w:type="dxa"/>
            <w:vAlign w:val="bottom"/>
            <w:tcBorders>
              <w:bottom w:val="single" w:sz="8" w:color="009BDE"/>
            </w:tcBorders>
            <w:shd w:val="clear" w:color="auto" w:fill="CCEBF8"/>
          </w:tcPr>
          <w:p>
            <w:pPr>
              <w:spacing w:after="0"/>
              <w:rPr>
                <w:sz w:val="7"/>
                <w:szCs w:val="7"/>
                <w:color w:val="auto"/>
              </w:rPr>
            </w:pPr>
          </w:p>
        </w:tc>
        <w:tc>
          <w:tcPr>
            <w:tcW w:w="420" w:type="dxa"/>
            <w:vAlign w:val="bottom"/>
            <w:tcBorders>
              <w:bottom w:val="single" w:sz="8" w:color="009BDE"/>
            </w:tcBorders>
            <w:shd w:val="clear" w:color="auto" w:fill="CCEBF8"/>
          </w:tcPr>
          <w:p>
            <w:pPr>
              <w:spacing w:after="0"/>
              <w:rPr>
                <w:sz w:val="7"/>
                <w:szCs w:val="7"/>
                <w:color w:val="auto"/>
              </w:rPr>
            </w:pPr>
          </w:p>
        </w:tc>
        <w:tc>
          <w:tcPr>
            <w:tcW w:w="760" w:type="dxa"/>
            <w:vAlign w:val="bottom"/>
            <w:tcBorders>
              <w:bottom w:val="single" w:sz="8" w:color="009BDE"/>
            </w:tcBorders>
            <w:shd w:val="clear" w:color="auto" w:fill="CCEBF8"/>
          </w:tcPr>
          <w:p>
            <w:pPr>
              <w:spacing w:after="0"/>
              <w:rPr>
                <w:sz w:val="7"/>
                <w:szCs w:val="7"/>
                <w:color w:val="auto"/>
              </w:rPr>
            </w:pPr>
          </w:p>
        </w:tc>
        <w:tc>
          <w:tcPr>
            <w:tcW w:w="260" w:type="dxa"/>
            <w:vAlign w:val="bottom"/>
            <w:tcBorders>
              <w:bottom w:val="single" w:sz="8" w:color="009BDE"/>
            </w:tcBorders>
            <w:shd w:val="clear" w:color="auto" w:fill="CCEBF8"/>
          </w:tcPr>
          <w:p>
            <w:pPr>
              <w:spacing w:after="0"/>
              <w:rPr>
                <w:sz w:val="7"/>
                <w:szCs w:val="7"/>
                <w:color w:val="auto"/>
              </w:rPr>
            </w:pPr>
          </w:p>
        </w:tc>
        <w:tc>
          <w:tcPr>
            <w:tcW w:w="680" w:type="dxa"/>
            <w:vAlign w:val="bottom"/>
            <w:tcBorders>
              <w:bottom w:val="single" w:sz="8" w:color="009BDE"/>
            </w:tcBorders>
            <w:shd w:val="clear" w:color="auto" w:fill="CCEBF8"/>
          </w:tcPr>
          <w:p>
            <w:pPr>
              <w:spacing w:after="0"/>
              <w:rPr>
                <w:sz w:val="7"/>
                <w:szCs w:val="7"/>
                <w:color w:val="auto"/>
              </w:rPr>
            </w:pPr>
          </w:p>
        </w:tc>
        <w:tc>
          <w:tcPr>
            <w:tcW w:w="260" w:type="dxa"/>
            <w:vAlign w:val="bottom"/>
            <w:tcBorders>
              <w:bottom w:val="single" w:sz="8" w:color="009BDE"/>
            </w:tcBorders>
            <w:shd w:val="clear" w:color="auto" w:fill="CCEBF8"/>
          </w:tcPr>
          <w:p>
            <w:pPr>
              <w:spacing w:after="0"/>
              <w:rPr>
                <w:sz w:val="7"/>
                <w:szCs w:val="7"/>
                <w:color w:val="auto"/>
              </w:rPr>
            </w:pPr>
          </w:p>
        </w:tc>
        <w:tc>
          <w:tcPr>
            <w:tcW w:w="640" w:type="dxa"/>
            <w:vAlign w:val="bottom"/>
            <w:tcBorders>
              <w:bottom w:val="single" w:sz="8" w:color="009BDE"/>
            </w:tcBorders>
            <w:shd w:val="clear" w:color="auto" w:fill="CCEBF8"/>
          </w:tcPr>
          <w:p>
            <w:pPr>
              <w:spacing w:after="0"/>
              <w:rPr>
                <w:sz w:val="7"/>
                <w:szCs w:val="7"/>
                <w:color w:val="auto"/>
              </w:rPr>
            </w:pPr>
          </w:p>
        </w:tc>
        <w:tc>
          <w:tcPr>
            <w:tcW w:w="740" w:type="dxa"/>
            <w:vAlign w:val="bottom"/>
            <w:tcBorders>
              <w:bottom w:val="single" w:sz="8" w:color="009BDE"/>
            </w:tcBorders>
            <w:shd w:val="clear" w:color="auto" w:fill="CCEBF8"/>
          </w:tcPr>
          <w:p>
            <w:pPr>
              <w:spacing w:after="0"/>
              <w:rPr>
                <w:sz w:val="7"/>
                <w:szCs w:val="7"/>
                <w:color w:val="auto"/>
              </w:rPr>
            </w:pPr>
          </w:p>
        </w:tc>
      </w:tr>
      <w:tr>
        <w:trPr>
          <w:trHeight w:val="183"/>
        </w:trPr>
        <w:tc>
          <w:tcPr>
            <w:tcW w:w="2480" w:type="dxa"/>
            <w:vAlign w:val="bottom"/>
          </w:tcPr>
          <w:p>
            <w:pPr>
              <w:ind w:left="60"/>
              <w:spacing w:after="0"/>
              <w:rPr>
                <w:sz w:val="20"/>
                <w:szCs w:val="20"/>
                <w:color w:val="auto"/>
              </w:rPr>
            </w:pPr>
            <w:r>
              <w:rPr>
                <w:rFonts w:ascii="Arial" w:cs="Arial" w:eastAsia="Arial" w:hAnsi="Arial"/>
                <w:sz w:val="11"/>
                <w:szCs w:val="11"/>
                <w:color w:val="auto"/>
              </w:rPr>
              <w:t>Chris Cocks</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46"/>
              <w:spacing w:after="0"/>
              <w:rPr>
                <w:sz w:val="20"/>
                <w:szCs w:val="20"/>
                <w:color w:val="auto"/>
              </w:rPr>
            </w:pPr>
            <w:r>
              <w:rPr>
                <w:rFonts w:ascii="Arial" w:cs="Arial" w:eastAsia="Arial" w:hAnsi="Arial"/>
                <w:sz w:val="11"/>
                <w:szCs w:val="11"/>
                <w:color w:val="auto"/>
              </w:rPr>
              <w:t>2,059,616</w:t>
            </w:r>
          </w:p>
        </w:tc>
        <w:tc>
          <w:tcPr>
            <w:tcW w:w="260" w:type="dxa"/>
            <w:vAlign w:val="bottom"/>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46"/>
              <w:spacing w:after="0"/>
              <w:rPr>
                <w:sz w:val="20"/>
                <w:szCs w:val="20"/>
                <w:color w:val="auto"/>
              </w:rPr>
            </w:pPr>
            <w:r>
              <w:rPr>
                <w:rFonts w:ascii="Arial" w:cs="Arial" w:eastAsia="Arial" w:hAnsi="Arial"/>
                <w:sz w:val="11"/>
                <w:szCs w:val="11"/>
                <w:color w:val="auto"/>
                <w:w w:val="93"/>
              </w:rPr>
              <w:t>1,441,731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0</w:t>
            </w:r>
          </w:p>
        </w:tc>
        <w:tc>
          <w:tcPr>
            <w:tcW w:w="74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67"/>
        </w:trPr>
        <w:tc>
          <w:tcPr>
            <w:tcW w:w="2480" w:type="dxa"/>
            <w:vAlign w:val="bottom"/>
            <w:tcBorders>
              <w:bottom w:val="single" w:sz="8" w:color="009BDE"/>
            </w:tcBorders>
          </w:tcPr>
          <w:p>
            <w:pPr>
              <w:spacing w:after="0"/>
              <w:rPr>
                <w:sz w:val="5"/>
                <w:szCs w:val="5"/>
                <w:color w:val="auto"/>
              </w:rPr>
            </w:pPr>
          </w:p>
        </w:tc>
        <w:tc>
          <w:tcPr>
            <w:tcW w:w="420" w:type="dxa"/>
            <w:vAlign w:val="bottom"/>
            <w:tcBorders>
              <w:bottom w:val="single" w:sz="8" w:color="009BDE"/>
            </w:tcBorders>
          </w:tcPr>
          <w:p>
            <w:pPr>
              <w:spacing w:after="0"/>
              <w:rPr>
                <w:sz w:val="5"/>
                <w:szCs w:val="5"/>
                <w:color w:val="auto"/>
              </w:rPr>
            </w:pPr>
          </w:p>
        </w:tc>
        <w:tc>
          <w:tcPr>
            <w:tcW w:w="76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740" w:type="dxa"/>
            <w:vAlign w:val="bottom"/>
            <w:tcBorders>
              <w:bottom w:val="single" w:sz="8" w:color="009BDE"/>
            </w:tcBorders>
          </w:tcPr>
          <w:p>
            <w:pPr>
              <w:spacing w:after="0"/>
              <w:rPr>
                <w:sz w:val="5"/>
                <w:szCs w:val="5"/>
                <w:color w:val="auto"/>
              </w:rPr>
            </w:pPr>
          </w:p>
        </w:tc>
      </w:tr>
      <w:tr>
        <w:trPr>
          <w:trHeight w:val="183"/>
        </w:trPr>
        <w:tc>
          <w:tcPr>
            <w:tcW w:w="2480" w:type="dxa"/>
            <w:vAlign w:val="bottom"/>
          </w:tcPr>
          <w:p>
            <w:pPr>
              <w:ind w:left="60"/>
              <w:spacing w:after="0"/>
              <w:rPr>
                <w:sz w:val="20"/>
                <w:szCs w:val="20"/>
                <w:color w:val="auto"/>
              </w:rPr>
            </w:pPr>
            <w:r>
              <w:rPr>
                <w:rFonts w:ascii="Arial" w:cs="Arial" w:eastAsia="Arial" w:hAnsi="Arial"/>
                <w:sz w:val="11"/>
                <w:szCs w:val="11"/>
                <w:color w:val="auto"/>
              </w:rPr>
              <w:t>Deb Thomas</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46"/>
              <w:spacing w:after="0"/>
              <w:rPr>
                <w:sz w:val="20"/>
                <w:szCs w:val="20"/>
                <w:color w:val="auto"/>
              </w:rPr>
            </w:pPr>
            <w:r>
              <w:rPr>
                <w:rFonts w:ascii="Arial" w:cs="Arial" w:eastAsia="Arial" w:hAnsi="Arial"/>
                <w:sz w:val="11"/>
                <w:szCs w:val="11"/>
                <w:color w:val="auto"/>
              </w:rPr>
              <w:t>1,198,462</w:t>
            </w:r>
          </w:p>
        </w:tc>
        <w:tc>
          <w:tcPr>
            <w:tcW w:w="260" w:type="dxa"/>
            <w:vAlign w:val="bottom"/>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46"/>
              <w:spacing w:after="0"/>
              <w:rPr>
                <w:sz w:val="20"/>
                <w:szCs w:val="20"/>
                <w:color w:val="auto"/>
              </w:rPr>
            </w:pPr>
            <w:r>
              <w:rPr>
                <w:rFonts w:ascii="Arial" w:cs="Arial" w:eastAsia="Arial" w:hAnsi="Arial"/>
                <w:sz w:val="11"/>
                <w:szCs w:val="11"/>
                <w:color w:val="auto"/>
              </w:rPr>
              <w:t>838,923</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0</w:t>
            </w:r>
          </w:p>
        </w:tc>
        <w:tc>
          <w:tcPr>
            <w:tcW w:w="74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67"/>
        </w:trPr>
        <w:tc>
          <w:tcPr>
            <w:tcW w:w="2480" w:type="dxa"/>
            <w:vAlign w:val="bottom"/>
            <w:tcBorders>
              <w:bottom w:val="single" w:sz="8" w:color="009BDE"/>
            </w:tcBorders>
          </w:tcPr>
          <w:p>
            <w:pPr>
              <w:spacing w:after="0"/>
              <w:rPr>
                <w:sz w:val="5"/>
                <w:szCs w:val="5"/>
                <w:color w:val="auto"/>
              </w:rPr>
            </w:pPr>
          </w:p>
        </w:tc>
        <w:tc>
          <w:tcPr>
            <w:tcW w:w="420" w:type="dxa"/>
            <w:vAlign w:val="bottom"/>
            <w:tcBorders>
              <w:bottom w:val="single" w:sz="8" w:color="009BDE"/>
            </w:tcBorders>
          </w:tcPr>
          <w:p>
            <w:pPr>
              <w:spacing w:after="0"/>
              <w:rPr>
                <w:sz w:val="5"/>
                <w:szCs w:val="5"/>
                <w:color w:val="auto"/>
              </w:rPr>
            </w:pPr>
          </w:p>
        </w:tc>
        <w:tc>
          <w:tcPr>
            <w:tcW w:w="76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740" w:type="dxa"/>
            <w:vAlign w:val="bottom"/>
            <w:tcBorders>
              <w:bottom w:val="single" w:sz="8" w:color="009BDE"/>
            </w:tcBorders>
          </w:tcPr>
          <w:p>
            <w:pPr>
              <w:spacing w:after="0"/>
              <w:rPr>
                <w:sz w:val="5"/>
                <w:szCs w:val="5"/>
                <w:color w:val="auto"/>
              </w:rPr>
            </w:pPr>
          </w:p>
        </w:tc>
      </w:tr>
      <w:tr>
        <w:trPr>
          <w:trHeight w:val="183"/>
        </w:trPr>
        <w:tc>
          <w:tcPr>
            <w:tcW w:w="2480" w:type="dxa"/>
            <w:vAlign w:val="bottom"/>
          </w:tcPr>
          <w:p>
            <w:pPr>
              <w:ind w:left="60"/>
              <w:spacing w:after="0"/>
              <w:rPr>
                <w:sz w:val="20"/>
                <w:szCs w:val="20"/>
                <w:color w:val="auto"/>
              </w:rPr>
            </w:pPr>
            <w:r>
              <w:rPr>
                <w:rFonts w:ascii="Arial" w:cs="Arial" w:eastAsia="Arial" w:hAnsi="Arial"/>
                <w:sz w:val="11"/>
                <w:szCs w:val="11"/>
                <w:color w:val="auto"/>
              </w:rPr>
              <w:t>Cynthia Williams</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46"/>
              <w:spacing w:after="0"/>
              <w:rPr>
                <w:sz w:val="20"/>
                <w:szCs w:val="20"/>
                <w:color w:val="auto"/>
              </w:rPr>
            </w:pPr>
            <w:r>
              <w:rPr>
                <w:rFonts w:ascii="Arial" w:cs="Arial" w:eastAsia="Arial" w:hAnsi="Arial"/>
                <w:sz w:val="11"/>
                <w:szCs w:val="11"/>
                <w:color w:val="auto"/>
              </w:rPr>
              <w:t>380,769</w:t>
            </w:r>
          </w:p>
        </w:tc>
        <w:tc>
          <w:tcPr>
            <w:tcW w:w="260" w:type="dxa"/>
            <w:vAlign w:val="bottom"/>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46"/>
              <w:spacing w:after="0"/>
              <w:rPr>
                <w:sz w:val="20"/>
                <w:szCs w:val="20"/>
                <w:color w:val="auto"/>
              </w:rPr>
            </w:pPr>
            <w:r>
              <w:rPr>
                <w:rFonts w:ascii="Arial" w:cs="Arial" w:eastAsia="Arial" w:hAnsi="Arial"/>
                <w:sz w:val="11"/>
                <w:szCs w:val="11"/>
                <w:color w:val="auto"/>
              </w:rPr>
              <w:t>354,877</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285,577</w:t>
            </w:r>
          </w:p>
        </w:tc>
        <w:tc>
          <w:tcPr>
            <w:tcW w:w="740" w:type="dxa"/>
            <w:vAlign w:val="bottom"/>
          </w:tcPr>
          <w:p>
            <w:pPr>
              <w:jc w:val="right"/>
              <w:spacing w:after="0"/>
              <w:rPr>
                <w:sz w:val="20"/>
                <w:szCs w:val="20"/>
                <w:color w:val="auto"/>
              </w:rPr>
            </w:pPr>
            <w:r>
              <w:rPr>
                <w:rFonts w:ascii="Arial" w:cs="Arial" w:eastAsia="Arial" w:hAnsi="Arial"/>
                <w:sz w:val="11"/>
                <w:szCs w:val="11"/>
                <w:color w:val="auto"/>
              </w:rPr>
              <w:t>75%</w:t>
            </w:r>
          </w:p>
        </w:tc>
      </w:tr>
      <w:tr>
        <w:trPr>
          <w:trHeight w:val="67"/>
        </w:trPr>
        <w:tc>
          <w:tcPr>
            <w:tcW w:w="2480" w:type="dxa"/>
            <w:vAlign w:val="bottom"/>
            <w:tcBorders>
              <w:bottom w:val="single" w:sz="8" w:color="009BDE"/>
            </w:tcBorders>
          </w:tcPr>
          <w:p>
            <w:pPr>
              <w:spacing w:after="0"/>
              <w:rPr>
                <w:sz w:val="5"/>
                <w:szCs w:val="5"/>
                <w:color w:val="auto"/>
              </w:rPr>
            </w:pPr>
          </w:p>
        </w:tc>
        <w:tc>
          <w:tcPr>
            <w:tcW w:w="420" w:type="dxa"/>
            <w:vAlign w:val="bottom"/>
            <w:tcBorders>
              <w:bottom w:val="single" w:sz="8" w:color="009BDE"/>
            </w:tcBorders>
          </w:tcPr>
          <w:p>
            <w:pPr>
              <w:spacing w:after="0"/>
              <w:rPr>
                <w:sz w:val="5"/>
                <w:szCs w:val="5"/>
                <w:color w:val="auto"/>
              </w:rPr>
            </w:pPr>
          </w:p>
        </w:tc>
        <w:tc>
          <w:tcPr>
            <w:tcW w:w="76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740" w:type="dxa"/>
            <w:vAlign w:val="bottom"/>
            <w:tcBorders>
              <w:bottom w:val="single" w:sz="8" w:color="009BDE"/>
            </w:tcBorders>
          </w:tcPr>
          <w:p>
            <w:pPr>
              <w:spacing w:after="0"/>
              <w:rPr>
                <w:sz w:val="5"/>
                <w:szCs w:val="5"/>
                <w:color w:val="auto"/>
              </w:rPr>
            </w:pPr>
          </w:p>
        </w:tc>
      </w:tr>
      <w:tr>
        <w:trPr>
          <w:trHeight w:val="183"/>
        </w:trPr>
        <w:tc>
          <w:tcPr>
            <w:tcW w:w="2480" w:type="dxa"/>
            <w:vAlign w:val="bottom"/>
          </w:tcPr>
          <w:p>
            <w:pPr>
              <w:ind w:left="60"/>
              <w:spacing w:after="0"/>
              <w:rPr>
                <w:sz w:val="20"/>
                <w:szCs w:val="20"/>
                <w:color w:val="auto"/>
              </w:rPr>
            </w:pPr>
            <w:r>
              <w:rPr>
                <w:rFonts w:ascii="Arial" w:cs="Arial" w:eastAsia="Arial" w:hAnsi="Arial"/>
                <w:sz w:val="11"/>
                <w:szCs w:val="11"/>
                <w:color w:val="auto"/>
              </w:rPr>
              <w:t>Eric Nyman</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46"/>
              <w:spacing w:after="0"/>
              <w:rPr>
                <w:sz w:val="20"/>
                <w:szCs w:val="20"/>
                <w:color w:val="auto"/>
              </w:rPr>
            </w:pPr>
            <w:r>
              <w:rPr>
                <w:rFonts w:ascii="Arial" w:cs="Arial" w:eastAsia="Arial" w:hAnsi="Arial"/>
                <w:sz w:val="11"/>
                <w:szCs w:val="11"/>
                <w:color w:val="auto"/>
              </w:rPr>
              <w:t>1,032,308</w:t>
            </w:r>
          </w:p>
        </w:tc>
        <w:tc>
          <w:tcPr>
            <w:tcW w:w="260" w:type="dxa"/>
            <w:vAlign w:val="bottom"/>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46"/>
              <w:spacing w:after="0"/>
              <w:rPr>
                <w:sz w:val="20"/>
                <w:szCs w:val="20"/>
                <w:color w:val="auto"/>
              </w:rPr>
            </w:pPr>
            <w:r>
              <w:rPr>
                <w:rFonts w:ascii="Arial" w:cs="Arial" w:eastAsia="Arial" w:hAnsi="Arial"/>
                <w:sz w:val="11"/>
                <w:szCs w:val="11"/>
                <w:color w:val="auto"/>
              </w:rPr>
              <w:t>144,523</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0</w:t>
            </w:r>
          </w:p>
        </w:tc>
        <w:tc>
          <w:tcPr>
            <w:tcW w:w="74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67"/>
        </w:trPr>
        <w:tc>
          <w:tcPr>
            <w:tcW w:w="2480" w:type="dxa"/>
            <w:vAlign w:val="bottom"/>
            <w:tcBorders>
              <w:bottom w:val="single" w:sz="8" w:color="009BDE"/>
            </w:tcBorders>
          </w:tcPr>
          <w:p>
            <w:pPr>
              <w:spacing w:after="0"/>
              <w:rPr>
                <w:sz w:val="5"/>
                <w:szCs w:val="5"/>
                <w:color w:val="auto"/>
              </w:rPr>
            </w:pPr>
          </w:p>
        </w:tc>
        <w:tc>
          <w:tcPr>
            <w:tcW w:w="420" w:type="dxa"/>
            <w:vAlign w:val="bottom"/>
            <w:tcBorders>
              <w:bottom w:val="single" w:sz="8" w:color="009BDE"/>
            </w:tcBorders>
          </w:tcPr>
          <w:p>
            <w:pPr>
              <w:spacing w:after="0"/>
              <w:rPr>
                <w:sz w:val="5"/>
                <w:szCs w:val="5"/>
                <w:color w:val="auto"/>
              </w:rPr>
            </w:pPr>
          </w:p>
        </w:tc>
        <w:tc>
          <w:tcPr>
            <w:tcW w:w="76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740" w:type="dxa"/>
            <w:vAlign w:val="bottom"/>
            <w:tcBorders>
              <w:bottom w:val="single" w:sz="8" w:color="009BDE"/>
            </w:tcBorders>
          </w:tcPr>
          <w:p>
            <w:pPr>
              <w:spacing w:after="0"/>
              <w:rPr>
                <w:sz w:val="5"/>
                <w:szCs w:val="5"/>
                <w:color w:val="auto"/>
              </w:rPr>
            </w:pPr>
          </w:p>
        </w:tc>
      </w:tr>
      <w:tr>
        <w:trPr>
          <w:trHeight w:val="183"/>
        </w:trPr>
        <w:tc>
          <w:tcPr>
            <w:tcW w:w="2480" w:type="dxa"/>
            <w:vAlign w:val="bottom"/>
          </w:tcPr>
          <w:p>
            <w:pPr>
              <w:ind w:left="60"/>
              <w:spacing w:after="0"/>
              <w:rPr>
                <w:sz w:val="20"/>
                <w:szCs w:val="20"/>
                <w:color w:val="auto"/>
              </w:rPr>
            </w:pPr>
            <w:r>
              <w:rPr>
                <w:rFonts w:ascii="Arial" w:cs="Arial" w:eastAsia="Arial" w:hAnsi="Arial"/>
                <w:sz w:val="11"/>
                <w:szCs w:val="11"/>
                <w:color w:val="auto"/>
              </w:rPr>
              <w:t>Darren Throop</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46"/>
              <w:spacing w:after="0"/>
              <w:rPr>
                <w:sz w:val="20"/>
                <w:szCs w:val="20"/>
                <w:color w:val="auto"/>
              </w:rPr>
            </w:pPr>
            <w:r>
              <w:rPr>
                <w:rFonts w:ascii="Arial" w:cs="Arial" w:eastAsia="Arial" w:hAnsi="Arial"/>
                <w:sz w:val="11"/>
                <w:szCs w:val="11"/>
                <w:color w:val="auto"/>
              </w:rPr>
              <w:t>1,500,000</w:t>
            </w:r>
          </w:p>
        </w:tc>
        <w:tc>
          <w:tcPr>
            <w:tcW w:w="260" w:type="dxa"/>
            <w:vAlign w:val="bottom"/>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46"/>
              <w:spacing w:after="0"/>
              <w:rPr>
                <w:sz w:val="20"/>
                <w:szCs w:val="20"/>
                <w:color w:val="auto"/>
              </w:rPr>
            </w:pPr>
            <w:r>
              <w:rPr>
                <w:rFonts w:ascii="Arial" w:cs="Arial" w:eastAsia="Arial" w:hAnsi="Arial"/>
                <w:sz w:val="11"/>
                <w:szCs w:val="11"/>
                <w:color w:val="auto"/>
                <w:w w:val="93"/>
              </w:rPr>
              <w:t>1,213,500</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1,213,500</w:t>
            </w:r>
          </w:p>
        </w:tc>
        <w:tc>
          <w:tcPr>
            <w:tcW w:w="740" w:type="dxa"/>
            <w:vAlign w:val="bottom"/>
          </w:tcPr>
          <w:p>
            <w:pPr>
              <w:jc w:val="right"/>
              <w:spacing w:after="0"/>
              <w:rPr>
                <w:sz w:val="20"/>
                <w:szCs w:val="20"/>
                <w:color w:val="auto"/>
              </w:rPr>
            </w:pPr>
            <w:r>
              <w:rPr>
                <w:rFonts w:ascii="Arial" w:cs="Arial" w:eastAsia="Arial" w:hAnsi="Arial"/>
                <w:sz w:val="11"/>
                <w:szCs w:val="11"/>
                <w:color w:val="auto"/>
              </w:rPr>
              <w:t>80.9%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42545</wp:posOffset>
            </wp:positionV>
            <wp:extent cx="3960495" cy="571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3960495" cy="5715"/>
                    </a:xfrm>
                    <a:prstGeom prst="rect">
                      <a:avLst/>
                    </a:prstGeom>
                    <a:noFill/>
                  </pic:spPr>
                </pic:pic>
              </a:graphicData>
            </a:graphic>
          </wp:anchor>
        </w:drawing>
      </w:r>
    </w:p>
    <w:p>
      <w:pPr>
        <w:spacing w:after="0" w:line="120" w:lineRule="exact"/>
        <w:rPr>
          <w:sz w:val="20"/>
          <w:szCs w:val="20"/>
          <w:color w:val="auto"/>
        </w:rPr>
      </w:pPr>
    </w:p>
    <w:p>
      <w:pPr>
        <w:ind w:left="2580"/>
        <w:spacing w:after="0"/>
        <w:rPr>
          <w:sz w:val="20"/>
          <w:szCs w:val="20"/>
          <w:color w:val="auto"/>
        </w:rPr>
      </w:pPr>
      <w:r>
        <w:rPr>
          <w:rFonts w:ascii="Arial" w:cs="Arial" w:eastAsia="Arial" w:hAnsi="Arial"/>
          <w:sz w:val="11"/>
          <w:szCs w:val="11"/>
          <w:color w:val="auto"/>
        </w:rPr>
        <w:t>Note: Incentive amounts shown above calculated using fiscal year 2022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113030</wp:posOffset>
            </wp:positionV>
            <wp:extent cx="3971925" cy="21717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44</w:t>
      </w:r>
    </w:p>
    <w:p>
      <w:pPr>
        <w:sectPr>
          <w:pgSz w:w="11900" w:h="16838" w:orient="portrait"/>
          <w:cols w:equalWidth="0" w:num="1">
            <w:col w:w="10159"/>
          </w:cols>
          <w:pgMar w:left="300" w:top="372" w:right="1440" w:bottom="1440" w:gutter="0" w:footer="0" w:header="0"/>
        </w:sectPr>
      </w:pPr>
    </w:p>
    <w:bookmarkStart w:id="66" w:name="page67"/>
    <w:bookmarkEnd w:id="6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136525</wp:posOffset>
            </wp:positionV>
            <wp:extent cx="4674870" cy="82296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4674870" cy="822960"/>
                    </a:xfrm>
                    <a:prstGeom prst="rect">
                      <a:avLst/>
                    </a:prstGeom>
                    <a:noFill/>
                  </pic:spPr>
                </pic:pic>
              </a:graphicData>
            </a:graphic>
          </wp:anchor>
        </w:drawing>
      </w:r>
    </w:p>
    <w:p>
      <w:pPr>
        <w:spacing w:after="0" w:line="283" w:lineRule="exact"/>
        <w:rPr>
          <w:sz w:val="20"/>
          <w:szCs w:val="20"/>
          <w:color w:val="auto"/>
        </w:rPr>
      </w:pPr>
    </w:p>
    <w:p>
      <w:pPr>
        <w:ind w:left="2180" w:right="979"/>
        <w:spacing w:after="0" w:line="243" w:lineRule="auto"/>
        <w:rPr>
          <w:sz w:val="20"/>
          <w:szCs w:val="20"/>
          <w:color w:val="auto"/>
        </w:rPr>
      </w:pPr>
      <w:r>
        <w:rPr>
          <w:rFonts w:ascii="Arial" w:cs="Arial" w:eastAsia="Arial" w:hAnsi="Arial"/>
          <w:sz w:val="11"/>
          <w:szCs w:val="11"/>
          <w:b w:val="1"/>
          <w:bCs w:val="1"/>
          <w:i w:val="1"/>
          <w:iCs w:val="1"/>
          <w:color w:val="0060ED"/>
        </w:rPr>
        <w:t>Changes for Fiscal Year 2023</w:t>
      </w:r>
      <w:r>
        <w:rPr>
          <w:rFonts w:ascii="Arial" w:cs="Arial" w:eastAsia="Arial" w:hAnsi="Arial"/>
          <w:sz w:val="11"/>
          <w:szCs w:val="11"/>
          <w:b w:val="1"/>
          <w:bCs w:val="1"/>
          <w:color w:val="000000"/>
        </w:rPr>
        <w:t>.</w:t>
      </w:r>
      <w:r>
        <w:rPr>
          <w:rFonts w:ascii="Arial" w:cs="Arial" w:eastAsia="Arial" w:hAnsi="Arial"/>
          <w:sz w:val="11"/>
          <w:szCs w:val="11"/>
          <w:b w:val="1"/>
          <w:bCs w:val="1"/>
          <w:i w:val="1"/>
          <w:iCs w:val="1"/>
          <w:color w:val="0060ED"/>
        </w:rPr>
        <w:t xml:space="preserve"> </w:t>
      </w:r>
      <w:r>
        <w:rPr>
          <w:rFonts w:ascii="Arial" w:cs="Arial" w:eastAsia="Arial" w:hAnsi="Arial"/>
          <w:sz w:val="11"/>
          <w:szCs w:val="11"/>
          <w:color w:val="000000"/>
        </w:rPr>
        <w:t>After review of the annual incentive plan design, the Committee made certain changes to the metrics for 2023.</w:t>
      </w:r>
      <w:r>
        <w:rPr>
          <w:rFonts w:ascii="Arial" w:cs="Arial" w:eastAsia="Arial" w:hAnsi="Arial"/>
          <w:sz w:val="11"/>
          <w:szCs w:val="11"/>
          <w:b w:val="1"/>
          <w:bCs w:val="1"/>
          <w:i w:val="1"/>
          <w:iCs w:val="1"/>
          <w:color w:val="0060ED"/>
        </w:rPr>
        <w:t xml:space="preserve"> </w:t>
      </w:r>
      <w:r>
        <w:rPr>
          <w:rFonts w:ascii="Arial" w:cs="Arial" w:eastAsia="Arial" w:hAnsi="Arial"/>
          <w:sz w:val="11"/>
          <w:szCs w:val="11"/>
          <w:color w:val="000000"/>
        </w:rPr>
        <w:t>For fiscal 2023, the financial performance metrics that will be utilized as Company performance measures, which the Committee believes captures the most important aspects of the top and bottom line performance of the Company as well as the Company’s change in strategic direction and transformation efforts are: total net revenue (weighted at 40%), operating profit margin (weighted at 40%) and metrics around performance relating to our transformation efforts, most notably specific targets for costs savings as part of the Company’s operational excellence program (collectively weighted at 20%). For the business area metrics, the Committee determined to use revenue and operating profit margin of the business area, each weighted at 40%, and similarly added metrics around performance against our transformation efforts for the business area (weighted 20%) stressing the importance of the Company’s transformation efforts.</w:t>
      </w:r>
    </w:p>
    <w:p>
      <w:pPr>
        <w:spacing w:after="0" w:line="381"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Long-Term Incentive Compensation</w:t>
      </w:r>
    </w:p>
    <w:p>
      <w:pPr>
        <w:spacing w:after="0" w:line="86" w:lineRule="exact"/>
        <w:rPr>
          <w:sz w:val="20"/>
          <w:szCs w:val="20"/>
          <w:color w:val="auto"/>
        </w:rPr>
      </w:pPr>
    </w:p>
    <w:p>
      <w:pPr>
        <w:ind w:left="1980" w:right="1099"/>
        <w:spacing w:after="0" w:line="242" w:lineRule="auto"/>
        <w:rPr>
          <w:sz w:val="20"/>
          <w:szCs w:val="20"/>
          <w:color w:val="auto"/>
        </w:rPr>
      </w:pPr>
      <w:r>
        <w:rPr>
          <w:rFonts w:ascii="Arial" w:cs="Arial" w:eastAsia="Arial" w:hAnsi="Arial"/>
          <w:sz w:val="11"/>
          <w:szCs w:val="11"/>
          <w:color w:val="auto"/>
        </w:rPr>
        <w:t>The long-term incentive plan is designed to incent our NEOs to achieve critical sustainable long-term shareholder value and align the NEOs with shareholder interests. The Committee is responsible for approving performance goals and related payout levels, setting each NEO’s target long-term incentive opportunity and approving payouts under the performance contingent stock awards.</w:t>
      </w:r>
    </w:p>
    <w:p>
      <w:pPr>
        <w:spacing w:after="0" w:line="199"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009BDE"/>
        </w:rPr>
        <w:t>Annual Long-Term Incentive Awards</w:t>
      </w:r>
    </w:p>
    <w:p>
      <w:pPr>
        <w:spacing w:after="0" w:line="84" w:lineRule="exact"/>
        <w:rPr>
          <w:sz w:val="20"/>
          <w:szCs w:val="20"/>
          <w:color w:val="auto"/>
        </w:rPr>
      </w:pPr>
    </w:p>
    <w:p>
      <w:pPr>
        <w:ind w:left="1980" w:right="919"/>
        <w:spacing w:after="0" w:line="241" w:lineRule="auto"/>
        <w:rPr>
          <w:sz w:val="20"/>
          <w:szCs w:val="20"/>
          <w:color w:val="auto"/>
        </w:rPr>
      </w:pPr>
      <w:r>
        <w:rPr>
          <w:rFonts w:ascii="Arial" w:cs="Arial" w:eastAsia="Arial" w:hAnsi="Arial"/>
          <w:sz w:val="11"/>
          <w:szCs w:val="11"/>
          <w:color w:val="auto"/>
        </w:rPr>
        <w:t xml:space="preserve">Long-term incentive compensation is provided to our NEOs, other than Mr. Stoddart, in the form of performance contingent stock awards, time-based restricted stock units, and non-qualified stock options. </w:t>
      </w:r>
      <w:r>
        <w:rPr>
          <w:rFonts w:ascii="Arial" w:cs="Arial" w:eastAsia="Arial" w:hAnsi="Arial"/>
          <w:sz w:val="11"/>
          <w:szCs w:val="11"/>
          <w:b w:val="1"/>
          <w:bCs w:val="1"/>
          <w:color w:val="auto"/>
        </w:rPr>
        <w:t>In 2022, the Committee allocated these awards as follows: 50% performance contingent</w:t>
      </w:r>
      <w:r>
        <w:rPr>
          <w:rFonts w:ascii="Arial" w:cs="Arial" w:eastAsia="Arial" w:hAnsi="Arial"/>
          <w:sz w:val="11"/>
          <w:szCs w:val="11"/>
          <w:color w:val="auto"/>
        </w:rPr>
        <w:t xml:space="preserve"> </w:t>
      </w:r>
      <w:r>
        <w:rPr>
          <w:rFonts w:ascii="Arial" w:cs="Arial" w:eastAsia="Arial" w:hAnsi="Arial"/>
          <w:sz w:val="11"/>
          <w:szCs w:val="11"/>
          <w:b w:val="1"/>
          <w:bCs w:val="1"/>
          <w:color w:val="auto"/>
        </w:rPr>
        <w:t>stock awards, 25% restricted stock units and 25% non-qualified stock options for all of our NEOs other than Mr. Stoddart who was not eligible for LTI awards.</w:t>
      </w:r>
    </w:p>
    <w:p>
      <w:pPr>
        <w:spacing w:after="0" w:line="140" w:lineRule="exact"/>
        <w:rPr>
          <w:sz w:val="20"/>
          <w:szCs w:val="20"/>
          <w:color w:val="auto"/>
        </w:rPr>
      </w:pPr>
    </w:p>
    <w:p>
      <w:pPr>
        <w:ind w:left="1980" w:right="979"/>
        <w:spacing w:after="0" w:line="242" w:lineRule="auto"/>
        <w:rPr>
          <w:sz w:val="20"/>
          <w:szCs w:val="20"/>
          <w:color w:val="auto"/>
        </w:rPr>
      </w:pPr>
      <w:r>
        <w:rPr>
          <w:rFonts w:ascii="Arial" w:cs="Arial" w:eastAsia="Arial" w:hAnsi="Arial"/>
          <w:sz w:val="11"/>
          <w:szCs w:val="11"/>
          <w:color w:val="auto"/>
        </w:rPr>
        <w:t>The Committee approves target annual equity award values for each of the Company’s executive officers and other eligible employees, which are designed to provide a strong link between pay and performance. Targets are expressed as a percentage of each individual’s base salary, which, for our NEOs other than Mr. Stoddart, were as follows:</w:t>
      </w:r>
    </w:p>
    <w:p>
      <w:pPr>
        <w:spacing w:after="0" w:line="156" w:lineRule="exact"/>
        <w:rPr>
          <w:sz w:val="20"/>
          <w:szCs w:val="20"/>
          <w:color w:val="auto"/>
        </w:rPr>
      </w:pPr>
    </w:p>
    <w:tbl>
      <w:tblPr>
        <w:tblLayout w:type="fixed"/>
        <w:tblInd w:w="2700" w:type="dxa"/>
        <w:tblCellMar>
          <w:top w:w="0" w:type="dxa"/>
          <w:left w:w="0" w:type="dxa"/>
          <w:bottom w:w="0" w:type="dxa"/>
          <w:right w:w="0" w:type="dxa"/>
        </w:tblCellMar>
      </w:tblPr>
      <w:tr>
        <w:trPr>
          <w:trHeight w:val="176"/>
        </w:trPr>
        <w:tc>
          <w:tcPr>
            <w:tcW w:w="2520" w:type="dxa"/>
            <w:vAlign w:val="bottom"/>
            <w:shd w:val="clear" w:color="auto" w:fill="CCEBF8"/>
          </w:tcPr>
          <w:p>
            <w:pPr>
              <w:ind w:left="620"/>
              <w:spacing w:after="0"/>
              <w:rPr>
                <w:sz w:val="20"/>
                <w:szCs w:val="20"/>
                <w:color w:val="auto"/>
              </w:rPr>
            </w:pPr>
            <w:r>
              <w:rPr>
                <w:rFonts w:ascii="Arial" w:cs="Arial" w:eastAsia="Arial" w:hAnsi="Arial"/>
                <w:sz w:val="11"/>
                <w:szCs w:val="11"/>
                <w:b w:val="1"/>
                <w:bCs w:val="1"/>
                <w:color w:val="009BDE"/>
              </w:rPr>
              <w:t>Named Executive Officer</w:t>
            </w:r>
          </w:p>
        </w:tc>
        <w:tc>
          <w:tcPr>
            <w:tcW w:w="3360" w:type="dxa"/>
            <w:vAlign w:val="bottom"/>
            <w:shd w:val="clear" w:color="auto" w:fill="CCEBF8"/>
          </w:tcPr>
          <w:p>
            <w:pPr>
              <w:jc w:val="center"/>
              <w:ind w:left="1866"/>
              <w:spacing w:after="0"/>
              <w:rPr>
                <w:sz w:val="20"/>
                <w:szCs w:val="20"/>
                <w:color w:val="auto"/>
              </w:rPr>
            </w:pPr>
            <w:r>
              <w:rPr>
                <w:rFonts w:ascii="Arial" w:cs="Arial" w:eastAsia="Arial" w:hAnsi="Arial"/>
                <w:sz w:val="11"/>
                <w:szCs w:val="11"/>
                <w:b w:val="1"/>
                <w:bCs w:val="1"/>
                <w:color w:val="009BDE"/>
                <w:w w:val="96"/>
              </w:rPr>
              <w:t>2022 LTI Award Target Value</w:t>
            </w:r>
          </w:p>
        </w:tc>
      </w:tr>
      <w:tr>
        <w:trPr>
          <w:trHeight w:val="85"/>
        </w:trPr>
        <w:tc>
          <w:tcPr>
            <w:tcW w:w="2520" w:type="dxa"/>
            <w:vAlign w:val="bottom"/>
            <w:tcBorders>
              <w:bottom w:val="single" w:sz="8" w:color="009BDE"/>
            </w:tcBorders>
            <w:shd w:val="clear" w:color="auto" w:fill="CCEBF8"/>
          </w:tcPr>
          <w:p>
            <w:pPr>
              <w:spacing w:after="0"/>
              <w:rPr>
                <w:sz w:val="7"/>
                <w:szCs w:val="7"/>
                <w:color w:val="auto"/>
              </w:rPr>
            </w:pPr>
          </w:p>
        </w:tc>
        <w:tc>
          <w:tcPr>
            <w:tcW w:w="3360" w:type="dxa"/>
            <w:vAlign w:val="bottom"/>
            <w:tcBorders>
              <w:bottom w:val="single" w:sz="8" w:color="009BDE"/>
            </w:tcBorders>
            <w:shd w:val="clear" w:color="auto" w:fill="CCEBF8"/>
          </w:tcPr>
          <w:p>
            <w:pPr>
              <w:spacing w:after="0"/>
              <w:rPr>
                <w:sz w:val="7"/>
                <w:szCs w:val="7"/>
                <w:color w:val="auto"/>
              </w:rPr>
            </w:pPr>
          </w:p>
        </w:tc>
      </w:tr>
      <w:tr>
        <w:trPr>
          <w:trHeight w:val="183"/>
        </w:trPr>
        <w:tc>
          <w:tcPr>
            <w:tcW w:w="2520" w:type="dxa"/>
            <w:vAlign w:val="bottom"/>
          </w:tcPr>
          <w:p>
            <w:pPr>
              <w:jc w:val="center"/>
              <w:ind w:left="6"/>
              <w:spacing w:after="0"/>
              <w:rPr>
                <w:sz w:val="20"/>
                <w:szCs w:val="20"/>
                <w:color w:val="auto"/>
              </w:rPr>
            </w:pPr>
            <w:r>
              <w:rPr>
                <w:rFonts w:ascii="Arial" w:cs="Arial" w:eastAsia="Arial" w:hAnsi="Arial"/>
                <w:sz w:val="11"/>
                <w:szCs w:val="11"/>
                <w:color w:val="auto"/>
                <w:w w:val="97"/>
              </w:rPr>
              <w:t>Chris Cocks</w:t>
            </w:r>
          </w:p>
        </w:tc>
        <w:tc>
          <w:tcPr>
            <w:tcW w:w="3360" w:type="dxa"/>
            <w:vAlign w:val="bottom"/>
          </w:tcPr>
          <w:p>
            <w:pPr>
              <w:jc w:val="center"/>
              <w:ind w:left="1866"/>
              <w:spacing w:after="0"/>
              <w:rPr>
                <w:sz w:val="20"/>
                <w:szCs w:val="20"/>
                <w:color w:val="auto"/>
              </w:rPr>
            </w:pPr>
            <w:r>
              <w:rPr>
                <w:rFonts w:ascii="Arial" w:cs="Arial" w:eastAsia="Arial" w:hAnsi="Arial"/>
                <w:sz w:val="11"/>
                <w:szCs w:val="11"/>
                <w:color w:val="auto"/>
                <w:w w:val="99"/>
              </w:rPr>
              <w:t>500%</w:t>
            </w:r>
          </w:p>
        </w:tc>
      </w:tr>
      <w:tr>
        <w:trPr>
          <w:trHeight w:val="67"/>
        </w:trPr>
        <w:tc>
          <w:tcPr>
            <w:tcW w:w="2520" w:type="dxa"/>
            <w:vAlign w:val="bottom"/>
            <w:tcBorders>
              <w:bottom w:val="single" w:sz="8" w:color="009BDE"/>
            </w:tcBorders>
          </w:tcPr>
          <w:p>
            <w:pPr>
              <w:spacing w:after="0"/>
              <w:rPr>
                <w:sz w:val="5"/>
                <w:szCs w:val="5"/>
                <w:color w:val="auto"/>
              </w:rPr>
            </w:pPr>
          </w:p>
        </w:tc>
        <w:tc>
          <w:tcPr>
            <w:tcW w:w="3360" w:type="dxa"/>
            <w:vAlign w:val="bottom"/>
            <w:tcBorders>
              <w:bottom w:val="single" w:sz="8" w:color="009BDE"/>
            </w:tcBorders>
          </w:tcPr>
          <w:p>
            <w:pPr>
              <w:spacing w:after="0"/>
              <w:rPr>
                <w:sz w:val="5"/>
                <w:szCs w:val="5"/>
                <w:color w:val="auto"/>
              </w:rPr>
            </w:pPr>
          </w:p>
        </w:tc>
      </w:tr>
      <w:tr>
        <w:trPr>
          <w:trHeight w:val="183"/>
        </w:trPr>
        <w:tc>
          <w:tcPr>
            <w:tcW w:w="2520" w:type="dxa"/>
            <w:vAlign w:val="bottom"/>
          </w:tcPr>
          <w:p>
            <w:pPr>
              <w:jc w:val="center"/>
              <w:spacing w:after="0"/>
              <w:rPr>
                <w:sz w:val="20"/>
                <w:szCs w:val="20"/>
                <w:color w:val="auto"/>
              </w:rPr>
            </w:pPr>
            <w:r>
              <w:rPr>
                <w:rFonts w:ascii="Arial" w:cs="Arial" w:eastAsia="Arial" w:hAnsi="Arial"/>
                <w:sz w:val="11"/>
                <w:szCs w:val="11"/>
                <w:color w:val="auto"/>
                <w:w w:val="98"/>
              </w:rPr>
              <w:t>Deborah Thomas</w:t>
            </w:r>
          </w:p>
        </w:tc>
        <w:tc>
          <w:tcPr>
            <w:tcW w:w="3360" w:type="dxa"/>
            <w:vAlign w:val="bottom"/>
          </w:tcPr>
          <w:p>
            <w:pPr>
              <w:jc w:val="center"/>
              <w:ind w:left="1866"/>
              <w:spacing w:after="0"/>
              <w:rPr>
                <w:sz w:val="20"/>
                <w:szCs w:val="20"/>
                <w:color w:val="auto"/>
              </w:rPr>
            </w:pPr>
            <w:r>
              <w:rPr>
                <w:rFonts w:ascii="Arial" w:cs="Arial" w:eastAsia="Arial" w:hAnsi="Arial"/>
                <w:sz w:val="11"/>
                <w:szCs w:val="11"/>
                <w:color w:val="auto"/>
                <w:w w:val="99"/>
              </w:rPr>
              <w:t>400%</w:t>
            </w:r>
          </w:p>
        </w:tc>
      </w:tr>
      <w:tr>
        <w:trPr>
          <w:trHeight w:val="67"/>
        </w:trPr>
        <w:tc>
          <w:tcPr>
            <w:tcW w:w="2520" w:type="dxa"/>
            <w:vAlign w:val="bottom"/>
            <w:tcBorders>
              <w:bottom w:val="single" w:sz="8" w:color="009BDE"/>
            </w:tcBorders>
          </w:tcPr>
          <w:p>
            <w:pPr>
              <w:spacing w:after="0"/>
              <w:rPr>
                <w:sz w:val="5"/>
                <w:szCs w:val="5"/>
                <w:color w:val="auto"/>
              </w:rPr>
            </w:pPr>
          </w:p>
        </w:tc>
        <w:tc>
          <w:tcPr>
            <w:tcW w:w="3360" w:type="dxa"/>
            <w:vAlign w:val="bottom"/>
            <w:tcBorders>
              <w:bottom w:val="single" w:sz="8" w:color="009BDE"/>
            </w:tcBorders>
          </w:tcPr>
          <w:p>
            <w:pPr>
              <w:spacing w:after="0"/>
              <w:rPr>
                <w:sz w:val="5"/>
                <w:szCs w:val="5"/>
                <w:color w:val="auto"/>
              </w:rPr>
            </w:pPr>
          </w:p>
        </w:tc>
      </w:tr>
      <w:tr>
        <w:trPr>
          <w:trHeight w:val="183"/>
        </w:trPr>
        <w:tc>
          <w:tcPr>
            <w:tcW w:w="2520" w:type="dxa"/>
            <w:vAlign w:val="bottom"/>
          </w:tcPr>
          <w:p>
            <w:pPr>
              <w:jc w:val="center"/>
              <w:spacing w:after="0"/>
              <w:rPr>
                <w:sz w:val="20"/>
                <w:szCs w:val="20"/>
                <w:color w:val="auto"/>
              </w:rPr>
            </w:pPr>
            <w:r>
              <w:rPr>
                <w:rFonts w:ascii="Arial" w:cs="Arial" w:eastAsia="Arial" w:hAnsi="Arial"/>
                <w:sz w:val="11"/>
                <w:szCs w:val="11"/>
                <w:color w:val="auto"/>
                <w:w w:val="98"/>
              </w:rPr>
              <w:t>Cynthia Williams</w:t>
            </w:r>
          </w:p>
        </w:tc>
        <w:tc>
          <w:tcPr>
            <w:tcW w:w="3360" w:type="dxa"/>
            <w:vAlign w:val="bottom"/>
          </w:tcPr>
          <w:p>
            <w:pPr>
              <w:jc w:val="center"/>
              <w:ind w:left="1866"/>
              <w:spacing w:after="0"/>
              <w:rPr>
                <w:sz w:val="20"/>
                <w:szCs w:val="20"/>
                <w:color w:val="auto"/>
              </w:rPr>
            </w:pPr>
            <w:r>
              <w:rPr>
                <w:rFonts w:ascii="Arial" w:cs="Arial" w:eastAsia="Arial" w:hAnsi="Arial"/>
                <w:sz w:val="11"/>
                <w:szCs w:val="11"/>
                <w:color w:val="auto"/>
                <w:w w:val="99"/>
              </w:rPr>
              <w:t>200%</w:t>
            </w:r>
          </w:p>
        </w:tc>
      </w:tr>
      <w:tr>
        <w:trPr>
          <w:trHeight w:val="67"/>
        </w:trPr>
        <w:tc>
          <w:tcPr>
            <w:tcW w:w="2520" w:type="dxa"/>
            <w:vAlign w:val="bottom"/>
            <w:tcBorders>
              <w:bottom w:val="single" w:sz="8" w:color="009BDE"/>
            </w:tcBorders>
          </w:tcPr>
          <w:p>
            <w:pPr>
              <w:spacing w:after="0"/>
              <w:rPr>
                <w:sz w:val="5"/>
                <w:szCs w:val="5"/>
                <w:color w:val="auto"/>
              </w:rPr>
            </w:pPr>
          </w:p>
        </w:tc>
        <w:tc>
          <w:tcPr>
            <w:tcW w:w="3360" w:type="dxa"/>
            <w:vAlign w:val="bottom"/>
            <w:tcBorders>
              <w:bottom w:val="single" w:sz="8" w:color="009BDE"/>
            </w:tcBorders>
          </w:tcPr>
          <w:p>
            <w:pPr>
              <w:spacing w:after="0"/>
              <w:rPr>
                <w:sz w:val="5"/>
                <w:szCs w:val="5"/>
                <w:color w:val="auto"/>
              </w:rPr>
            </w:pPr>
          </w:p>
        </w:tc>
      </w:tr>
      <w:tr>
        <w:trPr>
          <w:trHeight w:val="183"/>
        </w:trPr>
        <w:tc>
          <w:tcPr>
            <w:tcW w:w="2520" w:type="dxa"/>
            <w:vAlign w:val="bottom"/>
          </w:tcPr>
          <w:p>
            <w:pPr>
              <w:jc w:val="center"/>
              <w:spacing w:after="0"/>
              <w:rPr>
                <w:sz w:val="20"/>
                <w:szCs w:val="20"/>
                <w:color w:val="auto"/>
              </w:rPr>
            </w:pPr>
            <w:r>
              <w:rPr>
                <w:rFonts w:ascii="Arial" w:cs="Arial" w:eastAsia="Arial" w:hAnsi="Arial"/>
                <w:sz w:val="11"/>
                <w:szCs w:val="11"/>
                <w:color w:val="auto"/>
                <w:w w:val="98"/>
              </w:rPr>
              <w:t>Eric Nyman</w:t>
            </w:r>
          </w:p>
        </w:tc>
        <w:tc>
          <w:tcPr>
            <w:tcW w:w="3360" w:type="dxa"/>
            <w:vAlign w:val="bottom"/>
          </w:tcPr>
          <w:p>
            <w:pPr>
              <w:jc w:val="center"/>
              <w:ind w:left="1866"/>
              <w:spacing w:after="0"/>
              <w:rPr>
                <w:sz w:val="20"/>
                <w:szCs w:val="20"/>
                <w:color w:val="auto"/>
              </w:rPr>
            </w:pPr>
            <w:r>
              <w:rPr>
                <w:rFonts w:ascii="Arial" w:cs="Arial" w:eastAsia="Arial" w:hAnsi="Arial"/>
                <w:sz w:val="11"/>
                <w:szCs w:val="11"/>
                <w:color w:val="auto"/>
                <w:w w:val="99"/>
              </w:rPr>
              <w:t>400%</w:t>
            </w:r>
          </w:p>
        </w:tc>
      </w:tr>
      <w:tr>
        <w:trPr>
          <w:trHeight w:val="67"/>
        </w:trPr>
        <w:tc>
          <w:tcPr>
            <w:tcW w:w="2520" w:type="dxa"/>
            <w:vAlign w:val="bottom"/>
            <w:tcBorders>
              <w:bottom w:val="single" w:sz="8" w:color="009BDE"/>
            </w:tcBorders>
          </w:tcPr>
          <w:p>
            <w:pPr>
              <w:spacing w:after="0"/>
              <w:rPr>
                <w:sz w:val="5"/>
                <w:szCs w:val="5"/>
                <w:color w:val="auto"/>
              </w:rPr>
            </w:pPr>
          </w:p>
        </w:tc>
        <w:tc>
          <w:tcPr>
            <w:tcW w:w="3360" w:type="dxa"/>
            <w:vAlign w:val="bottom"/>
            <w:tcBorders>
              <w:bottom w:val="single" w:sz="8" w:color="009BDE"/>
            </w:tcBorders>
          </w:tcPr>
          <w:p>
            <w:pPr>
              <w:spacing w:after="0"/>
              <w:rPr>
                <w:sz w:val="5"/>
                <w:szCs w:val="5"/>
                <w:color w:val="auto"/>
              </w:rPr>
            </w:pPr>
          </w:p>
        </w:tc>
      </w:tr>
      <w:tr>
        <w:trPr>
          <w:trHeight w:val="183"/>
        </w:trPr>
        <w:tc>
          <w:tcPr>
            <w:tcW w:w="2520" w:type="dxa"/>
            <w:vAlign w:val="bottom"/>
          </w:tcPr>
          <w:p>
            <w:pPr>
              <w:jc w:val="center"/>
              <w:ind w:left="6"/>
              <w:spacing w:after="0"/>
              <w:rPr>
                <w:sz w:val="20"/>
                <w:szCs w:val="20"/>
                <w:color w:val="auto"/>
              </w:rPr>
            </w:pPr>
            <w:r>
              <w:rPr>
                <w:rFonts w:ascii="Arial" w:cs="Arial" w:eastAsia="Arial" w:hAnsi="Arial"/>
                <w:sz w:val="11"/>
                <w:szCs w:val="11"/>
                <w:color w:val="auto"/>
                <w:w w:val="97"/>
              </w:rPr>
              <w:t>Darren Throop</w:t>
            </w:r>
          </w:p>
        </w:tc>
        <w:tc>
          <w:tcPr>
            <w:tcW w:w="3360" w:type="dxa"/>
            <w:vAlign w:val="bottom"/>
          </w:tcPr>
          <w:p>
            <w:pPr>
              <w:jc w:val="center"/>
              <w:ind w:left="1866"/>
              <w:spacing w:after="0"/>
              <w:rPr>
                <w:sz w:val="20"/>
                <w:szCs w:val="20"/>
                <w:color w:val="auto"/>
              </w:rPr>
            </w:pPr>
            <w:r>
              <w:rPr>
                <w:rFonts w:ascii="Arial" w:cs="Arial" w:eastAsia="Arial" w:hAnsi="Arial"/>
                <w:sz w:val="11"/>
                <w:szCs w:val="11"/>
                <w:color w:val="auto"/>
                <w:w w:val="99"/>
              </w:rPr>
              <w:t>400%</w:t>
            </w:r>
          </w:p>
        </w:tc>
      </w:tr>
      <w:tr>
        <w:trPr>
          <w:trHeight w:val="67"/>
        </w:trPr>
        <w:tc>
          <w:tcPr>
            <w:tcW w:w="2520" w:type="dxa"/>
            <w:vAlign w:val="bottom"/>
            <w:tcBorders>
              <w:bottom w:val="single" w:sz="8" w:color="009BDE"/>
            </w:tcBorders>
          </w:tcPr>
          <w:p>
            <w:pPr>
              <w:spacing w:after="0"/>
              <w:rPr>
                <w:sz w:val="5"/>
                <w:szCs w:val="5"/>
                <w:color w:val="auto"/>
              </w:rPr>
            </w:pPr>
          </w:p>
        </w:tc>
        <w:tc>
          <w:tcPr>
            <w:tcW w:w="3360" w:type="dxa"/>
            <w:vAlign w:val="bottom"/>
            <w:tcBorders>
              <w:bottom w:val="single" w:sz="8" w:color="009BDE"/>
            </w:tcBorders>
          </w:tcPr>
          <w:p>
            <w:pPr>
              <w:spacing w:after="0"/>
              <w:rPr>
                <w:sz w:val="5"/>
                <w:szCs w:val="5"/>
                <w:color w:val="auto"/>
              </w:rPr>
            </w:pPr>
          </w:p>
        </w:tc>
      </w:tr>
    </w:tbl>
    <w:p>
      <w:pPr>
        <w:spacing w:after="0" w:line="10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division across award types, and the targeted total award value reflect the Committee’s view:</w:t>
      </w:r>
    </w:p>
    <w:p>
      <w:pPr>
        <w:spacing w:after="0" w:line="144" w:lineRule="exact"/>
        <w:rPr>
          <w:sz w:val="20"/>
          <w:szCs w:val="20"/>
          <w:color w:val="auto"/>
        </w:rPr>
      </w:pPr>
    </w:p>
    <w:p>
      <w:pPr>
        <w:ind w:left="2120" w:hanging="148"/>
        <w:spacing w:after="0"/>
        <w:tabs>
          <w:tab w:leader="none" w:pos="2120" w:val="left"/>
        </w:tabs>
        <w:numPr>
          <w:ilvl w:val="0"/>
          <w:numId w:val="44"/>
        </w:numPr>
        <w:rPr>
          <w:rFonts w:ascii="Arial" w:cs="Arial" w:eastAsia="Arial" w:hAnsi="Arial"/>
          <w:sz w:val="11"/>
          <w:szCs w:val="11"/>
          <w:color w:val="auto"/>
        </w:rPr>
      </w:pPr>
      <w:r>
        <w:rPr>
          <w:rFonts w:ascii="Arial" w:cs="Arial" w:eastAsia="Arial" w:hAnsi="Arial"/>
          <w:sz w:val="11"/>
          <w:szCs w:val="11"/>
          <w:color w:val="auto"/>
        </w:rPr>
        <w:t>as to the appropriate total award opportunity for each NEO;</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44"/>
        </w:numPr>
        <w:rPr>
          <w:rFonts w:ascii="Arial" w:cs="Arial" w:eastAsia="Arial" w:hAnsi="Arial"/>
          <w:sz w:val="11"/>
          <w:szCs w:val="11"/>
          <w:color w:val="auto"/>
        </w:rPr>
      </w:pPr>
      <w:r>
        <w:rPr>
          <w:rFonts w:ascii="Arial" w:cs="Arial" w:eastAsia="Arial" w:hAnsi="Arial"/>
          <w:sz w:val="11"/>
          <w:szCs w:val="11"/>
          <w:color w:val="auto"/>
        </w:rPr>
        <w:t>the optimal weighting of short-term and long-term objectives and drivers of retention value;</w:t>
      </w:r>
    </w:p>
    <w:p>
      <w:pPr>
        <w:spacing w:after="0" w:line="80" w:lineRule="exact"/>
        <w:rPr>
          <w:rFonts w:ascii="Arial" w:cs="Arial" w:eastAsia="Arial" w:hAnsi="Arial"/>
          <w:sz w:val="11"/>
          <w:szCs w:val="11"/>
          <w:color w:val="auto"/>
        </w:rPr>
      </w:pPr>
    </w:p>
    <w:p>
      <w:pPr>
        <w:ind w:left="2120" w:right="1059" w:hanging="148"/>
        <w:spacing w:after="0" w:line="245" w:lineRule="auto"/>
        <w:tabs>
          <w:tab w:leader="none" w:pos="2120" w:val="left"/>
        </w:tabs>
        <w:numPr>
          <w:ilvl w:val="0"/>
          <w:numId w:val="44"/>
        </w:numPr>
        <w:rPr>
          <w:rFonts w:ascii="Arial" w:cs="Arial" w:eastAsia="Arial" w:hAnsi="Arial"/>
          <w:sz w:val="11"/>
          <w:szCs w:val="11"/>
          <w:color w:val="auto"/>
        </w:rPr>
      </w:pPr>
      <w:r>
        <w:rPr>
          <w:rFonts w:ascii="Arial" w:cs="Arial" w:eastAsia="Arial" w:hAnsi="Arial"/>
          <w:sz w:val="11"/>
          <w:szCs w:val="11"/>
          <w:color w:val="auto"/>
        </w:rPr>
        <w:t>a total long-term compensation program that drives corporate performance and appropriately rewards executives for delivering a consistently high-level of performance;</w:t>
      </w:r>
    </w:p>
    <w:p>
      <w:pPr>
        <w:spacing w:after="0" w:line="74" w:lineRule="exact"/>
        <w:rPr>
          <w:rFonts w:ascii="Arial" w:cs="Arial" w:eastAsia="Arial" w:hAnsi="Arial"/>
          <w:sz w:val="11"/>
          <w:szCs w:val="11"/>
          <w:color w:val="auto"/>
        </w:rPr>
      </w:pPr>
    </w:p>
    <w:p>
      <w:pPr>
        <w:ind w:left="2120" w:right="879" w:hanging="148"/>
        <w:spacing w:after="0" w:line="245" w:lineRule="auto"/>
        <w:tabs>
          <w:tab w:leader="none" w:pos="2120" w:val="left"/>
        </w:tabs>
        <w:numPr>
          <w:ilvl w:val="0"/>
          <w:numId w:val="44"/>
        </w:numPr>
        <w:rPr>
          <w:rFonts w:ascii="Arial" w:cs="Arial" w:eastAsia="Arial" w:hAnsi="Arial"/>
          <w:sz w:val="11"/>
          <w:szCs w:val="11"/>
          <w:color w:val="auto"/>
        </w:rPr>
      </w:pPr>
      <w:r>
        <w:rPr>
          <w:rFonts w:ascii="Arial" w:cs="Arial" w:eastAsia="Arial" w:hAnsi="Arial"/>
          <w:sz w:val="11"/>
          <w:szCs w:val="11"/>
          <w:color w:val="auto"/>
        </w:rPr>
        <w:t>a belief that over the performance period the realization of equity award values should be balanced among achievement of the Company’s longer-term financial targets and the Company’s stock price appreciation; and</w:t>
      </w:r>
    </w:p>
    <w:p>
      <w:pPr>
        <w:spacing w:after="0" w:line="74" w:lineRule="exact"/>
        <w:rPr>
          <w:rFonts w:ascii="Arial" w:cs="Arial" w:eastAsia="Arial" w:hAnsi="Arial"/>
          <w:sz w:val="11"/>
          <w:szCs w:val="11"/>
          <w:color w:val="auto"/>
        </w:rPr>
      </w:pPr>
    </w:p>
    <w:p>
      <w:pPr>
        <w:ind w:left="2120" w:hanging="148"/>
        <w:spacing w:after="0"/>
        <w:tabs>
          <w:tab w:leader="none" w:pos="2120" w:val="left"/>
        </w:tabs>
        <w:numPr>
          <w:ilvl w:val="0"/>
          <w:numId w:val="44"/>
        </w:numPr>
        <w:rPr>
          <w:rFonts w:ascii="Arial" w:cs="Arial" w:eastAsia="Arial" w:hAnsi="Arial"/>
          <w:sz w:val="11"/>
          <w:szCs w:val="11"/>
          <w:color w:val="auto"/>
        </w:rPr>
      </w:pPr>
      <w:r>
        <w:rPr>
          <w:rFonts w:ascii="Arial" w:cs="Arial" w:eastAsia="Arial" w:hAnsi="Arial"/>
          <w:sz w:val="11"/>
          <w:szCs w:val="11"/>
          <w:color w:val="auto"/>
        </w:rPr>
        <w:t>the retention of key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61595</wp:posOffset>
            </wp:positionV>
            <wp:extent cx="3971925" cy="21717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5"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45</w:t>
      </w:r>
    </w:p>
    <w:p>
      <w:pPr>
        <w:sectPr>
          <w:pgSz w:w="11900" w:h="16838" w:orient="portrait"/>
          <w:cols w:equalWidth="0" w:num="1">
            <w:col w:w="10159"/>
          </w:cols>
          <w:pgMar w:left="300" w:top="372" w:right="1440" w:bottom="1440" w:gutter="0" w:footer="0" w:header="0"/>
        </w:sectPr>
      </w:pPr>
    </w:p>
    <w:bookmarkStart w:id="67" w:name="page68"/>
    <w:bookmarkEnd w:id="6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979"/>
        <w:spacing w:after="0" w:line="242" w:lineRule="auto"/>
        <w:rPr>
          <w:sz w:val="20"/>
          <w:szCs w:val="20"/>
          <w:color w:val="auto"/>
        </w:rPr>
      </w:pPr>
      <w:r>
        <w:rPr>
          <w:rFonts w:ascii="Arial" w:cs="Arial" w:eastAsia="Arial" w:hAnsi="Arial"/>
          <w:sz w:val="11"/>
          <w:szCs w:val="11"/>
          <w:color w:val="auto"/>
        </w:rPr>
        <w:t>As noted above, in connection with Mr. Stoddart’s appointment as Interim Chief Executive Officer in October 2021, the Board, upon recommendation of the Committee, awarded to Mr. Stoddart a long-term incentive award with a grant value equal to $2.5 million. Such award was issued in the form of restricted stock units that vested in full on the one-year anniversary of the grant date.</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3"/>
          <w:szCs w:val="13"/>
          <w:i w:val="1"/>
          <w:iCs w:val="1"/>
          <w:color w:val="009BDE"/>
        </w:rPr>
        <w:t>Performance Contingent Stock Awards</w:t>
      </w:r>
    </w:p>
    <w:p>
      <w:pPr>
        <w:spacing w:after="0" w:line="84" w:lineRule="exact"/>
        <w:rPr>
          <w:sz w:val="20"/>
          <w:szCs w:val="20"/>
          <w:color w:val="auto"/>
        </w:rPr>
      </w:pPr>
    </w:p>
    <w:p>
      <w:pPr>
        <w:ind w:left="1980" w:right="939"/>
        <w:spacing w:after="0" w:line="239" w:lineRule="auto"/>
        <w:rPr>
          <w:sz w:val="20"/>
          <w:szCs w:val="20"/>
          <w:color w:val="auto"/>
        </w:rPr>
      </w:pPr>
      <w:r>
        <w:rPr>
          <w:rFonts w:ascii="Arial" w:cs="Arial" w:eastAsia="Arial" w:hAnsi="Arial"/>
          <w:sz w:val="11"/>
          <w:szCs w:val="11"/>
          <w:color w:val="auto"/>
        </w:rPr>
        <w:t>Performance contingent stock awards (“PSA Awards”) provide the recipient with the potential to earn shares of the Company’s common stock based on the Company’s achievement against financial performance metrics over a three-year performance period. For 2022, the Committee set the performance metrics and respective weightings for the PSA Awards issued to our NEOs as cumulative diluted earnings per share (“EPS”) (34%), cumulative net revenue (“Net Revenue”) (33%) and average return on invested capital (“ROIC”) (33%). The Committee selected these performance metrics because they are important drivers of long-term sustainable Company performance with respect to top-line growth (Net Revenue), effective profitability and balance sheet management (Diluted EPS), and our ability to generate returns from the capital we have deployed in our operations (ROIC). The Committee believes that these performance metrics are key factors in creating long-term shareholder value and appropriately align the interests of our executives with those of our shareholders.</w:t>
      </w:r>
    </w:p>
    <w:p>
      <w:pPr>
        <w:spacing w:after="0" w:line="99" w:lineRule="exact"/>
        <w:rPr>
          <w:sz w:val="20"/>
          <w:szCs w:val="20"/>
          <w:color w:val="auto"/>
        </w:rPr>
      </w:pPr>
    </w:p>
    <w:p>
      <w:pPr>
        <w:ind w:left="1980" w:right="879"/>
        <w:spacing w:after="0" w:line="239" w:lineRule="auto"/>
        <w:rPr>
          <w:sz w:val="20"/>
          <w:szCs w:val="20"/>
          <w:color w:val="auto"/>
        </w:rPr>
      </w:pPr>
      <w:r>
        <w:rPr>
          <w:rFonts w:ascii="Arial" w:cs="Arial" w:eastAsia="Arial" w:hAnsi="Arial"/>
          <w:sz w:val="11"/>
          <w:szCs w:val="11"/>
          <w:color w:val="auto"/>
        </w:rPr>
        <w:t>In fiscal 2022, the Committee reviewed the plan design for our performance contingent stock awards, including feedback from shareholders regarding the use of Revenue as a performance metric in both the annual and long-term incentive plans. After considering the appropriateness of utilizing the same metric across both incentive plans, the respective weighting of such metric in each plan, the significance of top-line growth to the Company’s performance, and the strong alignment between top-line growth and sustainable long-term shareholder value creation, the Committee determined that it was appropriate to maintain Revenue as one of three financial performance measures for the PSA Awards. After such review, the Committee issued PSA Awards as part of our fiscal 2022 annual long-term incentive award that included three financial performance metrics—Diluted EPS (weighted 34%), ROIC (weighted 33%) and Net Revenue (weighted 33%). If the Company achieves less than threshold performance with respect to any performance metric, the payout achieved for that metric is 0%. The minimum payout for achievement against a given metric is set at 50% of target, and that minimum is awarded when actual performance reaches 80% of target performance. The maximum payout for over achievement against a given metric is set at 200% of target, and that maximum is awarded when actual performance reaches 115% of target performance in the case of Net Revenue, and 125% of target performance in the case of Diluted EPS and ROIC. For performance between threshold and target and target and maximum, the payout is determined by linear interpolation.</w:t>
      </w:r>
    </w:p>
    <w:p>
      <w:pPr>
        <w:spacing w:after="0" w:line="100" w:lineRule="exact"/>
        <w:rPr>
          <w:sz w:val="20"/>
          <w:szCs w:val="20"/>
          <w:color w:val="auto"/>
        </w:rPr>
      </w:pPr>
    </w:p>
    <w:p>
      <w:pPr>
        <w:ind w:left="1980" w:right="859"/>
        <w:spacing w:after="0"/>
        <w:rPr>
          <w:sz w:val="20"/>
          <w:szCs w:val="20"/>
          <w:color w:val="auto"/>
        </w:rPr>
      </w:pPr>
      <w:r>
        <w:rPr>
          <w:rFonts w:ascii="Arial" w:cs="Arial" w:eastAsia="Arial" w:hAnsi="Arial"/>
          <w:sz w:val="11"/>
          <w:szCs w:val="11"/>
          <w:color w:val="auto"/>
        </w:rPr>
        <w:t>The Company considers the specific target performance levels for ongoing performance periods to be confidential information that would harm the Company if disclosed as they are based on confidential internal plans and forward-looking expectations concerning the Company’s performance over a three-year period. Retrospective disclosure is provided upon conclusion of each period. As discussed above, the performance targets set forth in the PSA Awards awards align with the Company’s budget, operating plan and strategic plan, and were set at levels the Committee determined will challenge the executive team in working to meet long-term objectives and drive performance and shareholder value creation. Strong performance from the Company and, in turn, its executives, is required to achieve a threshold payout and superior performance in managing the Company’s business will be required to achieve a higher than target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59690</wp:posOffset>
            </wp:positionV>
            <wp:extent cx="4674870" cy="58293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4674870" cy="582930"/>
                    </a:xfrm>
                    <a:prstGeom prst="rect">
                      <a:avLst/>
                    </a:prstGeom>
                    <a:noFill/>
                  </pic:spPr>
                </pic:pic>
              </a:graphicData>
            </a:graphic>
          </wp:anchor>
        </w:drawing>
      </w:r>
    </w:p>
    <w:p>
      <w:pPr>
        <w:spacing w:after="0" w:line="163" w:lineRule="exact"/>
        <w:rPr>
          <w:sz w:val="20"/>
          <w:szCs w:val="20"/>
          <w:color w:val="auto"/>
        </w:rPr>
      </w:pPr>
    </w:p>
    <w:p>
      <w:pPr>
        <w:ind w:left="2080" w:right="899"/>
        <w:spacing w:after="0" w:line="246" w:lineRule="auto"/>
        <w:rPr>
          <w:sz w:val="20"/>
          <w:szCs w:val="20"/>
          <w:color w:val="auto"/>
        </w:rPr>
      </w:pPr>
      <w:r>
        <w:rPr>
          <w:rFonts w:ascii="Arial" w:cs="Arial" w:eastAsia="Arial" w:hAnsi="Arial"/>
          <w:sz w:val="11"/>
          <w:szCs w:val="11"/>
          <w:b w:val="1"/>
          <w:bCs w:val="1"/>
          <w:i w:val="1"/>
          <w:iCs w:val="1"/>
          <w:color w:val="0060ED"/>
        </w:rPr>
        <w:t>Changes for Fiscal Year 2023</w:t>
      </w:r>
      <w:r>
        <w:rPr>
          <w:rFonts w:ascii="Arial" w:cs="Arial" w:eastAsia="Arial" w:hAnsi="Arial"/>
          <w:sz w:val="11"/>
          <w:szCs w:val="11"/>
          <w:color w:val="000000"/>
        </w:rPr>
        <w:t>. After review of the long-term incentive plan design, the Committee made certain changes to the metrics for the</w:t>
      </w:r>
      <w:r>
        <w:rPr>
          <w:rFonts w:ascii="Arial" w:cs="Arial" w:eastAsia="Arial" w:hAnsi="Arial"/>
          <w:sz w:val="11"/>
          <w:szCs w:val="11"/>
          <w:b w:val="1"/>
          <w:bCs w:val="1"/>
          <w:i w:val="1"/>
          <w:iCs w:val="1"/>
          <w:color w:val="0060ED"/>
        </w:rPr>
        <w:t xml:space="preserve"> </w:t>
      </w:r>
      <w:r>
        <w:rPr>
          <w:rFonts w:ascii="Arial" w:cs="Arial" w:eastAsia="Arial" w:hAnsi="Arial"/>
          <w:sz w:val="11"/>
          <w:szCs w:val="11"/>
          <w:color w:val="000000"/>
        </w:rPr>
        <w:t>performance contingent stock awards for 2023. For fiscal 2023, the two financial performance metrics that will be utilized as Company performance measures, which the Committee believes captures the most important aspects of the Company’s long-term performance, are Diluted EPS (weighted at 50%) and ROIC (weighted at 50%), subject to +/- 25% modifier for the Company’s relative TSR performance against the S&amp;P 500 TSR comparator group. The TSR modifier replaces the revenue metric used in prior years to stress the importance of improving our 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177800</wp:posOffset>
            </wp:positionV>
            <wp:extent cx="3971925" cy="21717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318"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46</w:t>
      </w:r>
    </w:p>
    <w:p>
      <w:pPr>
        <w:sectPr>
          <w:pgSz w:w="11900" w:h="16838" w:orient="portrait"/>
          <w:cols w:equalWidth="0" w:num="1">
            <w:col w:w="10159"/>
          </w:cols>
          <w:pgMar w:left="300" w:top="372" w:right="1440" w:bottom="1440" w:gutter="0" w:footer="0" w:header="0"/>
        </w:sectPr>
      </w:pPr>
    </w:p>
    <w:bookmarkStart w:id="68" w:name="page69"/>
    <w:bookmarkEnd w:id="6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3"/>
          <w:szCs w:val="13"/>
          <w:i w:val="1"/>
          <w:iCs w:val="1"/>
          <w:color w:val="009BDE"/>
        </w:rPr>
        <w:t>FY20-FY22 Performance Contingent Stock Award</w:t>
      </w:r>
    </w:p>
    <w:p>
      <w:pPr>
        <w:spacing w:after="0" w:line="84" w:lineRule="exact"/>
        <w:rPr>
          <w:sz w:val="20"/>
          <w:szCs w:val="20"/>
          <w:color w:val="auto"/>
        </w:rPr>
      </w:pPr>
    </w:p>
    <w:p>
      <w:pPr>
        <w:ind w:left="1980" w:right="1059"/>
        <w:spacing w:after="0" w:line="262" w:lineRule="auto"/>
        <w:rPr>
          <w:sz w:val="20"/>
          <w:szCs w:val="20"/>
          <w:color w:val="auto"/>
        </w:rPr>
      </w:pPr>
      <w:r>
        <w:rPr>
          <w:rFonts w:ascii="Arial" w:cs="Arial" w:eastAsia="Arial" w:hAnsi="Arial"/>
          <w:sz w:val="10"/>
          <w:szCs w:val="10"/>
          <w:color w:val="auto"/>
        </w:rPr>
        <w:t>Each year the Committee reviews the PSA Award whose performance period ends during such fiscal year to determine whether the applicable performance criteria have been satisfied. In fiscal 2020, the Committee issued a PSA Award for the three-year performance period that included fiscal 2020, 2021 and 2022 (the “FY20-FY22 PSA Award”). When the Committee issued the FY20-FY22 PSA Award, the Committee issued awards to</w:t>
      </w:r>
    </w:p>
    <w:p>
      <w:pPr>
        <w:spacing w:after="0" w:line="1" w:lineRule="exact"/>
        <w:rPr>
          <w:sz w:val="20"/>
          <w:szCs w:val="20"/>
          <w:color w:val="auto"/>
        </w:rPr>
      </w:pPr>
    </w:p>
    <w:p>
      <w:pPr>
        <w:ind w:left="1980" w:right="939"/>
        <w:spacing w:after="0"/>
        <w:rPr>
          <w:sz w:val="20"/>
          <w:szCs w:val="20"/>
          <w:color w:val="auto"/>
        </w:rPr>
      </w:pPr>
      <w:r>
        <w:rPr>
          <w:rFonts w:ascii="Arial" w:cs="Arial" w:eastAsia="Arial" w:hAnsi="Arial"/>
          <w:sz w:val="11"/>
          <w:szCs w:val="11"/>
          <w:color w:val="auto"/>
        </w:rPr>
        <w:t>Mr. Cocks and Mr. Nyman (who each received an award subject to two performance metrics at a time when they were not executive officers) and to Ms. Thomas and Mr. Throop (who received awards subject to three performance metrics). Mr. Stoddart and Ms. Williams were not employed by the Company at the time the Committee granted the FY20-FY22 PSA Award and therefore did not receive such an award. After the end of the performance period, the Committee reviewed and determined that the FY20-FY22 PSA Award, which was subject to two performance metrics achieved 45% of target performance and the FY20-FY22 PSA Award subject to three metrics achieved 57% of target performance.</w:t>
      </w:r>
    </w:p>
    <w:p>
      <w:pPr>
        <w:spacing w:after="0" w:line="97" w:lineRule="exact"/>
        <w:rPr>
          <w:sz w:val="20"/>
          <w:szCs w:val="20"/>
          <w:color w:val="auto"/>
        </w:rPr>
      </w:pPr>
    </w:p>
    <w:p>
      <w:pPr>
        <w:ind w:left="1980" w:right="1159"/>
        <w:spacing w:after="0" w:line="245" w:lineRule="auto"/>
        <w:rPr>
          <w:sz w:val="20"/>
          <w:szCs w:val="20"/>
          <w:color w:val="auto"/>
        </w:rPr>
      </w:pPr>
      <w:r>
        <w:rPr>
          <w:rFonts w:ascii="Arial" w:cs="Arial" w:eastAsia="Arial" w:hAnsi="Arial"/>
          <w:sz w:val="11"/>
          <w:szCs w:val="11"/>
          <w:color w:val="auto"/>
        </w:rPr>
        <w:t>The following table compares the actual results achieved for the FY20-FY22 PSA Awards against the targeted goals for the three-year performance period.</w:t>
      </w:r>
    </w:p>
    <w:p>
      <w:pPr>
        <w:spacing w:after="0" w:line="155" w:lineRule="exact"/>
        <w:rPr>
          <w:sz w:val="20"/>
          <w:szCs w:val="20"/>
          <w:color w:val="auto"/>
        </w:rPr>
      </w:pPr>
    </w:p>
    <w:tbl>
      <w:tblPr>
        <w:tblLayout w:type="fixed"/>
        <w:tblInd w:w="1980" w:type="dxa"/>
        <w:tblCellMar>
          <w:top w:w="0" w:type="dxa"/>
          <w:left w:w="0" w:type="dxa"/>
          <w:bottom w:w="0" w:type="dxa"/>
          <w:right w:w="0" w:type="dxa"/>
        </w:tblCellMar>
      </w:tblPr>
      <w:tr>
        <w:trPr>
          <w:trHeight w:val="139"/>
        </w:trPr>
        <w:tc>
          <w:tcPr>
            <w:tcW w:w="1200" w:type="dxa"/>
            <w:vAlign w:val="bottom"/>
            <w:shd w:val="clear" w:color="auto" w:fill="CCEBF8"/>
          </w:tcPr>
          <w:p>
            <w:pPr>
              <w:spacing w:after="0"/>
              <w:rPr>
                <w:sz w:val="12"/>
                <w:szCs w:val="12"/>
                <w:color w:val="auto"/>
              </w:rPr>
            </w:pPr>
          </w:p>
        </w:tc>
        <w:tc>
          <w:tcPr>
            <w:tcW w:w="560" w:type="dxa"/>
            <w:vAlign w:val="bottom"/>
            <w:shd w:val="clear" w:color="auto" w:fill="CCEBF8"/>
          </w:tcPr>
          <w:p>
            <w:pPr>
              <w:spacing w:after="0"/>
              <w:rPr>
                <w:sz w:val="12"/>
                <w:szCs w:val="12"/>
                <w:color w:val="auto"/>
              </w:rPr>
            </w:pPr>
          </w:p>
        </w:tc>
        <w:tc>
          <w:tcPr>
            <w:tcW w:w="1420" w:type="dxa"/>
            <w:vAlign w:val="bottom"/>
            <w:gridSpan w:val="3"/>
            <w:shd w:val="clear" w:color="auto" w:fill="CCEBF8"/>
          </w:tcPr>
          <w:p>
            <w:pPr>
              <w:ind w:left="40"/>
              <w:spacing w:after="0"/>
              <w:rPr>
                <w:sz w:val="20"/>
                <w:szCs w:val="20"/>
                <w:color w:val="auto"/>
              </w:rPr>
            </w:pPr>
            <w:r>
              <w:rPr>
                <w:rFonts w:ascii="Arial" w:cs="Arial" w:eastAsia="Arial" w:hAnsi="Arial"/>
                <w:sz w:val="10"/>
                <w:szCs w:val="10"/>
                <w:b w:val="1"/>
                <w:bCs w:val="1"/>
                <w:color w:val="009BDE"/>
              </w:rPr>
              <w:t>Net Revenue*</w:t>
            </w:r>
          </w:p>
        </w:tc>
        <w:tc>
          <w:tcPr>
            <w:tcW w:w="1860" w:type="dxa"/>
            <w:vAlign w:val="bottom"/>
            <w:gridSpan w:val="4"/>
            <w:shd w:val="clear" w:color="auto" w:fill="CCEBF8"/>
          </w:tcPr>
          <w:p>
            <w:pPr>
              <w:ind w:left="260"/>
              <w:spacing w:after="0"/>
              <w:rPr>
                <w:sz w:val="20"/>
                <w:szCs w:val="20"/>
                <w:color w:val="auto"/>
              </w:rPr>
            </w:pPr>
            <w:r>
              <w:rPr>
                <w:rFonts w:ascii="Arial" w:cs="Arial" w:eastAsia="Arial" w:hAnsi="Arial"/>
                <w:sz w:val="10"/>
                <w:szCs w:val="10"/>
                <w:b w:val="1"/>
                <w:bCs w:val="1"/>
                <w:color w:val="009BDE"/>
              </w:rPr>
              <w:t>Cumulative Diluted EPS*</w:t>
            </w:r>
          </w:p>
        </w:tc>
        <w:tc>
          <w:tcPr>
            <w:tcW w:w="500" w:type="dxa"/>
            <w:vAlign w:val="bottom"/>
            <w:shd w:val="clear" w:color="auto" w:fill="CCEBF8"/>
          </w:tcPr>
          <w:p>
            <w:pPr>
              <w:spacing w:after="0"/>
              <w:rPr>
                <w:sz w:val="12"/>
                <w:szCs w:val="12"/>
                <w:color w:val="auto"/>
              </w:rPr>
            </w:pPr>
          </w:p>
        </w:tc>
        <w:tc>
          <w:tcPr>
            <w:tcW w:w="1160" w:type="dxa"/>
            <w:vAlign w:val="bottom"/>
            <w:gridSpan w:val="2"/>
            <w:shd w:val="clear" w:color="auto" w:fill="CCEBF8"/>
          </w:tcPr>
          <w:p>
            <w:pPr>
              <w:jc w:val="right"/>
              <w:ind w:right="387"/>
              <w:spacing w:after="0"/>
              <w:rPr>
                <w:sz w:val="20"/>
                <w:szCs w:val="20"/>
                <w:color w:val="auto"/>
              </w:rPr>
            </w:pPr>
            <w:r>
              <w:rPr>
                <w:rFonts w:ascii="Arial" w:cs="Arial" w:eastAsia="Arial" w:hAnsi="Arial"/>
                <w:sz w:val="10"/>
                <w:szCs w:val="10"/>
                <w:b w:val="1"/>
                <w:bCs w:val="1"/>
                <w:color w:val="009BDE"/>
              </w:rPr>
              <w:t>Average ROIC</w:t>
            </w:r>
          </w:p>
        </w:tc>
        <w:tc>
          <w:tcPr>
            <w:tcW w:w="640" w:type="dxa"/>
            <w:vAlign w:val="bottom"/>
            <w:shd w:val="clear" w:color="auto" w:fill="CCEBF8"/>
          </w:tcPr>
          <w:p>
            <w:pPr>
              <w:jc w:val="center"/>
              <w:ind w:left="9"/>
              <w:spacing w:after="0"/>
              <w:rPr>
                <w:sz w:val="20"/>
                <w:szCs w:val="20"/>
                <w:color w:val="auto"/>
              </w:rPr>
            </w:pPr>
            <w:r>
              <w:rPr>
                <w:rFonts w:ascii="Arial" w:cs="Arial" w:eastAsia="Arial" w:hAnsi="Arial"/>
                <w:sz w:val="10"/>
                <w:szCs w:val="10"/>
                <w:b w:val="1"/>
                <w:bCs w:val="1"/>
                <w:color w:val="009BDE"/>
              </w:rPr>
              <w:t>Weighted</w:t>
            </w:r>
          </w:p>
        </w:tc>
      </w:tr>
      <w:tr>
        <w:trPr>
          <w:trHeight w:val="104"/>
        </w:trPr>
        <w:tc>
          <w:tcPr>
            <w:tcW w:w="1200" w:type="dxa"/>
            <w:vAlign w:val="bottom"/>
            <w:tcBorders>
              <w:bottom w:val="single" w:sz="8" w:color="CCEBF8"/>
            </w:tcBorders>
            <w:shd w:val="clear" w:color="auto" w:fill="CCEBF8"/>
          </w:tcPr>
          <w:p>
            <w:pPr>
              <w:ind w:left="280"/>
              <w:spacing w:after="0" w:line="85" w:lineRule="exact"/>
              <w:rPr>
                <w:sz w:val="20"/>
                <w:szCs w:val="20"/>
                <w:color w:val="auto"/>
              </w:rPr>
            </w:pPr>
            <w:r>
              <w:rPr>
                <w:rFonts w:ascii="Arial" w:cs="Arial" w:eastAsia="Arial" w:hAnsi="Arial"/>
                <w:sz w:val="9"/>
                <w:szCs w:val="9"/>
                <w:b w:val="1"/>
                <w:bCs w:val="1"/>
                <w:color w:val="009BDE"/>
              </w:rPr>
              <w:t>Performance</w:t>
            </w:r>
          </w:p>
        </w:tc>
        <w:tc>
          <w:tcPr>
            <w:tcW w:w="560" w:type="dxa"/>
            <w:vAlign w:val="bottom"/>
            <w:tcBorders>
              <w:bottom w:val="single" w:sz="8" w:color="009BDE"/>
            </w:tcBorders>
            <w:shd w:val="clear" w:color="auto" w:fill="CCEBF8"/>
          </w:tcPr>
          <w:p>
            <w:pPr>
              <w:spacing w:after="0"/>
              <w:rPr>
                <w:sz w:val="9"/>
                <w:szCs w:val="9"/>
                <w:color w:val="auto"/>
              </w:rPr>
            </w:pPr>
          </w:p>
        </w:tc>
        <w:tc>
          <w:tcPr>
            <w:tcW w:w="520" w:type="dxa"/>
            <w:vAlign w:val="bottom"/>
            <w:tcBorders>
              <w:bottom w:val="single" w:sz="8" w:color="009BDE"/>
            </w:tcBorders>
            <w:shd w:val="clear" w:color="auto" w:fill="CCEBF8"/>
          </w:tcPr>
          <w:p>
            <w:pPr>
              <w:spacing w:after="0"/>
              <w:rPr>
                <w:sz w:val="9"/>
                <w:szCs w:val="9"/>
                <w:color w:val="auto"/>
              </w:rPr>
            </w:pPr>
          </w:p>
        </w:tc>
        <w:tc>
          <w:tcPr>
            <w:tcW w:w="680" w:type="dxa"/>
            <w:vAlign w:val="bottom"/>
            <w:tcBorders>
              <w:bottom w:val="single" w:sz="8" w:color="009BDE"/>
            </w:tcBorders>
            <w:shd w:val="clear" w:color="auto" w:fill="CCEBF8"/>
          </w:tcPr>
          <w:p>
            <w:pPr>
              <w:spacing w:after="0"/>
              <w:rPr>
                <w:sz w:val="9"/>
                <w:szCs w:val="9"/>
                <w:color w:val="auto"/>
              </w:rPr>
            </w:pPr>
          </w:p>
        </w:tc>
        <w:tc>
          <w:tcPr>
            <w:tcW w:w="220" w:type="dxa"/>
            <w:vAlign w:val="bottom"/>
            <w:tcBorders>
              <w:bottom w:val="single" w:sz="8" w:color="CCEBF8"/>
            </w:tcBorders>
            <w:shd w:val="clear" w:color="auto" w:fill="CCEBF8"/>
          </w:tcPr>
          <w:p>
            <w:pPr>
              <w:spacing w:after="0"/>
              <w:rPr>
                <w:sz w:val="9"/>
                <w:szCs w:val="9"/>
                <w:color w:val="auto"/>
              </w:rPr>
            </w:pPr>
          </w:p>
        </w:tc>
        <w:tc>
          <w:tcPr>
            <w:tcW w:w="500" w:type="dxa"/>
            <w:vAlign w:val="bottom"/>
            <w:tcBorders>
              <w:bottom w:val="single" w:sz="8" w:color="009BDE"/>
            </w:tcBorders>
            <w:shd w:val="clear" w:color="auto" w:fill="CCEBF8"/>
          </w:tcPr>
          <w:p>
            <w:pPr>
              <w:spacing w:after="0"/>
              <w:rPr>
                <w:sz w:val="9"/>
                <w:szCs w:val="9"/>
                <w:color w:val="auto"/>
              </w:rPr>
            </w:pPr>
          </w:p>
        </w:tc>
        <w:tc>
          <w:tcPr>
            <w:tcW w:w="460" w:type="dxa"/>
            <w:vAlign w:val="bottom"/>
            <w:tcBorders>
              <w:bottom w:val="single" w:sz="8" w:color="009BDE"/>
            </w:tcBorders>
            <w:shd w:val="clear" w:color="auto" w:fill="CCEBF8"/>
          </w:tcPr>
          <w:p>
            <w:pPr>
              <w:spacing w:after="0"/>
              <w:rPr>
                <w:sz w:val="9"/>
                <w:szCs w:val="9"/>
                <w:color w:val="auto"/>
              </w:rPr>
            </w:pPr>
          </w:p>
        </w:tc>
        <w:tc>
          <w:tcPr>
            <w:tcW w:w="680" w:type="dxa"/>
            <w:vAlign w:val="bottom"/>
            <w:tcBorders>
              <w:bottom w:val="single" w:sz="8" w:color="009BDE"/>
            </w:tcBorders>
            <w:shd w:val="clear" w:color="auto" w:fill="CCEBF8"/>
          </w:tcPr>
          <w:p>
            <w:pPr>
              <w:spacing w:after="0"/>
              <w:rPr>
                <w:sz w:val="9"/>
                <w:szCs w:val="9"/>
                <w:color w:val="auto"/>
              </w:rPr>
            </w:pPr>
          </w:p>
        </w:tc>
        <w:tc>
          <w:tcPr>
            <w:tcW w:w="220" w:type="dxa"/>
            <w:vAlign w:val="bottom"/>
            <w:tcBorders>
              <w:bottom w:val="single" w:sz="8" w:color="CCEBF8"/>
            </w:tcBorders>
            <w:shd w:val="clear" w:color="auto" w:fill="CCEBF8"/>
          </w:tcPr>
          <w:p>
            <w:pPr>
              <w:spacing w:after="0"/>
              <w:rPr>
                <w:sz w:val="9"/>
                <w:szCs w:val="9"/>
                <w:color w:val="auto"/>
              </w:rPr>
            </w:pPr>
          </w:p>
        </w:tc>
        <w:tc>
          <w:tcPr>
            <w:tcW w:w="500" w:type="dxa"/>
            <w:vAlign w:val="bottom"/>
            <w:tcBorders>
              <w:bottom w:val="single" w:sz="8" w:color="009BDE"/>
            </w:tcBorders>
            <w:shd w:val="clear" w:color="auto" w:fill="CCEBF8"/>
          </w:tcPr>
          <w:p>
            <w:pPr>
              <w:spacing w:after="0"/>
              <w:rPr>
                <w:sz w:val="9"/>
                <w:szCs w:val="9"/>
                <w:color w:val="auto"/>
              </w:rPr>
            </w:pPr>
          </w:p>
        </w:tc>
        <w:tc>
          <w:tcPr>
            <w:tcW w:w="480" w:type="dxa"/>
            <w:vAlign w:val="bottom"/>
            <w:tcBorders>
              <w:bottom w:val="single" w:sz="8" w:color="009BDE"/>
            </w:tcBorders>
            <w:shd w:val="clear" w:color="auto" w:fill="CCEBF8"/>
          </w:tcPr>
          <w:p>
            <w:pPr>
              <w:spacing w:after="0"/>
              <w:rPr>
                <w:sz w:val="9"/>
                <w:szCs w:val="9"/>
                <w:color w:val="auto"/>
              </w:rPr>
            </w:pPr>
          </w:p>
        </w:tc>
        <w:tc>
          <w:tcPr>
            <w:tcW w:w="680" w:type="dxa"/>
            <w:vAlign w:val="bottom"/>
            <w:tcBorders>
              <w:bottom w:val="single" w:sz="8" w:color="009BDE"/>
            </w:tcBorders>
            <w:shd w:val="clear" w:color="auto" w:fill="CCEBF8"/>
          </w:tcPr>
          <w:p>
            <w:pPr>
              <w:spacing w:after="0"/>
              <w:rPr>
                <w:sz w:val="9"/>
                <w:szCs w:val="9"/>
                <w:color w:val="auto"/>
              </w:rPr>
            </w:pPr>
          </w:p>
        </w:tc>
        <w:tc>
          <w:tcPr>
            <w:tcW w:w="640" w:type="dxa"/>
            <w:vAlign w:val="bottom"/>
            <w:tcBorders>
              <w:bottom w:val="single" w:sz="8" w:color="CCEBF8"/>
            </w:tcBorders>
            <w:shd w:val="clear" w:color="auto" w:fill="CCEBF8"/>
          </w:tcPr>
          <w:p>
            <w:pPr>
              <w:jc w:val="center"/>
              <w:ind w:left="9"/>
              <w:spacing w:after="0" w:line="85" w:lineRule="exact"/>
              <w:rPr>
                <w:sz w:val="20"/>
                <w:szCs w:val="20"/>
                <w:color w:val="auto"/>
              </w:rPr>
            </w:pPr>
            <w:r>
              <w:rPr>
                <w:rFonts w:ascii="Arial" w:cs="Arial" w:eastAsia="Arial" w:hAnsi="Arial"/>
                <w:sz w:val="9"/>
                <w:szCs w:val="9"/>
                <w:b w:val="1"/>
                <w:bCs w:val="1"/>
                <w:color w:val="009BDE"/>
              </w:rPr>
              <w:t>Payout</w:t>
            </w:r>
          </w:p>
        </w:tc>
      </w:tr>
      <w:tr>
        <w:trPr>
          <w:trHeight w:val="123"/>
        </w:trPr>
        <w:tc>
          <w:tcPr>
            <w:tcW w:w="1200" w:type="dxa"/>
            <w:vAlign w:val="bottom"/>
            <w:shd w:val="clear" w:color="auto" w:fill="CCEBF8"/>
          </w:tcPr>
          <w:p>
            <w:pPr>
              <w:ind w:left="440"/>
              <w:spacing w:after="0"/>
              <w:rPr>
                <w:sz w:val="20"/>
                <w:szCs w:val="20"/>
                <w:color w:val="auto"/>
              </w:rPr>
            </w:pPr>
            <w:r>
              <w:rPr>
                <w:rFonts w:ascii="Arial" w:cs="Arial" w:eastAsia="Arial" w:hAnsi="Arial"/>
                <w:sz w:val="10"/>
                <w:szCs w:val="10"/>
                <w:b w:val="1"/>
                <w:bCs w:val="1"/>
                <w:color w:val="009BDE"/>
              </w:rPr>
              <w:t>Period</w:t>
            </w:r>
          </w:p>
        </w:tc>
        <w:tc>
          <w:tcPr>
            <w:tcW w:w="560" w:type="dxa"/>
            <w:vAlign w:val="bottom"/>
            <w:shd w:val="clear" w:color="auto" w:fill="CCEBF8"/>
          </w:tcPr>
          <w:p>
            <w:pPr>
              <w:jc w:val="right"/>
              <w:ind w:right="47"/>
              <w:spacing w:after="0"/>
              <w:rPr>
                <w:sz w:val="20"/>
                <w:szCs w:val="20"/>
                <w:color w:val="auto"/>
              </w:rPr>
            </w:pPr>
            <w:r>
              <w:rPr>
                <w:rFonts w:ascii="Arial" w:cs="Arial" w:eastAsia="Arial" w:hAnsi="Arial"/>
                <w:sz w:val="10"/>
                <w:szCs w:val="10"/>
                <w:b w:val="1"/>
                <w:bCs w:val="1"/>
                <w:color w:val="009BDE"/>
              </w:rPr>
              <w:t>Target</w:t>
            </w:r>
          </w:p>
        </w:tc>
        <w:tc>
          <w:tcPr>
            <w:tcW w:w="520" w:type="dxa"/>
            <w:vAlign w:val="bottom"/>
            <w:shd w:val="clear" w:color="auto" w:fill="CCEBF8"/>
          </w:tcPr>
          <w:p>
            <w:pPr>
              <w:ind w:left="80"/>
              <w:spacing w:after="0"/>
              <w:rPr>
                <w:sz w:val="20"/>
                <w:szCs w:val="20"/>
                <w:color w:val="auto"/>
              </w:rPr>
            </w:pPr>
            <w:r>
              <w:rPr>
                <w:rFonts w:ascii="Arial" w:cs="Arial" w:eastAsia="Arial" w:hAnsi="Arial"/>
                <w:sz w:val="10"/>
                <w:szCs w:val="10"/>
                <w:b w:val="1"/>
                <w:bCs w:val="1"/>
                <w:color w:val="009BDE"/>
              </w:rPr>
              <w:t>Results</w:t>
            </w:r>
          </w:p>
        </w:tc>
        <w:tc>
          <w:tcPr>
            <w:tcW w:w="680" w:type="dxa"/>
            <w:vAlign w:val="bottom"/>
            <w:shd w:val="clear" w:color="auto" w:fill="CCEBF8"/>
          </w:tcPr>
          <w:p>
            <w:pPr>
              <w:jc w:val="right"/>
              <w:spacing w:after="0"/>
              <w:rPr>
                <w:sz w:val="20"/>
                <w:szCs w:val="20"/>
                <w:color w:val="auto"/>
              </w:rPr>
            </w:pPr>
            <w:r>
              <w:rPr>
                <w:rFonts w:ascii="Arial" w:cs="Arial" w:eastAsia="Arial" w:hAnsi="Arial"/>
                <w:sz w:val="10"/>
                <w:szCs w:val="10"/>
                <w:b w:val="1"/>
                <w:bCs w:val="1"/>
                <w:color w:val="009BDE"/>
              </w:rPr>
              <w:t>Achievement</w:t>
            </w:r>
          </w:p>
        </w:tc>
        <w:tc>
          <w:tcPr>
            <w:tcW w:w="220" w:type="dxa"/>
            <w:vAlign w:val="bottom"/>
            <w:shd w:val="clear" w:color="auto" w:fill="CCEBF8"/>
          </w:tcPr>
          <w:p>
            <w:pPr>
              <w:spacing w:after="0"/>
              <w:rPr>
                <w:sz w:val="10"/>
                <w:szCs w:val="10"/>
                <w:color w:val="auto"/>
              </w:rPr>
            </w:pPr>
          </w:p>
        </w:tc>
        <w:tc>
          <w:tcPr>
            <w:tcW w:w="500" w:type="dxa"/>
            <w:vAlign w:val="bottom"/>
            <w:shd w:val="clear" w:color="auto" w:fill="CCEBF8"/>
          </w:tcPr>
          <w:p>
            <w:pPr>
              <w:ind w:left="120"/>
              <w:spacing w:after="0"/>
              <w:rPr>
                <w:sz w:val="20"/>
                <w:szCs w:val="20"/>
                <w:color w:val="auto"/>
              </w:rPr>
            </w:pPr>
            <w:r>
              <w:rPr>
                <w:rFonts w:ascii="Arial" w:cs="Arial" w:eastAsia="Arial" w:hAnsi="Arial"/>
                <w:sz w:val="10"/>
                <w:szCs w:val="10"/>
                <w:b w:val="1"/>
                <w:bCs w:val="1"/>
                <w:color w:val="009BDE"/>
              </w:rPr>
              <w:t>Target</w:t>
            </w:r>
          </w:p>
        </w:tc>
        <w:tc>
          <w:tcPr>
            <w:tcW w:w="460" w:type="dxa"/>
            <w:vAlign w:val="bottom"/>
            <w:shd w:val="clear" w:color="auto" w:fill="CCEBF8"/>
          </w:tcPr>
          <w:p>
            <w:pPr>
              <w:jc w:val="right"/>
              <w:spacing w:after="0"/>
              <w:rPr>
                <w:sz w:val="20"/>
                <w:szCs w:val="20"/>
                <w:color w:val="auto"/>
              </w:rPr>
            </w:pPr>
            <w:r>
              <w:rPr>
                <w:rFonts w:ascii="Arial" w:cs="Arial" w:eastAsia="Arial" w:hAnsi="Arial"/>
                <w:sz w:val="10"/>
                <w:szCs w:val="10"/>
                <w:b w:val="1"/>
                <w:bCs w:val="1"/>
                <w:color w:val="009BDE"/>
              </w:rPr>
              <w:t>Results</w:t>
            </w:r>
          </w:p>
        </w:tc>
        <w:tc>
          <w:tcPr>
            <w:tcW w:w="680" w:type="dxa"/>
            <w:vAlign w:val="bottom"/>
            <w:shd w:val="clear" w:color="auto" w:fill="CCEBF8"/>
          </w:tcPr>
          <w:p>
            <w:pPr>
              <w:jc w:val="right"/>
              <w:spacing w:after="0"/>
              <w:rPr>
                <w:sz w:val="20"/>
                <w:szCs w:val="20"/>
                <w:color w:val="auto"/>
              </w:rPr>
            </w:pPr>
            <w:r>
              <w:rPr>
                <w:rFonts w:ascii="Arial" w:cs="Arial" w:eastAsia="Arial" w:hAnsi="Arial"/>
                <w:sz w:val="10"/>
                <w:szCs w:val="10"/>
                <w:b w:val="1"/>
                <w:bCs w:val="1"/>
                <w:color w:val="009BDE"/>
              </w:rPr>
              <w:t>Achievement</w:t>
            </w:r>
          </w:p>
        </w:tc>
        <w:tc>
          <w:tcPr>
            <w:tcW w:w="220" w:type="dxa"/>
            <w:vAlign w:val="bottom"/>
            <w:shd w:val="clear" w:color="auto" w:fill="CCEBF8"/>
          </w:tcPr>
          <w:p>
            <w:pPr>
              <w:spacing w:after="0"/>
              <w:rPr>
                <w:sz w:val="10"/>
                <w:szCs w:val="10"/>
                <w:color w:val="auto"/>
              </w:rPr>
            </w:pPr>
          </w:p>
        </w:tc>
        <w:tc>
          <w:tcPr>
            <w:tcW w:w="500" w:type="dxa"/>
            <w:vAlign w:val="bottom"/>
            <w:shd w:val="clear" w:color="auto" w:fill="CCEBF8"/>
          </w:tcPr>
          <w:p>
            <w:pPr>
              <w:jc w:val="center"/>
              <w:spacing w:after="0"/>
              <w:rPr>
                <w:sz w:val="20"/>
                <w:szCs w:val="20"/>
                <w:color w:val="auto"/>
              </w:rPr>
            </w:pPr>
            <w:r>
              <w:rPr>
                <w:rFonts w:ascii="Arial" w:cs="Arial" w:eastAsia="Arial" w:hAnsi="Arial"/>
                <w:sz w:val="10"/>
                <w:szCs w:val="10"/>
                <w:b w:val="1"/>
                <w:bCs w:val="1"/>
                <w:color w:val="009BDE"/>
                <w:w w:val="98"/>
              </w:rPr>
              <w:t>Target</w:t>
            </w:r>
          </w:p>
        </w:tc>
        <w:tc>
          <w:tcPr>
            <w:tcW w:w="480" w:type="dxa"/>
            <w:vAlign w:val="bottom"/>
            <w:shd w:val="clear" w:color="auto" w:fill="CCEBF8"/>
          </w:tcPr>
          <w:p>
            <w:pPr>
              <w:jc w:val="right"/>
              <w:ind w:right="8"/>
              <w:spacing w:after="0"/>
              <w:rPr>
                <w:sz w:val="20"/>
                <w:szCs w:val="20"/>
                <w:color w:val="auto"/>
              </w:rPr>
            </w:pPr>
            <w:r>
              <w:rPr>
                <w:rFonts w:ascii="Arial" w:cs="Arial" w:eastAsia="Arial" w:hAnsi="Arial"/>
                <w:sz w:val="10"/>
                <w:szCs w:val="10"/>
                <w:b w:val="1"/>
                <w:bCs w:val="1"/>
                <w:color w:val="009BDE"/>
              </w:rPr>
              <w:t>Results</w:t>
            </w:r>
          </w:p>
        </w:tc>
        <w:tc>
          <w:tcPr>
            <w:tcW w:w="680" w:type="dxa"/>
            <w:vAlign w:val="bottom"/>
            <w:shd w:val="clear" w:color="auto" w:fill="CCEBF8"/>
          </w:tcPr>
          <w:p>
            <w:pPr>
              <w:jc w:val="right"/>
              <w:spacing w:after="0"/>
              <w:rPr>
                <w:sz w:val="20"/>
                <w:szCs w:val="20"/>
                <w:color w:val="auto"/>
              </w:rPr>
            </w:pPr>
            <w:r>
              <w:rPr>
                <w:rFonts w:ascii="Arial" w:cs="Arial" w:eastAsia="Arial" w:hAnsi="Arial"/>
                <w:sz w:val="10"/>
                <w:szCs w:val="10"/>
                <w:b w:val="1"/>
                <w:bCs w:val="1"/>
                <w:color w:val="009BDE"/>
              </w:rPr>
              <w:t>Achievement</w:t>
            </w:r>
          </w:p>
        </w:tc>
        <w:tc>
          <w:tcPr>
            <w:tcW w:w="640" w:type="dxa"/>
            <w:vAlign w:val="bottom"/>
            <w:shd w:val="clear" w:color="auto" w:fill="CCEBF8"/>
          </w:tcPr>
          <w:p>
            <w:pPr>
              <w:jc w:val="center"/>
              <w:ind w:left="29"/>
              <w:spacing w:after="0"/>
              <w:rPr>
                <w:sz w:val="20"/>
                <w:szCs w:val="20"/>
                <w:color w:val="auto"/>
              </w:rPr>
            </w:pPr>
            <w:r>
              <w:rPr>
                <w:rFonts w:ascii="Arial" w:cs="Arial" w:eastAsia="Arial" w:hAnsi="Arial"/>
                <w:sz w:val="10"/>
                <w:szCs w:val="10"/>
                <w:b w:val="1"/>
                <w:bCs w:val="1"/>
                <w:color w:val="009BDE"/>
              </w:rPr>
              <w:t>Percentage</w:t>
            </w:r>
          </w:p>
        </w:tc>
      </w:tr>
      <w:tr>
        <w:trPr>
          <w:trHeight w:val="73"/>
        </w:trPr>
        <w:tc>
          <w:tcPr>
            <w:tcW w:w="1200" w:type="dxa"/>
            <w:vAlign w:val="bottom"/>
            <w:tcBorders>
              <w:bottom w:val="single" w:sz="8" w:color="009BDE"/>
            </w:tcBorders>
            <w:shd w:val="clear" w:color="auto" w:fill="CCEBF8"/>
          </w:tcPr>
          <w:p>
            <w:pPr>
              <w:spacing w:after="0"/>
              <w:rPr>
                <w:sz w:val="6"/>
                <w:szCs w:val="6"/>
                <w:color w:val="auto"/>
              </w:rPr>
            </w:pPr>
          </w:p>
        </w:tc>
        <w:tc>
          <w:tcPr>
            <w:tcW w:w="560" w:type="dxa"/>
            <w:vAlign w:val="bottom"/>
            <w:tcBorders>
              <w:bottom w:val="single" w:sz="8" w:color="009BDE"/>
            </w:tcBorders>
            <w:shd w:val="clear" w:color="auto" w:fill="CCEBF8"/>
          </w:tcPr>
          <w:p>
            <w:pPr>
              <w:spacing w:after="0"/>
              <w:rPr>
                <w:sz w:val="6"/>
                <w:szCs w:val="6"/>
                <w:color w:val="auto"/>
              </w:rPr>
            </w:pPr>
          </w:p>
        </w:tc>
        <w:tc>
          <w:tcPr>
            <w:tcW w:w="520" w:type="dxa"/>
            <w:vAlign w:val="bottom"/>
            <w:tcBorders>
              <w:bottom w:val="single" w:sz="8" w:color="009BDE"/>
            </w:tcBorders>
            <w:shd w:val="clear" w:color="auto" w:fill="CCEBF8"/>
          </w:tcPr>
          <w:p>
            <w:pPr>
              <w:spacing w:after="0"/>
              <w:rPr>
                <w:sz w:val="6"/>
                <w:szCs w:val="6"/>
                <w:color w:val="auto"/>
              </w:rPr>
            </w:pPr>
          </w:p>
        </w:tc>
        <w:tc>
          <w:tcPr>
            <w:tcW w:w="680" w:type="dxa"/>
            <w:vAlign w:val="bottom"/>
            <w:tcBorders>
              <w:bottom w:val="single" w:sz="8" w:color="009BDE"/>
            </w:tcBorders>
            <w:shd w:val="clear" w:color="auto" w:fill="CCEBF8"/>
          </w:tcPr>
          <w:p>
            <w:pPr>
              <w:spacing w:after="0"/>
              <w:rPr>
                <w:sz w:val="6"/>
                <w:szCs w:val="6"/>
                <w:color w:val="auto"/>
              </w:rPr>
            </w:pPr>
          </w:p>
        </w:tc>
        <w:tc>
          <w:tcPr>
            <w:tcW w:w="220" w:type="dxa"/>
            <w:vAlign w:val="bottom"/>
            <w:tcBorders>
              <w:bottom w:val="single" w:sz="8" w:color="009BDE"/>
            </w:tcBorders>
            <w:shd w:val="clear" w:color="auto" w:fill="CCEBF8"/>
          </w:tcPr>
          <w:p>
            <w:pPr>
              <w:spacing w:after="0"/>
              <w:rPr>
                <w:sz w:val="6"/>
                <w:szCs w:val="6"/>
                <w:color w:val="auto"/>
              </w:rPr>
            </w:pPr>
          </w:p>
        </w:tc>
        <w:tc>
          <w:tcPr>
            <w:tcW w:w="500" w:type="dxa"/>
            <w:vAlign w:val="bottom"/>
            <w:tcBorders>
              <w:bottom w:val="single" w:sz="8" w:color="009BDE"/>
            </w:tcBorders>
            <w:shd w:val="clear" w:color="auto" w:fill="CCEBF8"/>
          </w:tcPr>
          <w:p>
            <w:pPr>
              <w:spacing w:after="0"/>
              <w:rPr>
                <w:sz w:val="6"/>
                <w:szCs w:val="6"/>
                <w:color w:val="auto"/>
              </w:rPr>
            </w:pPr>
          </w:p>
        </w:tc>
        <w:tc>
          <w:tcPr>
            <w:tcW w:w="460" w:type="dxa"/>
            <w:vAlign w:val="bottom"/>
            <w:tcBorders>
              <w:bottom w:val="single" w:sz="8" w:color="009BDE"/>
            </w:tcBorders>
            <w:shd w:val="clear" w:color="auto" w:fill="CCEBF8"/>
          </w:tcPr>
          <w:p>
            <w:pPr>
              <w:spacing w:after="0"/>
              <w:rPr>
                <w:sz w:val="6"/>
                <w:szCs w:val="6"/>
                <w:color w:val="auto"/>
              </w:rPr>
            </w:pPr>
          </w:p>
        </w:tc>
        <w:tc>
          <w:tcPr>
            <w:tcW w:w="680" w:type="dxa"/>
            <w:vAlign w:val="bottom"/>
            <w:tcBorders>
              <w:bottom w:val="single" w:sz="8" w:color="009BDE"/>
            </w:tcBorders>
            <w:shd w:val="clear" w:color="auto" w:fill="CCEBF8"/>
          </w:tcPr>
          <w:p>
            <w:pPr>
              <w:spacing w:after="0"/>
              <w:rPr>
                <w:sz w:val="6"/>
                <w:szCs w:val="6"/>
                <w:color w:val="auto"/>
              </w:rPr>
            </w:pPr>
          </w:p>
        </w:tc>
        <w:tc>
          <w:tcPr>
            <w:tcW w:w="220" w:type="dxa"/>
            <w:vAlign w:val="bottom"/>
            <w:tcBorders>
              <w:bottom w:val="single" w:sz="8" w:color="009BDE"/>
            </w:tcBorders>
            <w:shd w:val="clear" w:color="auto" w:fill="CCEBF8"/>
          </w:tcPr>
          <w:p>
            <w:pPr>
              <w:spacing w:after="0"/>
              <w:rPr>
                <w:sz w:val="6"/>
                <w:szCs w:val="6"/>
                <w:color w:val="auto"/>
              </w:rPr>
            </w:pPr>
          </w:p>
        </w:tc>
        <w:tc>
          <w:tcPr>
            <w:tcW w:w="500" w:type="dxa"/>
            <w:vAlign w:val="bottom"/>
            <w:tcBorders>
              <w:bottom w:val="single" w:sz="8" w:color="009BDE"/>
            </w:tcBorders>
            <w:shd w:val="clear" w:color="auto" w:fill="CCEBF8"/>
          </w:tcPr>
          <w:p>
            <w:pPr>
              <w:spacing w:after="0"/>
              <w:rPr>
                <w:sz w:val="6"/>
                <w:szCs w:val="6"/>
                <w:color w:val="auto"/>
              </w:rPr>
            </w:pPr>
          </w:p>
        </w:tc>
        <w:tc>
          <w:tcPr>
            <w:tcW w:w="480" w:type="dxa"/>
            <w:vAlign w:val="bottom"/>
            <w:tcBorders>
              <w:bottom w:val="single" w:sz="8" w:color="009BDE"/>
            </w:tcBorders>
            <w:shd w:val="clear" w:color="auto" w:fill="CCEBF8"/>
          </w:tcPr>
          <w:p>
            <w:pPr>
              <w:spacing w:after="0"/>
              <w:rPr>
                <w:sz w:val="6"/>
                <w:szCs w:val="6"/>
                <w:color w:val="auto"/>
              </w:rPr>
            </w:pPr>
          </w:p>
        </w:tc>
        <w:tc>
          <w:tcPr>
            <w:tcW w:w="680" w:type="dxa"/>
            <w:vAlign w:val="bottom"/>
            <w:tcBorders>
              <w:bottom w:val="single" w:sz="8" w:color="009BDE"/>
            </w:tcBorders>
            <w:shd w:val="clear" w:color="auto" w:fill="CCEBF8"/>
          </w:tcPr>
          <w:p>
            <w:pPr>
              <w:spacing w:after="0"/>
              <w:rPr>
                <w:sz w:val="6"/>
                <w:szCs w:val="6"/>
                <w:color w:val="auto"/>
              </w:rPr>
            </w:pPr>
          </w:p>
        </w:tc>
        <w:tc>
          <w:tcPr>
            <w:tcW w:w="640" w:type="dxa"/>
            <w:vAlign w:val="bottom"/>
            <w:tcBorders>
              <w:bottom w:val="single" w:sz="8" w:color="009BDE"/>
            </w:tcBorders>
            <w:shd w:val="clear" w:color="auto" w:fill="CCEBF8"/>
          </w:tcPr>
          <w:p>
            <w:pPr>
              <w:spacing w:after="0"/>
              <w:rPr>
                <w:sz w:val="6"/>
                <w:szCs w:val="6"/>
                <w:color w:val="auto"/>
              </w:rPr>
            </w:pPr>
          </w:p>
        </w:tc>
      </w:tr>
      <w:tr>
        <w:trPr>
          <w:trHeight w:val="179"/>
        </w:trPr>
        <w:tc>
          <w:tcPr>
            <w:tcW w:w="1200" w:type="dxa"/>
            <w:vAlign w:val="bottom"/>
          </w:tcPr>
          <w:p>
            <w:pPr>
              <w:ind w:left="40"/>
              <w:spacing w:after="0"/>
              <w:rPr>
                <w:sz w:val="20"/>
                <w:szCs w:val="20"/>
                <w:color w:val="auto"/>
              </w:rPr>
            </w:pPr>
            <w:r>
              <w:rPr>
                <w:rFonts w:ascii="Arial" w:cs="Arial" w:eastAsia="Arial" w:hAnsi="Arial"/>
                <w:sz w:val="11"/>
                <w:szCs w:val="11"/>
                <w:color w:val="auto"/>
              </w:rPr>
              <w:t>FY20-FY22</w:t>
            </w: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39"/>
        </w:trPr>
        <w:tc>
          <w:tcPr>
            <w:tcW w:w="1200" w:type="dxa"/>
            <w:vAlign w:val="bottom"/>
          </w:tcPr>
          <w:p>
            <w:pPr>
              <w:ind w:left="40"/>
              <w:spacing w:after="0"/>
              <w:rPr>
                <w:sz w:val="20"/>
                <w:szCs w:val="20"/>
                <w:color w:val="auto"/>
              </w:rPr>
            </w:pPr>
            <w:r>
              <w:rPr>
                <w:rFonts w:ascii="Arial" w:cs="Arial" w:eastAsia="Arial" w:hAnsi="Arial"/>
                <w:sz w:val="11"/>
                <w:szCs w:val="11"/>
                <w:color w:val="auto"/>
              </w:rPr>
              <w:t>Two-Metric</w:t>
            </w:r>
          </w:p>
        </w:tc>
        <w:tc>
          <w:tcPr>
            <w:tcW w:w="560" w:type="dxa"/>
            <w:vAlign w:val="bottom"/>
          </w:tcPr>
          <w:p>
            <w:pPr>
              <w:jc w:val="right"/>
              <w:spacing w:after="0"/>
              <w:rPr>
                <w:sz w:val="20"/>
                <w:szCs w:val="20"/>
                <w:color w:val="auto"/>
              </w:rPr>
            </w:pPr>
            <w:r>
              <w:rPr>
                <w:rFonts w:ascii="Arial" w:cs="Arial" w:eastAsia="Arial" w:hAnsi="Arial"/>
                <w:sz w:val="11"/>
                <w:szCs w:val="11"/>
                <w:color w:val="auto"/>
              </w:rPr>
              <w:t>$20,020</w:t>
            </w:r>
          </w:p>
        </w:tc>
        <w:tc>
          <w:tcPr>
            <w:tcW w:w="520" w:type="dxa"/>
            <w:vAlign w:val="bottom"/>
          </w:tcPr>
          <w:p>
            <w:pPr>
              <w:ind w:left="80"/>
              <w:spacing w:after="0"/>
              <w:rPr>
                <w:sz w:val="20"/>
                <w:szCs w:val="20"/>
                <w:color w:val="auto"/>
              </w:rPr>
            </w:pPr>
            <w:r>
              <w:rPr>
                <w:rFonts w:ascii="Arial" w:cs="Arial" w:eastAsia="Arial" w:hAnsi="Arial"/>
                <w:sz w:val="11"/>
                <w:szCs w:val="11"/>
                <w:color w:val="auto"/>
              </w:rPr>
              <w:t>$17,775</w:t>
            </w: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88.8%</w:t>
            </w:r>
          </w:p>
        </w:tc>
        <w:tc>
          <w:tcPr>
            <w:tcW w:w="220" w:type="dxa"/>
            <w:vAlign w:val="bottom"/>
          </w:tcPr>
          <w:p>
            <w:pPr>
              <w:spacing w:after="0"/>
              <w:rPr>
                <w:sz w:val="12"/>
                <w:szCs w:val="12"/>
                <w:color w:val="auto"/>
              </w:rPr>
            </w:pPr>
          </w:p>
        </w:tc>
        <w:tc>
          <w:tcPr>
            <w:tcW w:w="500" w:type="dxa"/>
            <w:vAlign w:val="bottom"/>
          </w:tcPr>
          <w:p>
            <w:pPr>
              <w:ind w:left="120"/>
              <w:spacing w:after="0"/>
              <w:rPr>
                <w:sz w:val="20"/>
                <w:szCs w:val="20"/>
                <w:color w:val="auto"/>
              </w:rPr>
            </w:pPr>
            <w:r>
              <w:rPr>
                <w:rFonts w:ascii="Arial" w:cs="Arial" w:eastAsia="Arial" w:hAnsi="Arial"/>
                <w:sz w:val="11"/>
                <w:szCs w:val="11"/>
                <w:color w:val="auto"/>
                <w:w w:val="97"/>
              </w:rPr>
              <w:t>$ 14.12</w:t>
            </w:r>
          </w:p>
        </w:tc>
        <w:tc>
          <w:tcPr>
            <w:tcW w:w="460" w:type="dxa"/>
            <w:vAlign w:val="bottom"/>
          </w:tcPr>
          <w:p>
            <w:pPr>
              <w:jc w:val="right"/>
              <w:spacing w:after="0"/>
              <w:rPr>
                <w:sz w:val="20"/>
                <w:szCs w:val="20"/>
                <w:color w:val="auto"/>
              </w:rPr>
            </w:pPr>
            <w:r>
              <w:rPr>
                <w:rFonts w:ascii="Arial" w:cs="Arial" w:eastAsia="Arial" w:hAnsi="Arial"/>
                <w:sz w:val="11"/>
                <w:szCs w:val="11"/>
                <w:color w:val="auto"/>
              </w:rPr>
              <w:t>$ 13.48</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95.5%</w:t>
            </w:r>
          </w:p>
        </w:tc>
        <w:tc>
          <w:tcPr>
            <w:tcW w:w="220" w:type="dxa"/>
            <w:vAlign w:val="bottom"/>
          </w:tcPr>
          <w:p>
            <w:pPr>
              <w:spacing w:after="0"/>
              <w:rPr>
                <w:sz w:val="12"/>
                <w:szCs w:val="12"/>
                <w:color w:val="auto"/>
              </w:rPr>
            </w:pPr>
          </w:p>
        </w:tc>
        <w:tc>
          <w:tcPr>
            <w:tcW w:w="500" w:type="dxa"/>
            <w:vAlign w:val="bottom"/>
          </w:tcPr>
          <w:p>
            <w:pPr>
              <w:jc w:val="center"/>
              <w:ind w:left="27"/>
              <w:spacing w:after="0"/>
              <w:rPr>
                <w:sz w:val="20"/>
                <w:szCs w:val="20"/>
                <w:color w:val="auto"/>
              </w:rPr>
            </w:pPr>
            <w:r>
              <w:rPr>
                <w:rFonts w:ascii="Arial" w:cs="Arial" w:eastAsia="Arial" w:hAnsi="Arial"/>
                <w:sz w:val="11"/>
                <w:szCs w:val="11"/>
                <w:color w:val="auto"/>
                <w:w w:val="97"/>
              </w:rPr>
              <w:t>N/A</w:t>
            </w:r>
          </w:p>
        </w:tc>
        <w:tc>
          <w:tcPr>
            <w:tcW w:w="480" w:type="dxa"/>
            <w:vAlign w:val="bottom"/>
          </w:tcPr>
          <w:p>
            <w:pPr>
              <w:jc w:val="right"/>
              <w:ind w:right="88"/>
              <w:spacing w:after="0"/>
              <w:rPr>
                <w:sz w:val="20"/>
                <w:szCs w:val="20"/>
                <w:color w:val="auto"/>
              </w:rPr>
            </w:pPr>
            <w:r>
              <w:rPr>
                <w:rFonts w:ascii="Arial" w:cs="Arial" w:eastAsia="Arial" w:hAnsi="Arial"/>
                <w:sz w:val="11"/>
                <w:szCs w:val="11"/>
                <w:color w:val="auto"/>
              </w:rPr>
              <w:t>N/A</w:t>
            </w:r>
          </w:p>
        </w:tc>
        <w:tc>
          <w:tcPr>
            <w:tcW w:w="680" w:type="dxa"/>
            <w:vAlign w:val="bottom"/>
          </w:tcPr>
          <w:p>
            <w:pPr>
              <w:jc w:val="right"/>
              <w:ind w:right="107"/>
              <w:spacing w:after="0"/>
              <w:rPr>
                <w:sz w:val="20"/>
                <w:szCs w:val="20"/>
                <w:color w:val="auto"/>
              </w:rPr>
            </w:pPr>
            <w:r>
              <w:rPr>
                <w:rFonts w:ascii="Arial" w:cs="Arial" w:eastAsia="Arial" w:hAnsi="Arial"/>
                <w:sz w:val="11"/>
                <w:szCs w:val="11"/>
                <w:color w:val="auto"/>
              </w:rPr>
              <w:t>N/A</w:t>
            </w:r>
          </w:p>
        </w:tc>
        <w:tc>
          <w:tcPr>
            <w:tcW w:w="640" w:type="dxa"/>
            <w:vAlign w:val="bottom"/>
          </w:tcPr>
          <w:p>
            <w:pPr>
              <w:jc w:val="right"/>
              <w:ind w:right="29"/>
              <w:spacing w:after="0"/>
              <w:rPr>
                <w:sz w:val="20"/>
                <w:szCs w:val="20"/>
                <w:color w:val="auto"/>
              </w:rPr>
            </w:pPr>
            <w:r>
              <w:rPr>
                <w:rFonts w:ascii="Arial" w:cs="Arial" w:eastAsia="Arial" w:hAnsi="Arial"/>
                <w:sz w:val="11"/>
                <w:szCs w:val="11"/>
                <w:color w:val="auto"/>
              </w:rPr>
              <w:t>45%</w:t>
            </w:r>
          </w:p>
        </w:tc>
      </w:tr>
      <w:tr>
        <w:trPr>
          <w:trHeight w:val="67"/>
        </w:trPr>
        <w:tc>
          <w:tcPr>
            <w:tcW w:w="1200" w:type="dxa"/>
            <w:vAlign w:val="bottom"/>
            <w:tcBorders>
              <w:bottom w:val="single" w:sz="8" w:color="009BDE"/>
            </w:tcBorders>
          </w:tcPr>
          <w:p>
            <w:pPr>
              <w:spacing w:after="0"/>
              <w:rPr>
                <w:sz w:val="5"/>
                <w:szCs w:val="5"/>
                <w:color w:val="auto"/>
              </w:rPr>
            </w:pPr>
          </w:p>
        </w:tc>
        <w:tc>
          <w:tcPr>
            <w:tcW w:w="56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22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22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r>
      <w:tr>
        <w:trPr>
          <w:trHeight w:val="179"/>
        </w:trPr>
        <w:tc>
          <w:tcPr>
            <w:tcW w:w="1200" w:type="dxa"/>
            <w:vAlign w:val="bottom"/>
          </w:tcPr>
          <w:p>
            <w:pPr>
              <w:ind w:left="40"/>
              <w:spacing w:after="0"/>
              <w:rPr>
                <w:sz w:val="20"/>
                <w:szCs w:val="20"/>
                <w:color w:val="auto"/>
              </w:rPr>
            </w:pPr>
            <w:r>
              <w:rPr>
                <w:rFonts w:ascii="Arial" w:cs="Arial" w:eastAsia="Arial" w:hAnsi="Arial"/>
                <w:sz w:val="11"/>
                <w:szCs w:val="11"/>
                <w:color w:val="auto"/>
              </w:rPr>
              <w:t>FY20-FY22</w:t>
            </w: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39"/>
        </w:trPr>
        <w:tc>
          <w:tcPr>
            <w:tcW w:w="1200" w:type="dxa"/>
            <w:vAlign w:val="bottom"/>
          </w:tcPr>
          <w:p>
            <w:pPr>
              <w:ind w:left="40"/>
              <w:spacing w:after="0"/>
              <w:rPr>
                <w:sz w:val="20"/>
                <w:szCs w:val="20"/>
                <w:color w:val="auto"/>
              </w:rPr>
            </w:pPr>
            <w:r>
              <w:rPr>
                <w:rFonts w:ascii="Arial" w:cs="Arial" w:eastAsia="Arial" w:hAnsi="Arial"/>
                <w:sz w:val="11"/>
                <w:szCs w:val="11"/>
                <w:color w:val="auto"/>
              </w:rPr>
              <w:t>Three-Metric</w:t>
            </w:r>
          </w:p>
        </w:tc>
        <w:tc>
          <w:tcPr>
            <w:tcW w:w="560" w:type="dxa"/>
            <w:vAlign w:val="bottom"/>
          </w:tcPr>
          <w:p>
            <w:pPr>
              <w:jc w:val="right"/>
              <w:spacing w:after="0"/>
              <w:rPr>
                <w:sz w:val="20"/>
                <w:szCs w:val="20"/>
                <w:color w:val="auto"/>
              </w:rPr>
            </w:pPr>
            <w:r>
              <w:rPr>
                <w:rFonts w:ascii="Arial" w:cs="Arial" w:eastAsia="Arial" w:hAnsi="Arial"/>
                <w:sz w:val="11"/>
                <w:szCs w:val="11"/>
                <w:color w:val="auto"/>
              </w:rPr>
              <w:t>$20,020</w:t>
            </w:r>
          </w:p>
        </w:tc>
        <w:tc>
          <w:tcPr>
            <w:tcW w:w="520" w:type="dxa"/>
            <w:vAlign w:val="bottom"/>
          </w:tcPr>
          <w:p>
            <w:pPr>
              <w:ind w:left="80"/>
              <w:spacing w:after="0"/>
              <w:rPr>
                <w:sz w:val="20"/>
                <w:szCs w:val="20"/>
                <w:color w:val="auto"/>
              </w:rPr>
            </w:pPr>
            <w:r>
              <w:rPr>
                <w:rFonts w:ascii="Arial" w:cs="Arial" w:eastAsia="Arial" w:hAnsi="Arial"/>
                <w:sz w:val="11"/>
                <w:szCs w:val="11"/>
                <w:color w:val="auto"/>
              </w:rPr>
              <w:t>$17,775</w:t>
            </w: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88.8%</w:t>
            </w:r>
          </w:p>
        </w:tc>
        <w:tc>
          <w:tcPr>
            <w:tcW w:w="220" w:type="dxa"/>
            <w:vAlign w:val="bottom"/>
          </w:tcPr>
          <w:p>
            <w:pPr>
              <w:spacing w:after="0"/>
              <w:rPr>
                <w:sz w:val="12"/>
                <w:szCs w:val="12"/>
                <w:color w:val="auto"/>
              </w:rPr>
            </w:pPr>
          </w:p>
        </w:tc>
        <w:tc>
          <w:tcPr>
            <w:tcW w:w="500" w:type="dxa"/>
            <w:vAlign w:val="bottom"/>
          </w:tcPr>
          <w:p>
            <w:pPr>
              <w:ind w:left="120"/>
              <w:spacing w:after="0"/>
              <w:rPr>
                <w:sz w:val="20"/>
                <w:szCs w:val="20"/>
                <w:color w:val="auto"/>
              </w:rPr>
            </w:pPr>
            <w:r>
              <w:rPr>
                <w:rFonts w:ascii="Arial" w:cs="Arial" w:eastAsia="Arial" w:hAnsi="Arial"/>
                <w:sz w:val="11"/>
                <w:szCs w:val="11"/>
                <w:color w:val="auto"/>
                <w:w w:val="97"/>
              </w:rPr>
              <w:t>$ 14.12</w:t>
            </w:r>
          </w:p>
        </w:tc>
        <w:tc>
          <w:tcPr>
            <w:tcW w:w="460" w:type="dxa"/>
            <w:vAlign w:val="bottom"/>
          </w:tcPr>
          <w:p>
            <w:pPr>
              <w:jc w:val="right"/>
              <w:spacing w:after="0"/>
              <w:rPr>
                <w:sz w:val="20"/>
                <w:szCs w:val="20"/>
                <w:color w:val="auto"/>
              </w:rPr>
            </w:pPr>
            <w:r>
              <w:rPr>
                <w:rFonts w:ascii="Arial" w:cs="Arial" w:eastAsia="Arial" w:hAnsi="Arial"/>
                <w:sz w:val="11"/>
                <w:szCs w:val="11"/>
                <w:color w:val="auto"/>
              </w:rPr>
              <w:t>$ 13.48</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95.5%</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7.90%</w:t>
            </w:r>
          </w:p>
        </w:tc>
        <w:tc>
          <w:tcPr>
            <w:tcW w:w="480" w:type="dxa"/>
            <w:vAlign w:val="bottom"/>
          </w:tcPr>
          <w:p>
            <w:pPr>
              <w:jc w:val="right"/>
              <w:spacing w:after="0"/>
              <w:rPr>
                <w:sz w:val="20"/>
                <w:szCs w:val="20"/>
                <w:color w:val="auto"/>
              </w:rPr>
            </w:pPr>
            <w:r>
              <w:rPr>
                <w:rFonts w:ascii="Arial" w:cs="Arial" w:eastAsia="Arial" w:hAnsi="Arial"/>
                <w:sz w:val="11"/>
                <w:szCs w:val="11"/>
                <w:color w:val="auto"/>
              </w:rPr>
              <w:t>7.83%</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99.1%</w:t>
            </w:r>
          </w:p>
        </w:tc>
        <w:tc>
          <w:tcPr>
            <w:tcW w:w="640" w:type="dxa"/>
            <w:vAlign w:val="bottom"/>
          </w:tcPr>
          <w:p>
            <w:pPr>
              <w:jc w:val="right"/>
              <w:ind w:right="29"/>
              <w:spacing w:after="0"/>
              <w:rPr>
                <w:sz w:val="20"/>
                <w:szCs w:val="20"/>
                <w:color w:val="auto"/>
              </w:rPr>
            </w:pPr>
            <w:r>
              <w:rPr>
                <w:rFonts w:ascii="Arial" w:cs="Arial" w:eastAsia="Arial" w:hAnsi="Arial"/>
                <w:sz w:val="11"/>
                <w:szCs w:val="11"/>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42545</wp:posOffset>
            </wp:positionV>
            <wp:extent cx="4663440" cy="571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40" w:lineRule="exact"/>
        <w:rPr>
          <w:sz w:val="20"/>
          <w:szCs w:val="20"/>
          <w:color w:val="auto"/>
        </w:rPr>
      </w:pPr>
    </w:p>
    <w:p>
      <w:pPr>
        <w:ind w:left="2260" w:right="939" w:hanging="288"/>
        <w:spacing w:after="0" w:line="232" w:lineRule="auto"/>
        <w:tabs>
          <w:tab w:leader="none" w:pos="2260" w:val="left"/>
        </w:tabs>
        <w:numPr>
          <w:ilvl w:val="0"/>
          <w:numId w:val="45"/>
        </w:numPr>
        <w:rPr>
          <w:rFonts w:ascii="Arial" w:cs="Arial" w:eastAsia="Arial" w:hAnsi="Arial"/>
          <w:sz w:val="10"/>
          <w:szCs w:val="10"/>
          <w:color w:val="auto"/>
        </w:rPr>
      </w:pPr>
      <w:r>
        <w:rPr>
          <w:rFonts w:ascii="Arial" w:cs="Arial" w:eastAsia="Arial" w:hAnsi="Arial"/>
          <w:sz w:val="10"/>
          <w:szCs w:val="10"/>
          <w:color w:val="auto"/>
        </w:rPr>
        <w:t>Net Revenue numbers are in millions. Performance for Net Revenue and cumulative Diluted EPS is calculated based on exchange rates in effect at the beginning of the relevant performance period. ROIC target and results included eOne’s results for the fiscal 2020 grants.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3"/>
          <w:szCs w:val="13"/>
          <w:i w:val="1"/>
          <w:iCs w:val="1"/>
          <w:color w:val="009BDE"/>
        </w:rPr>
        <w:t>Restricted Stock Units</w:t>
      </w:r>
    </w:p>
    <w:p>
      <w:pPr>
        <w:spacing w:after="0" w:line="84" w:lineRule="exact"/>
        <w:rPr>
          <w:sz w:val="20"/>
          <w:szCs w:val="20"/>
          <w:color w:val="auto"/>
        </w:rPr>
      </w:pPr>
    </w:p>
    <w:p>
      <w:pPr>
        <w:ind w:left="1980" w:right="899"/>
        <w:spacing w:after="0"/>
        <w:rPr>
          <w:sz w:val="20"/>
          <w:szCs w:val="20"/>
          <w:color w:val="auto"/>
        </w:rPr>
      </w:pPr>
      <w:r>
        <w:rPr>
          <w:rFonts w:ascii="Arial" w:cs="Arial" w:eastAsia="Arial" w:hAnsi="Arial"/>
          <w:sz w:val="11"/>
          <w:szCs w:val="11"/>
          <w:color w:val="auto"/>
        </w:rPr>
        <w:t>The Company uses restricted stock units as a reward and retention mechanism. The restricted stock units granted as part of our fiscal 2022 annual long-term incentive award to our NEOs, other than Mr. Stoddart, represented approximately 25% of their annual targeted equity award value and vest in three equal installments on the first three anniversaries of the grant date provided the recipient remains employed with the Company through the applicable vesting dates. Pro-rata vesting is provided earlier only in the event of the death, disability, early retirement at age 55 (with at least 10 years of credited service) or retirement at age 65 (with at least 5 years of credited service) of the executive. All other terminations of employment result in forfeiture of the awards.</w:t>
      </w:r>
    </w:p>
    <w:p>
      <w:pPr>
        <w:spacing w:after="0" w:line="195" w:lineRule="exact"/>
        <w:rPr>
          <w:sz w:val="20"/>
          <w:szCs w:val="20"/>
          <w:color w:val="auto"/>
        </w:rPr>
      </w:pPr>
    </w:p>
    <w:p>
      <w:pPr>
        <w:ind w:left="1980"/>
        <w:spacing w:after="0"/>
        <w:rPr>
          <w:sz w:val="20"/>
          <w:szCs w:val="20"/>
          <w:color w:val="auto"/>
        </w:rPr>
      </w:pPr>
      <w:r>
        <w:rPr>
          <w:rFonts w:ascii="Arial" w:cs="Arial" w:eastAsia="Arial" w:hAnsi="Arial"/>
          <w:sz w:val="13"/>
          <w:szCs w:val="13"/>
          <w:i w:val="1"/>
          <w:iCs w:val="1"/>
          <w:color w:val="009BDE"/>
        </w:rPr>
        <w:t>Stock Options</w:t>
      </w:r>
    </w:p>
    <w:p>
      <w:pPr>
        <w:spacing w:after="0" w:line="84" w:lineRule="exact"/>
        <w:rPr>
          <w:sz w:val="20"/>
          <w:szCs w:val="20"/>
          <w:color w:val="auto"/>
        </w:rPr>
      </w:pPr>
    </w:p>
    <w:p>
      <w:pPr>
        <w:ind w:left="1980" w:right="879"/>
        <w:spacing w:after="0" w:line="241" w:lineRule="auto"/>
        <w:rPr>
          <w:sz w:val="20"/>
          <w:szCs w:val="20"/>
          <w:color w:val="auto"/>
        </w:rPr>
      </w:pPr>
      <w:r>
        <w:rPr>
          <w:rFonts w:ascii="Arial" w:cs="Arial" w:eastAsia="Arial" w:hAnsi="Arial"/>
          <w:sz w:val="11"/>
          <w:szCs w:val="11"/>
          <w:color w:val="auto"/>
        </w:rPr>
        <w:t>Stock options granted as part of our fiscal 2022 annual long-term incentive award represented approximately 25% of the targeted equity award value for our NEOs, other than Mr. Stoddart, and vest in three equal installments on the first three anniversaries of the grant date, subject to the recipient’s continued employment with the Company through such vesting dates, and have seven-year terms. Options forward vest upon an executive officer retiring at age 65 or older with at least five years of credited service or upon an officer’s death or permanent disability.</w:t>
      </w:r>
    </w:p>
    <w:p>
      <w:pPr>
        <w:spacing w:after="0" w:line="95" w:lineRule="exact"/>
        <w:rPr>
          <w:sz w:val="20"/>
          <w:szCs w:val="20"/>
          <w:color w:val="auto"/>
        </w:rPr>
      </w:pPr>
    </w:p>
    <w:p>
      <w:pPr>
        <w:ind w:left="1980" w:right="959"/>
        <w:spacing w:after="0" w:line="242" w:lineRule="auto"/>
        <w:rPr>
          <w:sz w:val="20"/>
          <w:szCs w:val="20"/>
          <w:color w:val="auto"/>
        </w:rPr>
      </w:pPr>
      <w:r>
        <w:rPr>
          <w:rFonts w:ascii="Arial" w:cs="Arial" w:eastAsia="Arial" w:hAnsi="Arial"/>
          <w:sz w:val="11"/>
          <w:szCs w:val="11"/>
          <w:color w:val="auto"/>
        </w:rPr>
        <w:t>The Company does not manage the timing of equity grants to attempt to give participants the benefit of material non-public information. Annual option grants are made with effective dates in open trading windows following the Company’s release of its financial results. All option grants are made with an exercise price at or above the average of the high and low sales prices of the Company’s common stock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59055</wp:posOffset>
            </wp:positionV>
            <wp:extent cx="3971925" cy="21717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47</w:t>
      </w:r>
    </w:p>
    <w:p>
      <w:pPr>
        <w:sectPr>
          <w:pgSz w:w="11900" w:h="16838" w:orient="portrait"/>
          <w:cols w:equalWidth="0" w:num="1">
            <w:col w:w="10159"/>
          </w:cols>
          <w:pgMar w:left="300" w:top="372" w:right="1440" w:bottom="1440" w:gutter="0" w:footer="0" w:header="0"/>
        </w:sectPr>
      </w:pPr>
    </w:p>
    <w:bookmarkStart w:id="69" w:name="page70"/>
    <w:bookmarkEnd w:id="6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Fixed Compensation and Benefits</w:t>
      </w:r>
    </w:p>
    <w:p>
      <w:pPr>
        <w:spacing w:after="0" w:line="96" w:lineRule="exact"/>
        <w:rPr>
          <w:sz w:val="20"/>
          <w:szCs w:val="20"/>
          <w:color w:val="auto"/>
        </w:rPr>
      </w:pPr>
    </w:p>
    <w:p>
      <w:pPr>
        <w:ind w:left="1980"/>
        <w:spacing w:after="0"/>
        <w:rPr>
          <w:sz w:val="20"/>
          <w:szCs w:val="20"/>
          <w:color w:val="auto"/>
        </w:rPr>
      </w:pPr>
      <w:r>
        <w:rPr>
          <w:rFonts w:ascii="Arial" w:cs="Arial" w:eastAsia="Arial" w:hAnsi="Arial"/>
          <w:sz w:val="13"/>
          <w:szCs w:val="13"/>
          <w:i w:val="1"/>
          <w:iCs w:val="1"/>
          <w:color w:val="009BDE"/>
        </w:rPr>
        <w:t>Base Salary</w:t>
      </w:r>
    </w:p>
    <w:p>
      <w:pPr>
        <w:spacing w:after="0" w:line="111"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The Company’s philosophy is to review base salaries bi-annually or more often if circumstances warrant. Increases in executive base salaries will continue to be considered: (i) in the event of increases in responsibility, (ii) to maintain competitiveness with market compensation offered to executives with similar responsibilities, expertise and experience in other companies the Company considers to be comparable to and/or competitive with the Company and (iii) to recognize continued individual performance and contribution. Mr. Cocks, Ms. Williams and Mr. Nyman’s base salaries were reviewed and set in 2022 upon their appointment to their respective new positions. An increase was made to the base salary of Ms. Thomas in 2022 from $1,150,000 to $1,250,000 to remain competitive with companies in our peer group for similar positions.</w:t>
      </w:r>
    </w:p>
    <w:p>
      <w:pPr>
        <w:spacing w:after="0" w:line="195" w:lineRule="exact"/>
        <w:rPr>
          <w:sz w:val="20"/>
          <w:szCs w:val="20"/>
          <w:color w:val="auto"/>
        </w:rPr>
      </w:pPr>
    </w:p>
    <w:p>
      <w:pPr>
        <w:ind w:left="1980"/>
        <w:spacing w:after="0"/>
        <w:rPr>
          <w:sz w:val="20"/>
          <w:szCs w:val="20"/>
          <w:color w:val="auto"/>
        </w:rPr>
      </w:pPr>
      <w:r>
        <w:rPr>
          <w:rFonts w:ascii="Arial" w:cs="Arial" w:eastAsia="Arial" w:hAnsi="Arial"/>
          <w:sz w:val="13"/>
          <w:szCs w:val="13"/>
          <w:i w:val="1"/>
          <w:iCs w:val="1"/>
          <w:color w:val="009BDE"/>
        </w:rPr>
        <w:t>Benefits</w:t>
      </w:r>
    </w:p>
    <w:p>
      <w:pPr>
        <w:spacing w:after="0" w:line="84" w:lineRule="exact"/>
        <w:rPr>
          <w:sz w:val="20"/>
          <w:szCs w:val="20"/>
          <w:color w:val="auto"/>
        </w:rPr>
      </w:pPr>
    </w:p>
    <w:p>
      <w:pPr>
        <w:ind w:left="1980" w:right="1119"/>
        <w:spacing w:after="0" w:line="245" w:lineRule="auto"/>
        <w:rPr>
          <w:sz w:val="20"/>
          <w:szCs w:val="20"/>
          <w:color w:val="auto"/>
        </w:rPr>
      </w:pPr>
      <w:r>
        <w:rPr>
          <w:rFonts w:ascii="Arial" w:cs="Arial" w:eastAsia="Arial" w:hAnsi="Arial"/>
          <w:sz w:val="11"/>
          <w:szCs w:val="11"/>
          <w:color w:val="auto"/>
        </w:rPr>
        <w:t>The Company’s executive officers also participate in certain employee benefit programs provided by the Company that are offered to the Company’s other full-time employees.</w:t>
      </w:r>
    </w:p>
    <w:p>
      <w:pPr>
        <w:spacing w:after="0" w:line="84" w:lineRule="exact"/>
        <w:rPr>
          <w:sz w:val="20"/>
          <w:szCs w:val="20"/>
          <w:color w:val="auto"/>
        </w:rPr>
      </w:pPr>
    </w:p>
    <w:p>
      <w:pPr>
        <w:ind w:left="1980" w:right="919"/>
        <w:spacing w:after="0"/>
        <w:rPr>
          <w:sz w:val="20"/>
          <w:szCs w:val="20"/>
          <w:color w:val="auto"/>
        </w:rPr>
      </w:pPr>
      <w:r>
        <w:rPr>
          <w:rFonts w:ascii="Arial" w:cs="Arial" w:eastAsia="Arial" w:hAnsi="Arial"/>
          <w:sz w:val="11"/>
          <w:szCs w:val="11"/>
          <w:color w:val="auto"/>
        </w:rPr>
        <w:t>The executive officers of the Company are eligible for life insurance benefits on the terms applicable to the Company’s other employees. Pursuant to the terms of his employment agreement, Mr. Throop was entitled to the following additional Company-paid benefits: a life insurance policy with a death benefit equal to four times his base salary and an annual physical. The Company’s executive officers participate in the same medical and dental benefit plans as are provided to the Company’s other employees. Pursuant to the plan design for our medical plan provided to employees in our Wizards business, Mr. Cocks received an additional subsidy towards the applicable premium cost of his medical plan coverage that is equal to the employee premium for employee-only coverage prior to his appointment to CEO. This subsidy ended once Mr. Cocks was appointed to the Chief Executive Officer role.</w:t>
      </w:r>
    </w:p>
    <w:p>
      <w:pPr>
        <w:spacing w:after="0" w:line="195" w:lineRule="exact"/>
        <w:rPr>
          <w:sz w:val="20"/>
          <w:szCs w:val="20"/>
          <w:color w:val="auto"/>
        </w:rPr>
      </w:pPr>
    </w:p>
    <w:p>
      <w:pPr>
        <w:ind w:left="1980"/>
        <w:spacing w:after="0"/>
        <w:rPr>
          <w:sz w:val="20"/>
          <w:szCs w:val="20"/>
          <w:color w:val="auto"/>
        </w:rPr>
      </w:pPr>
      <w:r>
        <w:rPr>
          <w:rFonts w:ascii="Arial" w:cs="Arial" w:eastAsia="Arial" w:hAnsi="Arial"/>
          <w:sz w:val="13"/>
          <w:szCs w:val="13"/>
          <w:i w:val="1"/>
          <w:iCs w:val="1"/>
          <w:color w:val="009BDE"/>
        </w:rPr>
        <w:t>Company-Sponsored Retirement Plans</w:t>
      </w:r>
    </w:p>
    <w:p>
      <w:pPr>
        <w:spacing w:after="0" w:line="84" w:lineRule="exact"/>
        <w:rPr>
          <w:sz w:val="20"/>
          <w:szCs w:val="20"/>
          <w:color w:val="auto"/>
        </w:rPr>
      </w:pPr>
    </w:p>
    <w:p>
      <w:pPr>
        <w:ind w:left="1980" w:right="899"/>
        <w:spacing w:after="0" w:line="239" w:lineRule="auto"/>
        <w:rPr>
          <w:sz w:val="20"/>
          <w:szCs w:val="20"/>
          <w:color w:val="auto"/>
        </w:rPr>
      </w:pPr>
      <w:r>
        <w:rPr>
          <w:rFonts w:ascii="Arial" w:cs="Arial" w:eastAsia="Arial" w:hAnsi="Arial"/>
          <w:sz w:val="11"/>
          <w:szCs w:val="11"/>
          <w:color w:val="auto"/>
        </w:rPr>
        <w:t>The Company provides retirement benefits to employees of the Company’s U.S. operations primarily through the Hasbro, Inc. Retirement Savings Plan (the “401(k) Plan”) and the Supplemental Benefit Retirement Plan (the “Supplemental Plan”). The 401(k) Plan and Supplemental Plan provide for Company matching contributions and an annual Company contribution equal to 3% of aggregate salary and bonus. Executive officers are eligible to participate in the 401(k) Plan and Supplemental Plan on the same basis as all other U.S. Hasbro employees. The Supplemental Plan is intended to provide a competitive benefit for employees whose employer-provided retirement contributions would otherwise be limited. However, the Supplemental Plan is designed only to provide the benefit which the executive would have accrued under the Company’s 401(k) Plan if the Code limits had not applied. It does not further enhance those benefits. The amount of the Company’s contributions to our NEOs under both the 401(k) Plan and Supplemental Plan are included in the “All Other Compensation” column of the Summary Compensation Table that follows this report.</w:t>
      </w:r>
    </w:p>
    <w:p>
      <w:pPr>
        <w:spacing w:after="0" w:line="99" w:lineRule="exact"/>
        <w:rPr>
          <w:sz w:val="20"/>
          <w:szCs w:val="20"/>
          <w:color w:val="auto"/>
        </w:rPr>
      </w:pPr>
    </w:p>
    <w:p>
      <w:pPr>
        <w:ind w:left="1980" w:right="959"/>
        <w:spacing w:after="0" w:line="241" w:lineRule="auto"/>
        <w:rPr>
          <w:sz w:val="20"/>
          <w:szCs w:val="20"/>
          <w:color w:val="auto"/>
        </w:rPr>
      </w:pPr>
      <w:r>
        <w:rPr>
          <w:rFonts w:ascii="Arial" w:cs="Arial" w:eastAsia="Arial" w:hAnsi="Arial"/>
          <w:sz w:val="11"/>
          <w:szCs w:val="11"/>
          <w:color w:val="auto"/>
        </w:rPr>
        <w:t>Mr. Throop was not eligible to participate in the 401(k) Plan or Supplemental Plan, as he is not employed by the Company’s U.S. operations. Mr. Throop participated in a Registered Retirement Savings Plan (the “RRSP”), which he has retained individually and not in connection with any company-sponsored benefit plan. The Company contributed to the RRSP, on behalf of Mr. Throop, an amount equal to the maximum permitted by applicable law each year. Mr. Throop does not participate in any Company-sponsored retirement plan.</w:t>
      </w:r>
    </w:p>
    <w:p>
      <w:pPr>
        <w:spacing w:after="0" w:line="95" w:lineRule="exact"/>
        <w:rPr>
          <w:sz w:val="20"/>
          <w:szCs w:val="20"/>
          <w:color w:val="auto"/>
        </w:rPr>
      </w:pPr>
    </w:p>
    <w:p>
      <w:pPr>
        <w:jc w:val="both"/>
        <w:ind w:left="1980" w:right="859"/>
        <w:spacing w:after="0" w:line="241" w:lineRule="auto"/>
        <w:rPr>
          <w:sz w:val="20"/>
          <w:szCs w:val="20"/>
          <w:color w:val="auto"/>
        </w:rPr>
      </w:pPr>
      <w:r>
        <w:rPr>
          <w:rFonts w:ascii="Arial" w:cs="Arial" w:eastAsia="Arial" w:hAnsi="Arial"/>
          <w:sz w:val="11"/>
          <w:szCs w:val="11"/>
          <w:color w:val="auto"/>
        </w:rPr>
        <w:t>The Hasbro, Inc. Pension Plan (the “Pension Plan”), a defined benefit pension plan for eligible Company employees in the United States, and the pension portion of the Supplemental Plan, were frozen effective December 31, 2007. Executive officers hired prior to December 31, 2007, continued to participate in the Pension Plan and the pension portion of the Supplemental Plan, but did not accrue additional benefits thereunder subsequent to the plan freeze on December 31, 2007. The Pension Plan subsequently was annuitized and terminated.</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3"/>
          <w:szCs w:val="13"/>
          <w:i w:val="1"/>
          <w:iCs w:val="1"/>
          <w:color w:val="009BDE"/>
        </w:rPr>
        <w:t>Non-Qualified Deferred Compensation Plan</w:t>
      </w:r>
    </w:p>
    <w:p>
      <w:pPr>
        <w:spacing w:after="0" w:line="84" w:lineRule="exact"/>
        <w:rPr>
          <w:sz w:val="20"/>
          <w:szCs w:val="20"/>
          <w:color w:val="auto"/>
        </w:rPr>
      </w:pPr>
    </w:p>
    <w:p>
      <w:pPr>
        <w:ind w:left="1980" w:right="1179"/>
        <w:spacing w:after="0" w:line="242" w:lineRule="auto"/>
        <w:rPr>
          <w:sz w:val="20"/>
          <w:szCs w:val="20"/>
          <w:color w:val="auto"/>
        </w:rPr>
      </w:pPr>
      <w:r>
        <w:rPr>
          <w:rFonts w:ascii="Arial" w:cs="Arial" w:eastAsia="Arial" w:hAnsi="Arial"/>
          <w:sz w:val="11"/>
          <w:szCs w:val="11"/>
          <w:color w:val="auto"/>
        </w:rPr>
        <w:t>Executive officers who are employees of the Company’s U.S. operations are also eligible to participate in the Company’s Non-Qualified Deferred Compensation Plan (the “Deferred Compensation Plan”), which is available to all the Company’s employees based in the United States at or above selected management levels and whose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59055</wp:posOffset>
            </wp:positionV>
            <wp:extent cx="3971925" cy="21717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48</w:t>
      </w:r>
    </w:p>
    <w:p>
      <w:pPr>
        <w:sectPr>
          <w:pgSz w:w="11900" w:h="16838" w:orient="portrait"/>
          <w:cols w:equalWidth="0" w:num="1">
            <w:col w:w="10159"/>
          </w:cols>
          <w:pgMar w:left="300" w:top="372" w:right="1440" w:bottom="1440" w:gutter="0" w:footer="0" w:header="0"/>
        </w:sectPr>
      </w:pPr>
    </w:p>
    <w:bookmarkStart w:id="70" w:name="page71"/>
    <w:bookmarkEnd w:id="7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base salary is equal to or greater than $135,000 in 2022. The Deferred Compensation Plan allows participants to defer compensation into various measurement funds, the performance of which determines the return on compensation deferred under the plan. Potential investment choices include a fixed rate option, a choice that tracks the performance of the Company’s Common Stock, and other equity indices. Earnings recorded on compensation deferred by the executive officers do not exceed the returns on the relevant investments earned by other non-executive officer employees deferring compensation into the applicable investment vehicles. Mr. Throop was not eligible to participate in the Deferred Compensation Plan, as he was employed by a non-U.S. Company subsidiary.</w:t>
      </w:r>
    </w:p>
    <w:p>
      <w:pPr>
        <w:spacing w:after="0" w:line="195" w:lineRule="exact"/>
        <w:rPr>
          <w:sz w:val="20"/>
          <w:szCs w:val="20"/>
          <w:color w:val="auto"/>
        </w:rPr>
      </w:pPr>
    </w:p>
    <w:p>
      <w:pPr>
        <w:ind w:left="1980"/>
        <w:spacing w:after="0"/>
        <w:rPr>
          <w:sz w:val="20"/>
          <w:szCs w:val="20"/>
          <w:color w:val="auto"/>
        </w:rPr>
      </w:pPr>
      <w:r>
        <w:rPr>
          <w:rFonts w:ascii="Arial" w:cs="Arial" w:eastAsia="Arial" w:hAnsi="Arial"/>
          <w:sz w:val="13"/>
          <w:szCs w:val="13"/>
          <w:i w:val="1"/>
          <w:iCs w:val="1"/>
          <w:color w:val="009BDE"/>
        </w:rPr>
        <w:t>Perquisites</w:t>
      </w:r>
    </w:p>
    <w:p>
      <w:pPr>
        <w:spacing w:after="0" w:line="84" w:lineRule="exact"/>
        <w:rPr>
          <w:sz w:val="20"/>
          <w:szCs w:val="20"/>
          <w:color w:val="auto"/>
        </w:rPr>
      </w:pPr>
    </w:p>
    <w:p>
      <w:pPr>
        <w:ind w:left="1980" w:right="939"/>
        <w:spacing w:after="0" w:line="239" w:lineRule="auto"/>
        <w:rPr>
          <w:sz w:val="20"/>
          <w:szCs w:val="20"/>
          <w:color w:val="auto"/>
        </w:rPr>
      </w:pPr>
      <w:r>
        <w:rPr>
          <w:rFonts w:ascii="Arial" w:cs="Arial" w:eastAsia="Arial" w:hAnsi="Arial"/>
          <w:sz w:val="11"/>
          <w:szCs w:val="11"/>
          <w:color w:val="auto"/>
        </w:rPr>
        <w:t>The Company offers perquisites that the Committee believes are reasonable yet competitive for attracting, retaining and compensating the Company’s executives. The Company reimburses designated executive officers for the cost of certain financial planning services they obtain from third parties provided that such costs are within the annual limits established by the Company. The 2022 annual limit on these costs for Messrs. Cocks and Stoddart was $25,000 and for each of Ms. Thomas, Ms. Williams and Mr. Nyman was $5,000. In connection with Mr. Cocks’s employment agreement and relocation to the Company’s headquarters in Rhode island, the Company has reimbursed Mr. Cocks with certain relocation and travel expenses. For Mr. Nyman, he received payment for certain tax services relating to his repatriation from Canada. For Mr. Throop, the Company provided him with a Company car and non-exclusive use of a Company leased apartment when traveling to the Company’s Los Angeles, California office, as required under his employment agreement. The cost to the Company for these perquisites is included in the “All Other Compensation” column of the Summary Compensation Table.</w:t>
      </w:r>
    </w:p>
    <w:p>
      <w:pPr>
        <w:spacing w:after="0" w:line="199" w:lineRule="exact"/>
        <w:rPr>
          <w:sz w:val="20"/>
          <w:szCs w:val="20"/>
          <w:color w:val="auto"/>
        </w:rPr>
      </w:pPr>
    </w:p>
    <w:p>
      <w:pPr>
        <w:ind w:left="1980"/>
        <w:spacing w:after="0"/>
        <w:rPr>
          <w:sz w:val="20"/>
          <w:szCs w:val="20"/>
          <w:color w:val="auto"/>
        </w:rPr>
      </w:pPr>
      <w:r>
        <w:rPr>
          <w:rFonts w:ascii="Arial" w:cs="Arial" w:eastAsia="Arial" w:hAnsi="Arial"/>
          <w:sz w:val="13"/>
          <w:szCs w:val="13"/>
          <w:i w:val="1"/>
          <w:iCs w:val="1"/>
          <w:color w:val="009BDE"/>
        </w:rPr>
        <w:t>Severance and Change in Control Benefits</w:t>
      </w:r>
    </w:p>
    <w:p>
      <w:pPr>
        <w:spacing w:after="0" w:line="84" w:lineRule="exact"/>
        <w:rPr>
          <w:sz w:val="20"/>
          <w:szCs w:val="20"/>
          <w:color w:val="auto"/>
        </w:rPr>
      </w:pPr>
    </w:p>
    <w:p>
      <w:pPr>
        <w:ind w:left="1980" w:right="939"/>
        <w:spacing w:after="0" w:line="245" w:lineRule="auto"/>
        <w:rPr>
          <w:sz w:val="20"/>
          <w:szCs w:val="20"/>
          <w:color w:val="auto"/>
        </w:rPr>
      </w:pPr>
      <w:r>
        <w:rPr>
          <w:rFonts w:ascii="Arial" w:cs="Arial" w:eastAsia="Arial" w:hAnsi="Arial"/>
          <w:sz w:val="11"/>
          <w:szCs w:val="11"/>
          <w:color w:val="auto"/>
        </w:rPr>
        <w:t>Beginning on page 61 of this Proxy Statement there is a discussion of the severance and change in control benefits that may be payable to the NEOs in certain situations, as well as the plans under which those benefits are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109220</wp:posOffset>
            </wp:positionV>
            <wp:extent cx="3971925" cy="21717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219"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49</w:t>
      </w:r>
    </w:p>
    <w:p>
      <w:pPr>
        <w:sectPr>
          <w:pgSz w:w="11900" w:h="16838" w:orient="portrait"/>
          <w:cols w:equalWidth="0" w:num="1">
            <w:col w:w="10159"/>
          </w:cols>
          <w:pgMar w:left="300" w:top="372" w:right="1440" w:bottom="1440" w:gutter="0" w:footer="0" w:header="0"/>
        </w:sectPr>
      </w:pPr>
    </w:p>
    <w:bookmarkStart w:id="71" w:name="page72"/>
    <w:bookmarkEnd w:id="7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Other Compensation Considerations</w:t>
      </w:r>
    </w:p>
    <w:p>
      <w:pPr>
        <w:spacing w:after="0" w:line="77"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Stock Ownership Guidelines</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Our stock ownership and retention guidelines are rigorous.</w:t>
      </w:r>
    </w:p>
    <w:p>
      <w:pPr>
        <w:spacing w:after="0" w:line="160" w:lineRule="exact"/>
        <w:rPr>
          <w:sz w:val="20"/>
          <w:szCs w:val="20"/>
          <w:color w:val="auto"/>
        </w:rPr>
      </w:pPr>
    </w:p>
    <w:tbl>
      <w:tblPr>
        <w:tblLayout w:type="fixed"/>
        <w:tblInd w:w="3160" w:type="dxa"/>
        <w:tblCellMar>
          <w:top w:w="0" w:type="dxa"/>
          <w:left w:w="0" w:type="dxa"/>
          <w:bottom w:w="0" w:type="dxa"/>
          <w:right w:w="0" w:type="dxa"/>
        </w:tblCellMar>
      </w:tblPr>
      <w:tr>
        <w:trPr>
          <w:trHeight w:val="176"/>
        </w:trPr>
        <w:tc>
          <w:tcPr>
            <w:tcW w:w="1460" w:type="dxa"/>
            <w:vAlign w:val="bottom"/>
            <w:shd w:val="clear" w:color="auto" w:fill="CCEBF8"/>
          </w:tcPr>
          <w:p>
            <w:pPr>
              <w:spacing w:after="0"/>
              <w:rPr>
                <w:sz w:val="15"/>
                <w:szCs w:val="15"/>
                <w:color w:val="auto"/>
              </w:rPr>
            </w:pPr>
          </w:p>
        </w:tc>
        <w:tc>
          <w:tcPr>
            <w:tcW w:w="3520" w:type="dxa"/>
            <w:vAlign w:val="bottom"/>
            <w:shd w:val="clear" w:color="auto" w:fill="CCEBF8"/>
          </w:tcPr>
          <w:p>
            <w:pPr>
              <w:ind w:left="280"/>
              <w:spacing w:after="0"/>
              <w:rPr>
                <w:sz w:val="20"/>
                <w:szCs w:val="20"/>
                <w:color w:val="auto"/>
              </w:rPr>
            </w:pPr>
            <w:r>
              <w:rPr>
                <w:rFonts w:ascii="Arial" w:cs="Arial" w:eastAsia="Arial" w:hAnsi="Arial"/>
                <w:sz w:val="11"/>
                <w:szCs w:val="11"/>
                <w:b w:val="1"/>
                <w:bCs w:val="1"/>
                <w:color w:val="009BDE"/>
              </w:rPr>
              <w:t>Stock Ownership Guidelines*</w:t>
            </w:r>
          </w:p>
        </w:tc>
      </w:tr>
      <w:tr>
        <w:trPr>
          <w:trHeight w:val="85"/>
        </w:trPr>
        <w:tc>
          <w:tcPr>
            <w:tcW w:w="1460" w:type="dxa"/>
            <w:vAlign w:val="bottom"/>
            <w:tcBorders>
              <w:bottom w:val="single" w:sz="8" w:color="009BDE"/>
            </w:tcBorders>
            <w:shd w:val="clear" w:color="auto" w:fill="CCEBF8"/>
          </w:tcPr>
          <w:p>
            <w:pPr>
              <w:spacing w:after="0"/>
              <w:rPr>
                <w:sz w:val="7"/>
                <w:szCs w:val="7"/>
                <w:color w:val="auto"/>
              </w:rPr>
            </w:pPr>
          </w:p>
        </w:tc>
        <w:tc>
          <w:tcPr>
            <w:tcW w:w="3520" w:type="dxa"/>
            <w:vAlign w:val="bottom"/>
            <w:tcBorders>
              <w:bottom w:val="single" w:sz="8" w:color="009BDE"/>
            </w:tcBorders>
            <w:shd w:val="clear" w:color="auto" w:fill="CCEBF8"/>
          </w:tcPr>
          <w:p>
            <w:pPr>
              <w:spacing w:after="0"/>
              <w:rPr>
                <w:sz w:val="7"/>
                <w:szCs w:val="7"/>
                <w:color w:val="auto"/>
              </w:rPr>
            </w:pPr>
          </w:p>
        </w:tc>
      </w:tr>
      <w:tr>
        <w:trPr>
          <w:trHeight w:val="183"/>
        </w:trPr>
        <w:tc>
          <w:tcPr>
            <w:tcW w:w="1460" w:type="dxa"/>
            <w:vAlign w:val="bottom"/>
          </w:tcPr>
          <w:p>
            <w:pPr>
              <w:ind w:left="40"/>
              <w:spacing w:after="0"/>
              <w:rPr>
                <w:sz w:val="20"/>
                <w:szCs w:val="20"/>
                <w:color w:val="auto"/>
              </w:rPr>
            </w:pPr>
            <w:r>
              <w:rPr>
                <w:rFonts w:ascii="Arial" w:cs="Arial" w:eastAsia="Arial" w:hAnsi="Arial"/>
                <w:sz w:val="11"/>
                <w:szCs w:val="11"/>
                <w:color w:val="auto"/>
              </w:rPr>
              <w:t>CEO</w:t>
            </w:r>
          </w:p>
        </w:tc>
        <w:tc>
          <w:tcPr>
            <w:tcW w:w="3520" w:type="dxa"/>
            <w:vAlign w:val="bottom"/>
          </w:tcPr>
          <w:p>
            <w:pPr>
              <w:ind w:left="1180"/>
              <w:spacing w:after="0"/>
              <w:rPr>
                <w:sz w:val="20"/>
                <w:szCs w:val="20"/>
                <w:color w:val="auto"/>
              </w:rPr>
            </w:pPr>
            <w:r>
              <w:rPr>
                <w:rFonts w:ascii="Arial" w:cs="Arial" w:eastAsia="Arial" w:hAnsi="Arial"/>
                <w:sz w:val="11"/>
                <w:szCs w:val="11"/>
                <w:color w:val="auto"/>
              </w:rPr>
              <w:t>5X Base Salary</w:t>
            </w:r>
          </w:p>
        </w:tc>
      </w:tr>
      <w:tr>
        <w:trPr>
          <w:trHeight w:val="67"/>
        </w:trPr>
        <w:tc>
          <w:tcPr>
            <w:tcW w:w="1460" w:type="dxa"/>
            <w:vAlign w:val="bottom"/>
            <w:tcBorders>
              <w:bottom w:val="single" w:sz="8" w:color="009BDE"/>
            </w:tcBorders>
          </w:tcPr>
          <w:p>
            <w:pPr>
              <w:spacing w:after="0"/>
              <w:rPr>
                <w:sz w:val="5"/>
                <w:szCs w:val="5"/>
                <w:color w:val="auto"/>
              </w:rPr>
            </w:pPr>
          </w:p>
        </w:tc>
        <w:tc>
          <w:tcPr>
            <w:tcW w:w="3520" w:type="dxa"/>
            <w:vAlign w:val="bottom"/>
            <w:tcBorders>
              <w:bottom w:val="single" w:sz="8" w:color="009BDE"/>
            </w:tcBorders>
          </w:tcPr>
          <w:p>
            <w:pPr>
              <w:spacing w:after="0"/>
              <w:rPr>
                <w:sz w:val="5"/>
                <w:szCs w:val="5"/>
                <w:color w:val="auto"/>
              </w:rPr>
            </w:pPr>
          </w:p>
        </w:tc>
      </w:tr>
      <w:tr>
        <w:trPr>
          <w:trHeight w:val="183"/>
        </w:trPr>
        <w:tc>
          <w:tcPr>
            <w:tcW w:w="1460" w:type="dxa"/>
            <w:vAlign w:val="bottom"/>
          </w:tcPr>
          <w:p>
            <w:pPr>
              <w:ind w:left="40"/>
              <w:spacing w:after="0"/>
              <w:rPr>
                <w:sz w:val="20"/>
                <w:szCs w:val="20"/>
                <w:color w:val="auto"/>
              </w:rPr>
            </w:pPr>
            <w:r>
              <w:rPr>
                <w:rFonts w:ascii="Arial" w:cs="Arial" w:eastAsia="Arial" w:hAnsi="Arial"/>
                <w:sz w:val="11"/>
                <w:szCs w:val="11"/>
                <w:color w:val="auto"/>
              </w:rPr>
              <w:t>NEOs (other than CEO)</w:t>
            </w:r>
          </w:p>
        </w:tc>
        <w:tc>
          <w:tcPr>
            <w:tcW w:w="3520" w:type="dxa"/>
            <w:vAlign w:val="bottom"/>
          </w:tcPr>
          <w:p>
            <w:pPr>
              <w:ind w:left="1180"/>
              <w:spacing w:after="0"/>
              <w:rPr>
                <w:sz w:val="20"/>
                <w:szCs w:val="20"/>
                <w:color w:val="auto"/>
              </w:rPr>
            </w:pPr>
            <w:r>
              <w:rPr>
                <w:rFonts w:ascii="Arial" w:cs="Arial" w:eastAsia="Arial" w:hAnsi="Arial"/>
                <w:sz w:val="11"/>
                <w:szCs w:val="11"/>
                <w:color w:val="auto"/>
              </w:rPr>
              <w:t>2X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42545</wp:posOffset>
            </wp:positionV>
            <wp:extent cx="3166110" cy="571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3166110" cy="5715"/>
                    </a:xfrm>
                    <a:prstGeom prst="rect">
                      <a:avLst/>
                    </a:prstGeom>
                    <a:noFill/>
                  </pic:spPr>
                </pic:pic>
              </a:graphicData>
            </a:graphic>
          </wp:anchor>
        </w:drawing>
      </w:r>
    </w:p>
    <w:p>
      <w:pPr>
        <w:spacing w:after="0" w:line="122" w:lineRule="exact"/>
        <w:rPr>
          <w:sz w:val="20"/>
          <w:szCs w:val="20"/>
          <w:color w:val="auto"/>
        </w:rPr>
      </w:pPr>
    </w:p>
    <w:p>
      <w:pPr>
        <w:ind w:left="3160"/>
        <w:spacing w:after="0"/>
        <w:rPr>
          <w:sz w:val="20"/>
          <w:szCs w:val="20"/>
          <w:color w:val="auto"/>
        </w:rPr>
      </w:pPr>
      <w:r>
        <w:rPr>
          <w:rFonts w:ascii="Arial" w:cs="Arial" w:eastAsia="Arial" w:hAnsi="Arial"/>
          <w:sz w:val="10"/>
          <w:szCs w:val="10"/>
          <w:color w:val="auto"/>
        </w:rPr>
        <w:t>*     Base salary, through termination of employment with the Company</w:t>
      </w:r>
    </w:p>
    <w:p>
      <w:pPr>
        <w:spacing w:after="0" w:line="108" w:lineRule="exact"/>
        <w:rPr>
          <w:sz w:val="20"/>
          <w:szCs w:val="20"/>
          <w:color w:val="auto"/>
        </w:rPr>
      </w:pPr>
    </w:p>
    <w:p>
      <w:pPr>
        <w:ind w:left="1980" w:right="859"/>
        <w:spacing w:after="0" w:line="241" w:lineRule="auto"/>
        <w:rPr>
          <w:sz w:val="20"/>
          <w:szCs w:val="20"/>
          <w:color w:val="auto"/>
        </w:rPr>
      </w:pPr>
      <w:r>
        <w:rPr>
          <w:rFonts w:ascii="Arial" w:cs="Arial" w:eastAsia="Arial" w:hAnsi="Arial"/>
          <w:sz w:val="11"/>
          <w:szCs w:val="11"/>
          <w:color w:val="auto"/>
        </w:rPr>
        <w:t>An executive has five years to achieve the stock ownership requirement level. Thereafter, during the executive’s employment with the Company they must maintain the required stock ownership. All NEOs other than Mr. Stoddart were either in compliance with the stock ownership guidelines or were within the five years they had to achieve the requisite ownership level, as of December 25, 2022. Mr. Stoddart is subject to the stock ownership guidelines attributable to our non-employee directors, and is in compliance with those ownership requirements.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Stock Retention Requirement</w:t>
      </w:r>
    </w:p>
    <w:p>
      <w:pPr>
        <w:spacing w:after="0" w:line="86" w:lineRule="exact"/>
        <w:rPr>
          <w:sz w:val="20"/>
          <w:szCs w:val="20"/>
          <w:color w:val="auto"/>
        </w:rPr>
      </w:pPr>
    </w:p>
    <w:p>
      <w:pPr>
        <w:ind w:left="1980" w:right="1019"/>
        <w:spacing w:after="0" w:line="245" w:lineRule="auto"/>
        <w:rPr>
          <w:sz w:val="20"/>
          <w:szCs w:val="20"/>
          <w:color w:val="auto"/>
        </w:rPr>
      </w:pPr>
      <w:r>
        <w:rPr>
          <w:rFonts w:ascii="Arial" w:cs="Arial" w:eastAsia="Arial" w:hAnsi="Arial"/>
          <w:sz w:val="11"/>
          <w:szCs w:val="11"/>
          <w:color w:val="auto"/>
        </w:rPr>
        <w:t>The Hasbro, Inc. Executive Stock Ownership Policy includes a requirement that executives retain 50% of any net shares realized from stock vesting or option exercises until the executive’s required ownership level is satisfied.</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Anti-Hedging and Pledging Policies</w:t>
      </w:r>
    </w:p>
    <w:p>
      <w:pPr>
        <w:spacing w:after="0" w:line="86" w:lineRule="exact"/>
        <w:rPr>
          <w:sz w:val="20"/>
          <w:szCs w:val="20"/>
          <w:color w:val="auto"/>
        </w:rPr>
      </w:pPr>
    </w:p>
    <w:p>
      <w:pPr>
        <w:ind w:left="1980" w:right="1019"/>
        <w:spacing w:after="0" w:line="245" w:lineRule="auto"/>
        <w:rPr>
          <w:sz w:val="20"/>
          <w:szCs w:val="20"/>
          <w:color w:val="auto"/>
        </w:rPr>
      </w:pPr>
      <w:r>
        <w:rPr>
          <w:rFonts w:ascii="Arial" w:cs="Arial" w:eastAsia="Arial" w:hAnsi="Arial"/>
          <w:sz w:val="11"/>
          <w:szCs w:val="11"/>
          <w:color w:val="auto"/>
        </w:rPr>
        <w:t>The Company has had a long-standing policy in place that prohibits all directors, executive officers and other employees from hedging or pledging any Company securities.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Compensation and Risk Management</w:t>
      </w:r>
    </w:p>
    <w:p>
      <w:pPr>
        <w:spacing w:after="0" w:line="86" w:lineRule="exact"/>
        <w:rPr>
          <w:sz w:val="20"/>
          <w:szCs w:val="20"/>
          <w:color w:val="auto"/>
        </w:rPr>
      </w:pPr>
    </w:p>
    <w:p>
      <w:pPr>
        <w:ind w:left="1980" w:right="839"/>
        <w:spacing w:after="0" w:line="241" w:lineRule="auto"/>
        <w:rPr>
          <w:sz w:val="20"/>
          <w:szCs w:val="20"/>
          <w:color w:val="auto"/>
        </w:rPr>
      </w:pPr>
      <w:r>
        <w:rPr>
          <w:rFonts w:ascii="Arial" w:cs="Arial" w:eastAsia="Arial" w:hAnsi="Arial"/>
          <w:sz w:val="11"/>
          <w:szCs w:val="11"/>
          <w:color w:val="auto"/>
        </w:rPr>
        <w:t>As part of structuring the Company’s executive compensation programs, the Committee (i) evaluates the connection between such programs and the risk-taking incentives they engender, to ensure that the Company is incenting its executives to take an appropriate level of business risk, but not excessive risk, and (ii) considers any changes in the Company’s risk profile and whether those changes should impact the compensation structure. To achieve this appropriate level of risk-taking, and avoid excessive risk, the Committee structures the compensation program to:</w:t>
      </w:r>
    </w:p>
    <w:p>
      <w:pPr>
        <w:spacing w:after="0" w:line="77" w:lineRule="exact"/>
        <w:rPr>
          <w:sz w:val="20"/>
          <w:szCs w:val="20"/>
          <w:color w:val="auto"/>
        </w:rPr>
      </w:pPr>
    </w:p>
    <w:p>
      <w:pPr>
        <w:ind w:left="2120" w:right="879" w:hanging="148"/>
        <w:spacing w:after="0" w:line="242" w:lineRule="auto"/>
        <w:tabs>
          <w:tab w:leader="none" w:pos="2120" w:val="left"/>
        </w:tabs>
        <w:numPr>
          <w:ilvl w:val="0"/>
          <w:numId w:val="46"/>
        </w:numPr>
        <w:rPr>
          <w:rFonts w:ascii="Arial" w:cs="Arial" w:eastAsia="Arial" w:hAnsi="Arial"/>
          <w:sz w:val="11"/>
          <w:szCs w:val="11"/>
          <w:color w:val="auto"/>
        </w:rPr>
      </w:pPr>
      <w:r>
        <w:rPr>
          <w:rFonts w:ascii="Arial" w:cs="Arial" w:eastAsia="Arial" w:hAnsi="Arial"/>
          <w:sz w:val="11"/>
          <w:szCs w:val="11"/>
          <w:color w:val="auto"/>
        </w:rPr>
        <w:t>link the performance objectives under all incentive-based compensation to the strategic and operating plans of the Company which are approved by the full Board, with the Board ensuring that the goals set forth in such plans require significant performance to achieve, but are not so out of reach that they require excessively aggressive behavior to be met;</w:t>
      </w:r>
    </w:p>
    <w:p>
      <w:pPr>
        <w:spacing w:after="0" w:line="76" w:lineRule="exact"/>
        <w:rPr>
          <w:rFonts w:ascii="Arial" w:cs="Arial" w:eastAsia="Arial" w:hAnsi="Arial"/>
          <w:sz w:val="11"/>
          <w:szCs w:val="11"/>
          <w:color w:val="auto"/>
        </w:rPr>
      </w:pPr>
    </w:p>
    <w:p>
      <w:pPr>
        <w:ind w:left="2120" w:right="879" w:hanging="148"/>
        <w:spacing w:after="0" w:line="242" w:lineRule="auto"/>
        <w:tabs>
          <w:tab w:leader="none" w:pos="2120" w:val="left"/>
        </w:tabs>
        <w:numPr>
          <w:ilvl w:val="0"/>
          <w:numId w:val="46"/>
        </w:numPr>
        <w:rPr>
          <w:rFonts w:ascii="Arial" w:cs="Arial" w:eastAsia="Arial" w:hAnsi="Arial"/>
          <w:sz w:val="11"/>
          <w:szCs w:val="11"/>
          <w:color w:val="auto"/>
        </w:rPr>
      </w:pPr>
      <w:r>
        <w:rPr>
          <w:rFonts w:ascii="Arial" w:cs="Arial" w:eastAsia="Arial" w:hAnsi="Arial"/>
          <w:sz w:val="11"/>
          <w:szCs w:val="11"/>
          <w:color w:val="auto"/>
        </w:rPr>
        <w:t>provide for a balance of shorter-term objectives or exercise periods (such as the annual cash incentive plan objectives) and longer-term objectives or exercise periods (such as the three-year performance period under the contingent stock performance awards and seven-year option terms) to mitigate the risk that short-term performance would be driven at the expense of longer-term performance and shareholder value creation; and</w:t>
      </w:r>
    </w:p>
    <w:p>
      <w:pPr>
        <w:spacing w:after="0" w:line="76" w:lineRule="exact"/>
        <w:rPr>
          <w:rFonts w:ascii="Arial" w:cs="Arial" w:eastAsia="Arial" w:hAnsi="Arial"/>
          <w:sz w:val="11"/>
          <w:szCs w:val="11"/>
          <w:color w:val="auto"/>
        </w:rPr>
      </w:pPr>
    </w:p>
    <w:p>
      <w:pPr>
        <w:ind w:left="2120" w:right="899" w:hanging="148"/>
        <w:spacing w:after="0" w:line="242" w:lineRule="auto"/>
        <w:tabs>
          <w:tab w:leader="none" w:pos="2120" w:val="left"/>
        </w:tabs>
        <w:numPr>
          <w:ilvl w:val="0"/>
          <w:numId w:val="46"/>
        </w:numPr>
        <w:rPr>
          <w:rFonts w:ascii="Arial" w:cs="Arial" w:eastAsia="Arial" w:hAnsi="Arial"/>
          <w:sz w:val="11"/>
          <w:szCs w:val="11"/>
          <w:color w:val="auto"/>
        </w:rPr>
      </w:pPr>
      <w:r>
        <w:rPr>
          <w:rFonts w:ascii="Arial" w:cs="Arial" w:eastAsia="Arial" w:hAnsi="Arial"/>
          <w:sz w:val="11"/>
          <w:szCs w:val="11"/>
          <w:color w:val="auto"/>
        </w:rPr>
        <w:t>include stock ownership guidelines which require executives to maintain significant equity ownership during their entire career with the Company, thus linking personal financial results for the executives with the investment performance experienced by the Company’s shareholders over a significant period of time.</w:t>
      </w:r>
    </w:p>
    <w:p>
      <w:pPr>
        <w:spacing w:after="0" w:line="121" w:lineRule="exact"/>
        <w:rPr>
          <w:sz w:val="20"/>
          <w:szCs w:val="20"/>
          <w:color w:val="auto"/>
        </w:rPr>
      </w:pPr>
    </w:p>
    <w:p>
      <w:pPr>
        <w:ind w:left="1980" w:right="1059"/>
        <w:spacing w:after="0" w:line="241" w:lineRule="auto"/>
        <w:rPr>
          <w:sz w:val="20"/>
          <w:szCs w:val="20"/>
          <w:color w:val="auto"/>
        </w:rPr>
      </w:pPr>
      <w:r>
        <w:rPr>
          <w:rFonts w:ascii="Arial" w:cs="Arial" w:eastAsia="Arial" w:hAnsi="Arial"/>
          <w:sz w:val="11"/>
          <w:szCs w:val="11"/>
          <w:color w:val="auto"/>
        </w:rPr>
        <w:t>In addition to the analysis performed by the Committee, the Committee also had Meridian perform a risk assessment of the Company’s executive compensation programs and advise on the appropriateness of the levels of risk presented by those programs and the effectiveness of their design to mitigate risk. As a result of its analysis and the work performed by Meridian, the Committee believes the Company’s compensation programs promote appropriate, but not excessive, risk-taking and are designed to best further the interests of the Company while mitigating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3971925" cy="21717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50</w:t>
      </w:r>
    </w:p>
    <w:p>
      <w:pPr>
        <w:sectPr>
          <w:pgSz w:w="11900" w:h="16838" w:orient="portrait"/>
          <w:cols w:equalWidth="0" w:num="1">
            <w:col w:w="10159"/>
          </w:cols>
          <w:pgMar w:left="300" w:top="372" w:right="1440" w:bottom="1440" w:gutter="0" w:footer="0" w:header="0"/>
        </w:sectPr>
      </w:pPr>
    </w:p>
    <w:bookmarkStart w:id="72" w:name="page73"/>
    <w:bookmarkEnd w:id="7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Tax Considerations</w:t>
      </w:r>
    </w:p>
    <w:p>
      <w:pPr>
        <w:spacing w:after="0" w:line="86" w:lineRule="exact"/>
        <w:rPr>
          <w:sz w:val="20"/>
          <w:szCs w:val="20"/>
          <w:color w:val="auto"/>
        </w:rPr>
      </w:pPr>
    </w:p>
    <w:p>
      <w:pPr>
        <w:ind w:left="1980" w:right="899"/>
        <w:spacing w:after="0" w:line="262" w:lineRule="auto"/>
        <w:rPr>
          <w:sz w:val="20"/>
          <w:szCs w:val="20"/>
          <w:color w:val="auto"/>
        </w:rPr>
      </w:pPr>
      <w:r>
        <w:rPr>
          <w:rFonts w:ascii="Arial" w:cs="Arial" w:eastAsia="Arial" w:hAnsi="Arial"/>
          <w:sz w:val="10"/>
          <w:szCs w:val="10"/>
          <w:color w:val="auto"/>
        </w:rPr>
        <w:t>For years prior to 2018, Section 162(m) of the Internal Revenue Code (as implemented by IRS guidance) limited companies’ deduction for compensation paid to the CEO and the other three most highly paid executives (excluding the CEO and CFO) to $1 million, but allowed for the deduction for performance-based compensation costs/expenses for amounts even in excess of the $1 million limit. As such, we structured our Restated 2003 Stock Incentive Performance Plan, as amended, (the “2003 Plan”) with the intention of meeting the requirements for performance-based compensation under Section 162(m). Effective January 1, 2018, the Tax Cut and Jobs Act (the “TCJA”) repealed this exclusion for performance-based compensation, and expanded the class of affected executives, which means that all compensation paid to persons who in 2017, or any year following, were the CEO, CFO (in 2018 or later) or one of the other three most highly paid executives (excluding our CEO and CFO) will be subject to the per-person annual cap of</w:t>
      </w:r>
    </w:p>
    <w:p>
      <w:pPr>
        <w:spacing w:after="0" w:line="3" w:lineRule="exact"/>
        <w:rPr>
          <w:sz w:val="20"/>
          <w:szCs w:val="20"/>
          <w:color w:val="auto"/>
        </w:rPr>
      </w:pPr>
    </w:p>
    <w:p>
      <w:pPr>
        <w:ind w:left="1980" w:right="999"/>
        <w:spacing w:after="0"/>
        <w:rPr>
          <w:sz w:val="20"/>
          <w:szCs w:val="20"/>
          <w:color w:val="auto"/>
        </w:rPr>
      </w:pPr>
      <w:r>
        <w:rPr>
          <w:rFonts w:ascii="Arial" w:cs="Arial" w:eastAsia="Arial" w:hAnsi="Arial"/>
          <w:sz w:val="11"/>
          <w:szCs w:val="11"/>
          <w:color w:val="auto"/>
        </w:rPr>
        <w:t>$1 million. For long-term incentive plan awards made on or prior to November 2, 2017, but not yet vested and/or paid out (other than time-based restricted stock units (including unexercised stock options), which are not qualified under Section 162(m) and therefore are not deductible, unless paid after the executive terminates), we expect that the Company will still be able to deduct those amounts, provided that the Company meets the requirements in the TCJA protecting grandfathered performance-based awards and certain other grandfathered compensation paid after termination of service.</w:t>
      </w:r>
    </w:p>
    <w:p>
      <w:pPr>
        <w:spacing w:after="0" w:line="97" w:lineRule="exact"/>
        <w:rPr>
          <w:sz w:val="20"/>
          <w:szCs w:val="20"/>
          <w:color w:val="auto"/>
        </w:rPr>
      </w:pPr>
    </w:p>
    <w:p>
      <w:pPr>
        <w:jc w:val="both"/>
        <w:ind w:left="1980" w:right="979"/>
        <w:spacing w:after="0" w:line="242" w:lineRule="auto"/>
        <w:rPr>
          <w:sz w:val="20"/>
          <w:szCs w:val="20"/>
          <w:color w:val="auto"/>
        </w:rPr>
      </w:pPr>
      <w:r>
        <w:rPr>
          <w:rFonts w:ascii="Arial" w:cs="Arial" w:eastAsia="Arial" w:hAnsi="Arial"/>
          <w:sz w:val="11"/>
          <w:szCs w:val="11"/>
          <w:color w:val="auto"/>
        </w:rPr>
        <w:t>The Committee believes that shareholder interests are best served by not restricting the Committee’s discretion and flexibility in crafting compensation programs, even if such programs may result in certain non-deductible compensation expenses. Accordingly, the Committee may provide compensation that is not deductible.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59055</wp:posOffset>
            </wp:positionV>
            <wp:extent cx="3971925" cy="21717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51</w:t>
      </w:r>
    </w:p>
    <w:p>
      <w:pPr>
        <w:sectPr>
          <w:pgSz w:w="11900" w:h="16838" w:orient="portrait"/>
          <w:cols w:equalWidth="0" w:num="1">
            <w:col w:w="10159"/>
          </w:cols>
          <w:pgMar w:left="300" w:top="372" w:right="1440" w:bottom="1440" w:gutter="0" w:footer="0" w:header="0"/>
        </w:sectPr>
      </w:pPr>
    </w:p>
    <w:bookmarkStart w:id="73" w:name="page74"/>
    <w:bookmarkEnd w:id="7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Executive Compensation</w:t>
      </w:r>
    </w:p>
    <w:p>
      <w:pPr>
        <w:spacing w:after="0" w:line="97" w:lineRule="exact"/>
        <w:rPr>
          <w:sz w:val="20"/>
          <w:szCs w:val="20"/>
          <w:color w:val="auto"/>
        </w:rPr>
      </w:pPr>
    </w:p>
    <w:p>
      <w:pPr>
        <w:ind w:left="1980" w:right="1019"/>
        <w:spacing w:after="0" w:line="245" w:lineRule="auto"/>
        <w:rPr>
          <w:sz w:val="20"/>
          <w:szCs w:val="20"/>
          <w:color w:val="auto"/>
        </w:rPr>
      </w:pPr>
      <w:r>
        <w:rPr>
          <w:rFonts w:ascii="Arial" w:cs="Arial" w:eastAsia="Arial" w:hAnsi="Arial"/>
          <w:sz w:val="11"/>
          <w:szCs w:val="11"/>
          <w:color w:val="auto"/>
        </w:rPr>
        <w:t>The following table summarizes compensation paid by the Company for services rendered during fiscal 2022, 2021 and 2020 by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98425</wp:posOffset>
            </wp:positionV>
            <wp:extent cx="4663440" cy="22288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4663440" cy="222885"/>
                    </a:xfrm>
                    <a:prstGeom prst="rect">
                      <a:avLst/>
                    </a:prstGeom>
                    <a:noFill/>
                  </pic:spPr>
                </pic:pic>
              </a:graphicData>
            </a:graphic>
          </wp:anchor>
        </w:drawing>
      </w:r>
    </w:p>
    <w:p>
      <w:pPr>
        <w:spacing w:after="0" w:line="18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Summary Compensation Table</w:t>
      </w:r>
    </w:p>
    <w:p>
      <w:pPr>
        <w:spacing w:after="0" w:line="54"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560" w:type="dxa"/>
            <w:vAlign w:val="bottom"/>
            <w:tcBorders>
              <w:top w:val="single" w:sz="8" w:color="0060ED"/>
            </w:tcBorders>
            <w:shd w:val="clear" w:color="auto" w:fill="CCEBF8"/>
          </w:tcPr>
          <w:p>
            <w:pPr>
              <w:spacing w:after="0"/>
              <w:rPr>
                <w:sz w:val="13"/>
                <w:szCs w:val="13"/>
                <w:color w:val="auto"/>
              </w:rPr>
            </w:pPr>
          </w:p>
        </w:tc>
        <w:tc>
          <w:tcPr>
            <w:tcW w:w="280" w:type="dxa"/>
            <w:vAlign w:val="bottom"/>
            <w:tcBorders>
              <w:top w:val="single" w:sz="8" w:color="0060ED"/>
            </w:tcBorders>
            <w:shd w:val="clear" w:color="auto" w:fill="CCEBF8"/>
          </w:tcPr>
          <w:p>
            <w:pPr>
              <w:spacing w:after="0"/>
              <w:rPr>
                <w:sz w:val="13"/>
                <w:szCs w:val="13"/>
                <w:color w:val="auto"/>
              </w:rPr>
            </w:pPr>
          </w:p>
        </w:tc>
        <w:tc>
          <w:tcPr>
            <w:tcW w:w="80" w:type="dxa"/>
            <w:vAlign w:val="bottom"/>
            <w:tcBorders>
              <w:top w:val="single" w:sz="8" w:color="0060ED"/>
            </w:tcBorders>
            <w:shd w:val="clear" w:color="auto" w:fill="CCEBF8"/>
          </w:tcPr>
          <w:p>
            <w:pPr>
              <w:spacing w:after="0"/>
              <w:rPr>
                <w:sz w:val="13"/>
                <w:szCs w:val="13"/>
                <w:color w:val="auto"/>
              </w:rPr>
            </w:pPr>
          </w:p>
        </w:tc>
        <w:tc>
          <w:tcPr>
            <w:tcW w:w="420" w:type="dxa"/>
            <w:vAlign w:val="bottom"/>
            <w:tcBorders>
              <w:top w:val="single" w:sz="8" w:color="0060ED"/>
            </w:tcBorders>
            <w:shd w:val="clear" w:color="auto" w:fill="CCEBF8"/>
          </w:tcPr>
          <w:p>
            <w:pPr>
              <w:spacing w:after="0"/>
              <w:rPr>
                <w:sz w:val="13"/>
                <w:szCs w:val="13"/>
                <w:color w:val="auto"/>
              </w:rPr>
            </w:pPr>
          </w:p>
        </w:tc>
        <w:tc>
          <w:tcPr>
            <w:tcW w:w="80" w:type="dxa"/>
            <w:vAlign w:val="bottom"/>
            <w:tcBorders>
              <w:top w:val="single" w:sz="8" w:color="0060ED"/>
            </w:tcBorders>
            <w:shd w:val="clear" w:color="auto" w:fill="CCEBF8"/>
          </w:tcPr>
          <w:p>
            <w:pPr>
              <w:spacing w:after="0"/>
              <w:rPr>
                <w:sz w:val="13"/>
                <w:szCs w:val="13"/>
                <w:color w:val="auto"/>
              </w:rPr>
            </w:pPr>
          </w:p>
        </w:tc>
        <w:tc>
          <w:tcPr>
            <w:tcW w:w="420" w:type="dxa"/>
            <w:vAlign w:val="bottom"/>
            <w:tcBorders>
              <w:top w:val="single" w:sz="8" w:color="0060ED"/>
            </w:tcBorders>
            <w:shd w:val="clear" w:color="auto" w:fill="CCEBF8"/>
          </w:tcPr>
          <w:p>
            <w:pPr>
              <w:spacing w:after="0"/>
              <w:rPr>
                <w:sz w:val="13"/>
                <w:szCs w:val="13"/>
                <w:color w:val="auto"/>
              </w:rPr>
            </w:pPr>
          </w:p>
        </w:tc>
        <w:tc>
          <w:tcPr>
            <w:tcW w:w="100" w:type="dxa"/>
            <w:vAlign w:val="bottom"/>
            <w:tcBorders>
              <w:top w:val="single" w:sz="8" w:color="0060ED"/>
            </w:tcBorders>
            <w:shd w:val="clear" w:color="auto" w:fill="CCEBF8"/>
          </w:tcPr>
          <w:p>
            <w:pPr>
              <w:spacing w:after="0"/>
              <w:rPr>
                <w:sz w:val="13"/>
                <w:szCs w:val="13"/>
                <w:color w:val="auto"/>
              </w:rPr>
            </w:pPr>
          </w:p>
        </w:tc>
        <w:tc>
          <w:tcPr>
            <w:tcW w:w="460" w:type="dxa"/>
            <w:vAlign w:val="bottom"/>
            <w:tcBorders>
              <w:top w:val="single" w:sz="8" w:color="0060ED"/>
            </w:tcBorders>
            <w:shd w:val="clear" w:color="auto" w:fill="CCEBF8"/>
          </w:tcPr>
          <w:p>
            <w:pPr>
              <w:spacing w:after="0"/>
              <w:rPr>
                <w:sz w:val="13"/>
                <w:szCs w:val="13"/>
                <w:color w:val="auto"/>
              </w:rPr>
            </w:pPr>
          </w:p>
        </w:tc>
        <w:tc>
          <w:tcPr>
            <w:tcW w:w="100" w:type="dxa"/>
            <w:vAlign w:val="bottom"/>
            <w:tcBorders>
              <w:top w:val="single" w:sz="8" w:color="0060ED"/>
            </w:tcBorders>
            <w:shd w:val="clear" w:color="auto" w:fill="CCEBF8"/>
          </w:tcPr>
          <w:p>
            <w:pPr>
              <w:spacing w:after="0"/>
              <w:rPr>
                <w:sz w:val="13"/>
                <w:szCs w:val="13"/>
                <w:color w:val="auto"/>
              </w:rPr>
            </w:pPr>
          </w:p>
        </w:tc>
        <w:tc>
          <w:tcPr>
            <w:tcW w:w="400" w:type="dxa"/>
            <w:vAlign w:val="bottom"/>
            <w:tcBorders>
              <w:top w:val="single" w:sz="8" w:color="0060ED"/>
            </w:tcBorders>
            <w:shd w:val="clear" w:color="auto" w:fill="CCEBF8"/>
          </w:tcPr>
          <w:p>
            <w:pPr>
              <w:spacing w:after="0"/>
              <w:rPr>
                <w:sz w:val="13"/>
                <w:szCs w:val="13"/>
                <w:color w:val="auto"/>
              </w:rPr>
            </w:pPr>
          </w:p>
        </w:tc>
        <w:tc>
          <w:tcPr>
            <w:tcW w:w="140" w:type="dxa"/>
            <w:vAlign w:val="bottom"/>
            <w:tcBorders>
              <w:top w:val="single" w:sz="8" w:color="0060ED"/>
            </w:tcBorders>
            <w:shd w:val="clear" w:color="auto" w:fill="CCEBF8"/>
          </w:tcPr>
          <w:p>
            <w:pPr>
              <w:spacing w:after="0"/>
              <w:rPr>
                <w:sz w:val="13"/>
                <w:szCs w:val="13"/>
                <w:color w:val="auto"/>
              </w:rPr>
            </w:pPr>
          </w:p>
        </w:tc>
        <w:tc>
          <w:tcPr>
            <w:tcW w:w="460" w:type="dxa"/>
            <w:vAlign w:val="bottom"/>
            <w:tcBorders>
              <w:top w:val="single" w:sz="8" w:color="0060ED"/>
            </w:tcBorders>
            <w:shd w:val="clear" w:color="auto" w:fill="CCEBF8"/>
          </w:tcPr>
          <w:p>
            <w:pPr>
              <w:spacing w:after="0"/>
              <w:rPr>
                <w:sz w:val="13"/>
                <w:szCs w:val="13"/>
                <w:color w:val="auto"/>
              </w:rPr>
            </w:pPr>
          </w:p>
        </w:tc>
        <w:tc>
          <w:tcPr>
            <w:tcW w:w="140" w:type="dxa"/>
            <w:vAlign w:val="bottom"/>
            <w:tcBorders>
              <w:top w:val="single" w:sz="8" w:color="0060ED"/>
            </w:tcBorders>
            <w:shd w:val="clear" w:color="auto" w:fill="CCEBF8"/>
          </w:tcPr>
          <w:p>
            <w:pPr>
              <w:spacing w:after="0"/>
              <w:rPr>
                <w:sz w:val="13"/>
                <w:szCs w:val="13"/>
                <w:color w:val="auto"/>
              </w:rPr>
            </w:pPr>
          </w:p>
        </w:tc>
        <w:tc>
          <w:tcPr>
            <w:tcW w:w="560" w:type="dxa"/>
            <w:vAlign w:val="bottom"/>
            <w:tcBorders>
              <w:top w:val="single" w:sz="8" w:color="0060ED"/>
            </w:tcBorders>
            <w:shd w:val="clear" w:color="auto" w:fill="CCEBF8"/>
          </w:tcPr>
          <w:p>
            <w:pPr>
              <w:jc w:val="center"/>
              <w:ind w:right="118"/>
              <w:spacing w:after="0"/>
              <w:rPr>
                <w:sz w:val="20"/>
                <w:szCs w:val="20"/>
                <w:color w:val="auto"/>
              </w:rPr>
            </w:pPr>
            <w:r>
              <w:rPr>
                <w:rFonts w:ascii="Arial" w:cs="Arial" w:eastAsia="Arial" w:hAnsi="Arial"/>
                <w:sz w:val="8"/>
                <w:szCs w:val="8"/>
                <w:b w:val="1"/>
                <w:bCs w:val="1"/>
                <w:color w:val="009BDE"/>
              </w:rPr>
              <w:t>Change in</w:t>
            </w:r>
          </w:p>
        </w:tc>
        <w:tc>
          <w:tcPr>
            <w:tcW w:w="160" w:type="dxa"/>
            <w:vAlign w:val="bottom"/>
            <w:tcBorders>
              <w:top w:val="single" w:sz="8" w:color="0060ED"/>
            </w:tcBorders>
            <w:shd w:val="clear" w:color="auto" w:fill="CCEBF8"/>
          </w:tcPr>
          <w:p>
            <w:pPr>
              <w:spacing w:after="0"/>
              <w:rPr>
                <w:sz w:val="13"/>
                <w:szCs w:val="13"/>
                <w:color w:val="auto"/>
              </w:rPr>
            </w:pPr>
          </w:p>
        </w:tc>
        <w:tc>
          <w:tcPr>
            <w:tcW w:w="440" w:type="dxa"/>
            <w:vAlign w:val="bottom"/>
            <w:tcBorders>
              <w:top w:val="single" w:sz="8" w:color="0060ED"/>
            </w:tcBorders>
            <w:shd w:val="clear" w:color="auto" w:fill="CCEBF8"/>
          </w:tcPr>
          <w:p>
            <w:pPr>
              <w:spacing w:after="0"/>
              <w:rPr>
                <w:sz w:val="13"/>
                <w:szCs w:val="13"/>
                <w:color w:val="auto"/>
              </w:rPr>
            </w:pPr>
          </w:p>
        </w:tc>
        <w:tc>
          <w:tcPr>
            <w:tcW w:w="80" w:type="dxa"/>
            <w:vAlign w:val="bottom"/>
            <w:tcBorders>
              <w:top w:val="single" w:sz="8" w:color="0060ED"/>
            </w:tcBorders>
            <w:shd w:val="clear" w:color="auto" w:fill="CCEBF8"/>
          </w:tcPr>
          <w:p>
            <w:pPr>
              <w:spacing w:after="0"/>
              <w:rPr>
                <w:sz w:val="13"/>
                <w:szCs w:val="13"/>
                <w:color w:val="auto"/>
              </w:rPr>
            </w:pPr>
          </w:p>
        </w:tc>
        <w:tc>
          <w:tcPr>
            <w:tcW w:w="460" w:type="dxa"/>
            <w:vAlign w:val="bottom"/>
            <w:tcBorders>
              <w:top w:val="single" w:sz="8" w:color="0060ED"/>
            </w:tcBorders>
            <w:shd w:val="clear" w:color="auto" w:fill="CCEBF8"/>
          </w:tcPr>
          <w:p>
            <w:pPr>
              <w:spacing w:after="0"/>
              <w:rPr>
                <w:sz w:val="13"/>
                <w:szCs w:val="13"/>
                <w:color w:val="auto"/>
              </w:rPr>
            </w:pPr>
          </w:p>
        </w:tc>
      </w:tr>
      <w:tr>
        <w:trPr>
          <w:trHeight w:val="90"/>
        </w:trPr>
        <w:tc>
          <w:tcPr>
            <w:tcW w:w="2560" w:type="dxa"/>
            <w:vAlign w:val="bottom"/>
            <w:shd w:val="clear" w:color="auto" w:fill="CCEBF8"/>
          </w:tcPr>
          <w:p>
            <w:pPr>
              <w:spacing w:after="0"/>
              <w:rPr>
                <w:sz w:val="7"/>
                <w:szCs w:val="7"/>
                <w:color w:val="auto"/>
              </w:rPr>
            </w:pPr>
          </w:p>
        </w:tc>
        <w:tc>
          <w:tcPr>
            <w:tcW w:w="280" w:type="dxa"/>
            <w:vAlign w:val="bottom"/>
            <w:shd w:val="clear" w:color="auto" w:fill="CCEBF8"/>
          </w:tcPr>
          <w:p>
            <w:pPr>
              <w:spacing w:after="0"/>
              <w:rPr>
                <w:sz w:val="7"/>
                <w:szCs w:val="7"/>
                <w:color w:val="auto"/>
              </w:rPr>
            </w:pPr>
          </w:p>
        </w:tc>
        <w:tc>
          <w:tcPr>
            <w:tcW w:w="80" w:type="dxa"/>
            <w:vAlign w:val="bottom"/>
            <w:shd w:val="clear" w:color="auto" w:fill="CCEBF8"/>
          </w:tcPr>
          <w:p>
            <w:pPr>
              <w:spacing w:after="0"/>
              <w:rPr>
                <w:sz w:val="7"/>
                <w:szCs w:val="7"/>
                <w:color w:val="auto"/>
              </w:rPr>
            </w:pPr>
          </w:p>
        </w:tc>
        <w:tc>
          <w:tcPr>
            <w:tcW w:w="420" w:type="dxa"/>
            <w:vAlign w:val="bottom"/>
            <w:shd w:val="clear" w:color="auto" w:fill="CCEBF8"/>
          </w:tcPr>
          <w:p>
            <w:pPr>
              <w:spacing w:after="0"/>
              <w:rPr>
                <w:sz w:val="7"/>
                <w:szCs w:val="7"/>
                <w:color w:val="auto"/>
              </w:rPr>
            </w:pPr>
          </w:p>
        </w:tc>
        <w:tc>
          <w:tcPr>
            <w:tcW w:w="80" w:type="dxa"/>
            <w:vAlign w:val="bottom"/>
            <w:shd w:val="clear" w:color="auto" w:fill="CCEBF8"/>
          </w:tcPr>
          <w:p>
            <w:pPr>
              <w:spacing w:after="0"/>
              <w:rPr>
                <w:sz w:val="7"/>
                <w:szCs w:val="7"/>
                <w:color w:val="auto"/>
              </w:rPr>
            </w:pPr>
          </w:p>
        </w:tc>
        <w:tc>
          <w:tcPr>
            <w:tcW w:w="420" w:type="dxa"/>
            <w:vAlign w:val="bottom"/>
            <w:shd w:val="clear" w:color="auto" w:fill="CCEBF8"/>
          </w:tcPr>
          <w:p>
            <w:pPr>
              <w:spacing w:after="0"/>
              <w:rPr>
                <w:sz w:val="7"/>
                <w:szCs w:val="7"/>
                <w:color w:val="auto"/>
              </w:rPr>
            </w:pPr>
          </w:p>
        </w:tc>
        <w:tc>
          <w:tcPr>
            <w:tcW w:w="100" w:type="dxa"/>
            <w:vAlign w:val="bottom"/>
            <w:shd w:val="clear" w:color="auto" w:fill="CCEBF8"/>
          </w:tcPr>
          <w:p>
            <w:pPr>
              <w:spacing w:after="0"/>
              <w:rPr>
                <w:sz w:val="7"/>
                <w:szCs w:val="7"/>
                <w:color w:val="auto"/>
              </w:rPr>
            </w:pPr>
          </w:p>
        </w:tc>
        <w:tc>
          <w:tcPr>
            <w:tcW w:w="460" w:type="dxa"/>
            <w:vAlign w:val="bottom"/>
            <w:shd w:val="clear" w:color="auto" w:fill="CCEBF8"/>
          </w:tcPr>
          <w:p>
            <w:pPr>
              <w:spacing w:after="0"/>
              <w:rPr>
                <w:sz w:val="7"/>
                <w:szCs w:val="7"/>
                <w:color w:val="auto"/>
              </w:rPr>
            </w:pPr>
          </w:p>
        </w:tc>
        <w:tc>
          <w:tcPr>
            <w:tcW w:w="100" w:type="dxa"/>
            <w:vAlign w:val="bottom"/>
            <w:shd w:val="clear" w:color="auto" w:fill="CCEBF8"/>
          </w:tcPr>
          <w:p>
            <w:pPr>
              <w:spacing w:after="0"/>
              <w:rPr>
                <w:sz w:val="7"/>
                <w:szCs w:val="7"/>
                <w:color w:val="auto"/>
              </w:rPr>
            </w:pPr>
          </w:p>
        </w:tc>
        <w:tc>
          <w:tcPr>
            <w:tcW w:w="40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460" w:type="dxa"/>
            <w:vAlign w:val="bottom"/>
            <w:shd w:val="clear" w:color="auto" w:fill="CCEBF8"/>
          </w:tcPr>
          <w:p>
            <w:pPr>
              <w:spacing w:after="0"/>
              <w:rPr>
                <w:sz w:val="7"/>
                <w:szCs w:val="7"/>
                <w:color w:val="auto"/>
              </w:rPr>
            </w:pPr>
          </w:p>
        </w:tc>
        <w:tc>
          <w:tcPr>
            <w:tcW w:w="700" w:type="dxa"/>
            <w:vAlign w:val="bottom"/>
            <w:gridSpan w:val="2"/>
            <w:shd w:val="clear" w:color="auto" w:fill="CCEBF8"/>
          </w:tcPr>
          <w:p>
            <w:pPr>
              <w:ind w:left="60"/>
              <w:spacing w:after="0" w:line="90" w:lineRule="exact"/>
              <w:rPr>
                <w:sz w:val="20"/>
                <w:szCs w:val="20"/>
                <w:color w:val="auto"/>
              </w:rPr>
            </w:pPr>
            <w:r>
              <w:rPr>
                <w:rFonts w:ascii="Arial" w:cs="Arial" w:eastAsia="Arial" w:hAnsi="Arial"/>
                <w:sz w:val="8"/>
                <w:szCs w:val="8"/>
                <w:b w:val="1"/>
                <w:bCs w:val="1"/>
                <w:color w:val="009BDE"/>
              </w:rPr>
              <w:t>Pension Value</w:t>
            </w:r>
          </w:p>
        </w:tc>
        <w:tc>
          <w:tcPr>
            <w:tcW w:w="160" w:type="dxa"/>
            <w:vAlign w:val="bottom"/>
            <w:shd w:val="clear" w:color="auto" w:fill="CCEBF8"/>
          </w:tcPr>
          <w:p>
            <w:pPr>
              <w:spacing w:after="0"/>
              <w:rPr>
                <w:sz w:val="7"/>
                <w:szCs w:val="7"/>
                <w:color w:val="auto"/>
              </w:rPr>
            </w:pPr>
          </w:p>
        </w:tc>
        <w:tc>
          <w:tcPr>
            <w:tcW w:w="440" w:type="dxa"/>
            <w:vAlign w:val="bottom"/>
            <w:shd w:val="clear" w:color="auto" w:fill="CCEBF8"/>
          </w:tcPr>
          <w:p>
            <w:pPr>
              <w:spacing w:after="0"/>
              <w:rPr>
                <w:sz w:val="7"/>
                <w:szCs w:val="7"/>
                <w:color w:val="auto"/>
              </w:rPr>
            </w:pPr>
          </w:p>
        </w:tc>
        <w:tc>
          <w:tcPr>
            <w:tcW w:w="80" w:type="dxa"/>
            <w:vAlign w:val="bottom"/>
            <w:shd w:val="clear" w:color="auto" w:fill="CCEBF8"/>
          </w:tcPr>
          <w:p>
            <w:pPr>
              <w:spacing w:after="0"/>
              <w:rPr>
                <w:sz w:val="7"/>
                <w:szCs w:val="7"/>
                <w:color w:val="auto"/>
              </w:rPr>
            </w:pPr>
          </w:p>
        </w:tc>
        <w:tc>
          <w:tcPr>
            <w:tcW w:w="460" w:type="dxa"/>
            <w:vAlign w:val="bottom"/>
            <w:shd w:val="clear" w:color="auto" w:fill="CCEBF8"/>
          </w:tcPr>
          <w:p>
            <w:pPr>
              <w:spacing w:after="0"/>
              <w:rPr>
                <w:sz w:val="7"/>
                <w:szCs w:val="7"/>
                <w:color w:val="auto"/>
              </w:rPr>
            </w:pPr>
          </w:p>
        </w:tc>
      </w:tr>
      <w:tr>
        <w:trPr>
          <w:trHeight w:val="90"/>
        </w:trPr>
        <w:tc>
          <w:tcPr>
            <w:tcW w:w="2560" w:type="dxa"/>
            <w:vAlign w:val="bottom"/>
            <w:shd w:val="clear" w:color="auto" w:fill="CCEBF8"/>
          </w:tcPr>
          <w:p>
            <w:pPr>
              <w:spacing w:after="0"/>
              <w:rPr>
                <w:sz w:val="7"/>
                <w:szCs w:val="7"/>
                <w:color w:val="auto"/>
              </w:rPr>
            </w:pPr>
          </w:p>
        </w:tc>
        <w:tc>
          <w:tcPr>
            <w:tcW w:w="280" w:type="dxa"/>
            <w:vAlign w:val="bottom"/>
            <w:shd w:val="clear" w:color="auto" w:fill="CCEBF8"/>
          </w:tcPr>
          <w:p>
            <w:pPr>
              <w:spacing w:after="0"/>
              <w:rPr>
                <w:sz w:val="7"/>
                <w:szCs w:val="7"/>
                <w:color w:val="auto"/>
              </w:rPr>
            </w:pPr>
          </w:p>
        </w:tc>
        <w:tc>
          <w:tcPr>
            <w:tcW w:w="80" w:type="dxa"/>
            <w:vAlign w:val="bottom"/>
            <w:shd w:val="clear" w:color="auto" w:fill="CCEBF8"/>
          </w:tcPr>
          <w:p>
            <w:pPr>
              <w:spacing w:after="0"/>
              <w:rPr>
                <w:sz w:val="7"/>
                <w:szCs w:val="7"/>
                <w:color w:val="auto"/>
              </w:rPr>
            </w:pPr>
          </w:p>
        </w:tc>
        <w:tc>
          <w:tcPr>
            <w:tcW w:w="420" w:type="dxa"/>
            <w:vAlign w:val="bottom"/>
            <w:shd w:val="clear" w:color="auto" w:fill="CCEBF8"/>
          </w:tcPr>
          <w:p>
            <w:pPr>
              <w:spacing w:after="0"/>
              <w:rPr>
                <w:sz w:val="7"/>
                <w:szCs w:val="7"/>
                <w:color w:val="auto"/>
              </w:rPr>
            </w:pPr>
          </w:p>
        </w:tc>
        <w:tc>
          <w:tcPr>
            <w:tcW w:w="80" w:type="dxa"/>
            <w:vAlign w:val="bottom"/>
            <w:shd w:val="clear" w:color="auto" w:fill="CCEBF8"/>
          </w:tcPr>
          <w:p>
            <w:pPr>
              <w:spacing w:after="0"/>
              <w:rPr>
                <w:sz w:val="7"/>
                <w:szCs w:val="7"/>
                <w:color w:val="auto"/>
              </w:rPr>
            </w:pPr>
          </w:p>
        </w:tc>
        <w:tc>
          <w:tcPr>
            <w:tcW w:w="420" w:type="dxa"/>
            <w:vAlign w:val="bottom"/>
            <w:shd w:val="clear" w:color="auto" w:fill="CCEBF8"/>
          </w:tcPr>
          <w:p>
            <w:pPr>
              <w:spacing w:after="0"/>
              <w:rPr>
                <w:sz w:val="7"/>
                <w:szCs w:val="7"/>
                <w:color w:val="auto"/>
              </w:rPr>
            </w:pPr>
          </w:p>
        </w:tc>
        <w:tc>
          <w:tcPr>
            <w:tcW w:w="100" w:type="dxa"/>
            <w:vAlign w:val="bottom"/>
            <w:shd w:val="clear" w:color="auto" w:fill="CCEBF8"/>
          </w:tcPr>
          <w:p>
            <w:pPr>
              <w:spacing w:after="0"/>
              <w:rPr>
                <w:sz w:val="7"/>
                <w:szCs w:val="7"/>
                <w:color w:val="auto"/>
              </w:rPr>
            </w:pPr>
          </w:p>
        </w:tc>
        <w:tc>
          <w:tcPr>
            <w:tcW w:w="460" w:type="dxa"/>
            <w:vAlign w:val="bottom"/>
            <w:shd w:val="clear" w:color="auto" w:fill="CCEBF8"/>
          </w:tcPr>
          <w:p>
            <w:pPr>
              <w:spacing w:after="0"/>
              <w:rPr>
                <w:sz w:val="7"/>
                <w:szCs w:val="7"/>
                <w:color w:val="auto"/>
              </w:rPr>
            </w:pPr>
          </w:p>
        </w:tc>
        <w:tc>
          <w:tcPr>
            <w:tcW w:w="100" w:type="dxa"/>
            <w:vAlign w:val="bottom"/>
            <w:shd w:val="clear" w:color="auto" w:fill="CCEBF8"/>
          </w:tcPr>
          <w:p>
            <w:pPr>
              <w:spacing w:after="0"/>
              <w:rPr>
                <w:sz w:val="7"/>
                <w:szCs w:val="7"/>
                <w:color w:val="auto"/>
              </w:rPr>
            </w:pPr>
          </w:p>
        </w:tc>
        <w:tc>
          <w:tcPr>
            <w:tcW w:w="400" w:type="dxa"/>
            <w:vAlign w:val="bottom"/>
            <w:shd w:val="clear" w:color="auto" w:fill="CCEBF8"/>
          </w:tcPr>
          <w:p>
            <w:pPr>
              <w:spacing w:after="0"/>
              <w:rPr>
                <w:sz w:val="7"/>
                <w:szCs w:val="7"/>
                <w:color w:val="auto"/>
              </w:rPr>
            </w:pPr>
          </w:p>
        </w:tc>
        <w:tc>
          <w:tcPr>
            <w:tcW w:w="600" w:type="dxa"/>
            <w:vAlign w:val="bottom"/>
            <w:gridSpan w:val="2"/>
            <w:shd w:val="clear" w:color="auto" w:fill="CCEBF8"/>
          </w:tcPr>
          <w:p>
            <w:pPr>
              <w:ind w:left="80"/>
              <w:spacing w:after="0" w:line="90" w:lineRule="exact"/>
              <w:rPr>
                <w:sz w:val="20"/>
                <w:szCs w:val="20"/>
                <w:color w:val="auto"/>
              </w:rPr>
            </w:pPr>
            <w:r>
              <w:rPr>
                <w:rFonts w:ascii="Arial" w:cs="Arial" w:eastAsia="Arial" w:hAnsi="Arial"/>
                <w:sz w:val="8"/>
                <w:szCs w:val="8"/>
                <w:b w:val="1"/>
                <w:bCs w:val="1"/>
                <w:color w:val="009BDE"/>
              </w:rPr>
              <w:t>Non-Equity</w:t>
            </w:r>
          </w:p>
        </w:tc>
        <w:tc>
          <w:tcPr>
            <w:tcW w:w="140" w:type="dxa"/>
            <w:vAlign w:val="bottom"/>
            <w:shd w:val="clear" w:color="auto" w:fill="CCEBF8"/>
          </w:tcPr>
          <w:p>
            <w:pPr>
              <w:spacing w:after="0"/>
              <w:rPr>
                <w:sz w:val="7"/>
                <w:szCs w:val="7"/>
                <w:color w:val="auto"/>
              </w:rPr>
            </w:pPr>
          </w:p>
        </w:tc>
        <w:tc>
          <w:tcPr>
            <w:tcW w:w="560" w:type="dxa"/>
            <w:vAlign w:val="bottom"/>
            <w:shd w:val="clear" w:color="auto" w:fill="CCEBF8"/>
          </w:tcPr>
          <w:p>
            <w:pPr>
              <w:jc w:val="center"/>
              <w:ind w:right="98"/>
              <w:spacing w:after="0" w:line="90" w:lineRule="exact"/>
              <w:rPr>
                <w:sz w:val="20"/>
                <w:szCs w:val="20"/>
                <w:color w:val="auto"/>
              </w:rPr>
            </w:pPr>
            <w:r>
              <w:rPr>
                <w:rFonts w:ascii="Arial" w:cs="Arial" w:eastAsia="Arial" w:hAnsi="Arial"/>
                <w:sz w:val="8"/>
                <w:szCs w:val="8"/>
                <w:b w:val="1"/>
                <w:bCs w:val="1"/>
                <w:color w:val="009BDE"/>
                <w:w w:val="98"/>
              </w:rPr>
              <w:t>and</w:t>
            </w:r>
          </w:p>
        </w:tc>
        <w:tc>
          <w:tcPr>
            <w:tcW w:w="160" w:type="dxa"/>
            <w:vAlign w:val="bottom"/>
            <w:shd w:val="clear" w:color="auto" w:fill="CCEBF8"/>
          </w:tcPr>
          <w:p>
            <w:pPr>
              <w:spacing w:after="0"/>
              <w:rPr>
                <w:sz w:val="7"/>
                <w:szCs w:val="7"/>
                <w:color w:val="auto"/>
              </w:rPr>
            </w:pPr>
          </w:p>
        </w:tc>
        <w:tc>
          <w:tcPr>
            <w:tcW w:w="440" w:type="dxa"/>
            <w:vAlign w:val="bottom"/>
            <w:shd w:val="clear" w:color="auto" w:fill="CCEBF8"/>
          </w:tcPr>
          <w:p>
            <w:pPr>
              <w:spacing w:after="0"/>
              <w:rPr>
                <w:sz w:val="7"/>
                <w:szCs w:val="7"/>
                <w:color w:val="auto"/>
              </w:rPr>
            </w:pPr>
          </w:p>
        </w:tc>
        <w:tc>
          <w:tcPr>
            <w:tcW w:w="80" w:type="dxa"/>
            <w:vAlign w:val="bottom"/>
            <w:shd w:val="clear" w:color="auto" w:fill="CCEBF8"/>
          </w:tcPr>
          <w:p>
            <w:pPr>
              <w:spacing w:after="0"/>
              <w:rPr>
                <w:sz w:val="7"/>
                <w:szCs w:val="7"/>
                <w:color w:val="auto"/>
              </w:rPr>
            </w:pPr>
          </w:p>
        </w:tc>
        <w:tc>
          <w:tcPr>
            <w:tcW w:w="460" w:type="dxa"/>
            <w:vAlign w:val="bottom"/>
            <w:shd w:val="clear" w:color="auto" w:fill="CCEBF8"/>
          </w:tcPr>
          <w:p>
            <w:pPr>
              <w:spacing w:after="0"/>
              <w:rPr>
                <w:sz w:val="7"/>
                <w:szCs w:val="7"/>
                <w:color w:val="auto"/>
              </w:rPr>
            </w:pPr>
          </w:p>
        </w:tc>
      </w:tr>
      <w:tr>
        <w:trPr>
          <w:trHeight w:val="90"/>
        </w:trPr>
        <w:tc>
          <w:tcPr>
            <w:tcW w:w="2560" w:type="dxa"/>
            <w:vAlign w:val="bottom"/>
            <w:shd w:val="clear" w:color="auto" w:fill="CCEBF8"/>
          </w:tcPr>
          <w:p>
            <w:pPr>
              <w:spacing w:after="0"/>
              <w:rPr>
                <w:sz w:val="7"/>
                <w:szCs w:val="7"/>
                <w:color w:val="auto"/>
              </w:rPr>
            </w:pPr>
          </w:p>
        </w:tc>
        <w:tc>
          <w:tcPr>
            <w:tcW w:w="280" w:type="dxa"/>
            <w:vAlign w:val="bottom"/>
            <w:shd w:val="clear" w:color="auto" w:fill="CCEBF8"/>
          </w:tcPr>
          <w:p>
            <w:pPr>
              <w:spacing w:after="0"/>
              <w:rPr>
                <w:sz w:val="7"/>
                <w:szCs w:val="7"/>
                <w:color w:val="auto"/>
              </w:rPr>
            </w:pPr>
          </w:p>
        </w:tc>
        <w:tc>
          <w:tcPr>
            <w:tcW w:w="80" w:type="dxa"/>
            <w:vAlign w:val="bottom"/>
            <w:shd w:val="clear" w:color="auto" w:fill="CCEBF8"/>
          </w:tcPr>
          <w:p>
            <w:pPr>
              <w:spacing w:after="0"/>
              <w:rPr>
                <w:sz w:val="7"/>
                <w:szCs w:val="7"/>
                <w:color w:val="auto"/>
              </w:rPr>
            </w:pPr>
          </w:p>
        </w:tc>
        <w:tc>
          <w:tcPr>
            <w:tcW w:w="420" w:type="dxa"/>
            <w:vAlign w:val="bottom"/>
            <w:shd w:val="clear" w:color="auto" w:fill="CCEBF8"/>
          </w:tcPr>
          <w:p>
            <w:pPr>
              <w:spacing w:after="0"/>
              <w:rPr>
                <w:sz w:val="7"/>
                <w:szCs w:val="7"/>
                <w:color w:val="auto"/>
              </w:rPr>
            </w:pPr>
          </w:p>
        </w:tc>
        <w:tc>
          <w:tcPr>
            <w:tcW w:w="80" w:type="dxa"/>
            <w:vAlign w:val="bottom"/>
            <w:shd w:val="clear" w:color="auto" w:fill="CCEBF8"/>
          </w:tcPr>
          <w:p>
            <w:pPr>
              <w:spacing w:after="0"/>
              <w:rPr>
                <w:sz w:val="7"/>
                <w:szCs w:val="7"/>
                <w:color w:val="auto"/>
              </w:rPr>
            </w:pPr>
          </w:p>
        </w:tc>
        <w:tc>
          <w:tcPr>
            <w:tcW w:w="420" w:type="dxa"/>
            <w:vAlign w:val="bottom"/>
            <w:shd w:val="clear" w:color="auto" w:fill="CCEBF8"/>
          </w:tcPr>
          <w:p>
            <w:pPr>
              <w:spacing w:after="0"/>
              <w:rPr>
                <w:sz w:val="7"/>
                <w:szCs w:val="7"/>
                <w:color w:val="auto"/>
              </w:rPr>
            </w:pPr>
          </w:p>
        </w:tc>
        <w:tc>
          <w:tcPr>
            <w:tcW w:w="100" w:type="dxa"/>
            <w:vAlign w:val="bottom"/>
            <w:shd w:val="clear" w:color="auto" w:fill="CCEBF8"/>
          </w:tcPr>
          <w:p>
            <w:pPr>
              <w:spacing w:after="0"/>
              <w:rPr>
                <w:sz w:val="7"/>
                <w:szCs w:val="7"/>
                <w:color w:val="auto"/>
              </w:rPr>
            </w:pPr>
          </w:p>
        </w:tc>
        <w:tc>
          <w:tcPr>
            <w:tcW w:w="460" w:type="dxa"/>
            <w:vAlign w:val="bottom"/>
            <w:shd w:val="clear" w:color="auto" w:fill="CCEBF8"/>
          </w:tcPr>
          <w:p>
            <w:pPr>
              <w:spacing w:after="0"/>
              <w:rPr>
                <w:sz w:val="7"/>
                <w:szCs w:val="7"/>
                <w:color w:val="auto"/>
              </w:rPr>
            </w:pPr>
          </w:p>
        </w:tc>
        <w:tc>
          <w:tcPr>
            <w:tcW w:w="100" w:type="dxa"/>
            <w:vAlign w:val="bottom"/>
            <w:shd w:val="clear" w:color="auto" w:fill="CCEBF8"/>
          </w:tcPr>
          <w:p>
            <w:pPr>
              <w:spacing w:after="0"/>
              <w:rPr>
                <w:sz w:val="7"/>
                <w:szCs w:val="7"/>
                <w:color w:val="auto"/>
              </w:rPr>
            </w:pPr>
          </w:p>
        </w:tc>
        <w:tc>
          <w:tcPr>
            <w:tcW w:w="400" w:type="dxa"/>
            <w:vAlign w:val="bottom"/>
            <w:shd w:val="clear" w:color="auto" w:fill="CCEBF8"/>
          </w:tcPr>
          <w:p>
            <w:pPr>
              <w:spacing w:after="0"/>
              <w:rPr>
                <w:sz w:val="7"/>
                <w:szCs w:val="7"/>
                <w:color w:val="auto"/>
              </w:rPr>
            </w:pPr>
          </w:p>
        </w:tc>
        <w:tc>
          <w:tcPr>
            <w:tcW w:w="6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Incentive Plan</w:t>
            </w:r>
          </w:p>
        </w:tc>
        <w:tc>
          <w:tcPr>
            <w:tcW w:w="700" w:type="dxa"/>
            <w:vAlign w:val="bottom"/>
            <w:gridSpan w:val="2"/>
            <w:shd w:val="clear" w:color="auto" w:fill="CCEBF8"/>
          </w:tcPr>
          <w:p>
            <w:pPr>
              <w:ind w:left="80"/>
              <w:spacing w:after="0" w:line="90" w:lineRule="exact"/>
              <w:rPr>
                <w:sz w:val="20"/>
                <w:szCs w:val="20"/>
                <w:color w:val="auto"/>
              </w:rPr>
            </w:pPr>
            <w:r>
              <w:rPr>
                <w:rFonts w:ascii="Arial" w:cs="Arial" w:eastAsia="Arial" w:hAnsi="Arial"/>
                <w:sz w:val="8"/>
                <w:szCs w:val="8"/>
                <w:b w:val="1"/>
                <w:bCs w:val="1"/>
                <w:color w:val="009BDE"/>
              </w:rPr>
              <w:t>Non-Qualified</w:t>
            </w:r>
          </w:p>
        </w:tc>
        <w:tc>
          <w:tcPr>
            <w:tcW w:w="6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All Other</w:t>
            </w:r>
          </w:p>
        </w:tc>
        <w:tc>
          <w:tcPr>
            <w:tcW w:w="80" w:type="dxa"/>
            <w:vAlign w:val="bottom"/>
            <w:shd w:val="clear" w:color="auto" w:fill="CCEBF8"/>
          </w:tcPr>
          <w:p>
            <w:pPr>
              <w:spacing w:after="0"/>
              <w:rPr>
                <w:sz w:val="7"/>
                <w:szCs w:val="7"/>
                <w:color w:val="auto"/>
              </w:rPr>
            </w:pPr>
          </w:p>
        </w:tc>
        <w:tc>
          <w:tcPr>
            <w:tcW w:w="460" w:type="dxa"/>
            <w:vAlign w:val="bottom"/>
            <w:shd w:val="clear" w:color="auto" w:fill="CCEBF8"/>
          </w:tcPr>
          <w:p>
            <w:pPr>
              <w:spacing w:after="0"/>
              <w:rPr>
                <w:sz w:val="7"/>
                <w:szCs w:val="7"/>
                <w:color w:val="auto"/>
              </w:rPr>
            </w:pPr>
          </w:p>
        </w:tc>
      </w:tr>
      <w:tr>
        <w:trPr>
          <w:trHeight w:val="90"/>
        </w:trPr>
        <w:tc>
          <w:tcPr>
            <w:tcW w:w="2560" w:type="dxa"/>
            <w:vAlign w:val="bottom"/>
            <w:shd w:val="clear" w:color="auto" w:fill="CCEBF8"/>
          </w:tcPr>
          <w:p>
            <w:pPr>
              <w:ind w:left="40"/>
              <w:spacing w:after="0" w:line="90" w:lineRule="exact"/>
              <w:rPr>
                <w:sz w:val="20"/>
                <w:szCs w:val="20"/>
                <w:color w:val="auto"/>
              </w:rPr>
            </w:pPr>
            <w:r>
              <w:rPr>
                <w:rFonts w:ascii="Arial" w:cs="Arial" w:eastAsia="Arial" w:hAnsi="Arial"/>
                <w:sz w:val="8"/>
                <w:szCs w:val="8"/>
                <w:b w:val="1"/>
                <w:bCs w:val="1"/>
                <w:color w:val="009BDE"/>
              </w:rPr>
              <w:t>Name and Principal</w:t>
            </w:r>
          </w:p>
        </w:tc>
        <w:tc>
          <w:tcPr>
            <w:tcW w:w="28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Fiscal</w:t>
            </w:r>
          </w:p>
        </w:tc>
        <w:tc>
          <w:tcPr>
            <w:tcW w:w="80" w:type="dxa"/>
            <w:vAlign w:val="bottom"/>
            <w:shd w:val="clear" w:color="auto" w:fill="CCEBF8"/>
          </w:tcPr>
          <w:p>
            <w:pPr>
              <w:spacing w:after="0"/>
              <w:rPr>
                <w:sz w:val="7"/>
                <w:szCs w:val="7"/>
                <w:color w:val="auto"/>
              </w:rPr>
            </w:pPr>
          </w:p>
        </w:tc>
        <w:tc>
          <w:tcPr>
            <w:tcW w:w="420" w:type="dxa"/>
            <w:vAlign w:val="bottom"/>
            <w:shd w:val="clear" w:color="auto" w:fill="CCEBF8"/>
          </w:tcPr>
          <w:p>
            <w:pPr>
              <w:spacing w:after="0"/>
              <w:rPr>
                <w:sz w:val="7"/>
                <w:szCs w:val="7"/>
                <w:color w:val="auto"/>
              </w:rPr>
            </w:pPr>
          </w:p>
        </w:tc>
        <w:tc>
          <w:tcPr>
            <w:tcW w:w="80" w:type="dxa"/>
            <w:vAlign w:val="bottom"/>
            <w:shd w:val="clear" w:color="auto" w:fill="CCEBF8"/>
          </w:tcPr>
          <w:p>
            <w:pPr>
              <w:spacing w:after="0"/>
              <w:rPr>
                <w:sz w:val="7"/>
                <w:szCs w:val="7"/>
                <w:color w:val="auto"/>
              </w:rPr>
            </w:pPr>
          </w:p>
        </w:tc>
        <w:tc>
          <w:tcPr>
            <w:tcW w:w="420" w:type="dxa"/>
            <w:vAlign w:val="bottom"/>
            <w:shd w:val="clear" w:color="auto" w:fill="CCEBF8"/>
          </w:tcPr>
          <w:p>
            <w:pPr>
              <w:spacing w:after="0"/>
              <w:rPr>
                <w:sz w:val="7"/>
                <w:szCs w:val="7"/>
                <w:color w:val="auto"/>
              </w:rPr>
            </w:pPr>
          </w:p>
        </w:tc>
        <w:tc>
          <w:tcPr>
            <w:tcW w:w="100" w:type="dxa"/>
            <w:vAlign w:val="bottom"/>
            <w:shd w:val="clear" w:color="auto" w:fill="CCEBF8"/>
          </w:tcPr>
          <w:p>
            <w:pPr>
              <w:spacing w:after="0"/>
              <w:rPr>
                <w:sz w:val="7"/>
                <w:szCs w:val="7"/>
                <w:color w:val="auto"/>
              </w:rPr>
            </w:pPr>
          </w:p>
        </w:tc>
        <w:tc>
          <w:tcPr>
            <w:tcW w:w="460" w:type="dxa"/>
            <w:vAlign w:val="bottom"/>
            <w:shd w:val="clear" w:color="auto" w:fill="CCEBF8"/>
          </w:tcPr>
          <w:p>
            <w:pPr>
              <w:jc w:val="right"/>
              <w:ind w:right="118"/>
              <w:spacing w:after="0" w:line="90" w:lineRule="exact"/>
              <w:rPr>
                <w:sz w:val="20"/>
                <w:szCs w:val="20"/>
                <w:color w:val="auto"/>
              </w:rPr>
            </w:pPr>
            <w:r>
              <w:rPr>
                <w:rFonts w:ascii="Arial" w:cs="Arial" w:eastAsia="Arial" w:hAnsi="Arial"/>
                <w:sz w:val="8"/>
                <w:szCs w:val="8"/>
                <w:b w:val="1"/>
                <w:bCs w:val="1"/>
                <w:color w:val="009BDE"/>
              </w:rPr>
              <w:t>Stock</w:t>
            </w:r>
          </w:p>
        </w:tc>
        <w:tc>
          <w:tcPr>
            <w:tcW w:w="100" w:type="dxa"/>
            <w:vAlign w:val="bottom"/>
            <w:shd w:val="clear" w:color="auto" w:fill="CCEBF8"/>
          </w:tcPr>
          <w:p>
            <w:pPr>
              <w:spacing w:after="0"/>
              <w:rPr>
                <w:sz w:val="7"/>
                <w:szCs w:val="7"/>
                <w:color w:val="auto"/>
              </w:rPr>
            </w:pPr>
          </w:p>
        </w:tc>
        <w:tc>
          <w:tcPr>
            <w:tcW w:w="400" w:type="dxa"/>
            <w:vAlign w:val="bottom"/>
            <w:shd w:val="clear" w:color="auto" w:fill="CCEBF8"/>
          </w:tcPr>
          <w:p>
            <w:pPr>
              <w:jc w:val="right"/>
              <w:ind w:right="58"/>
              <w:spacing w:after="0" w:line="90" w:lineRule="exact"/>
              <w:rPr>
                <w:sz w:val="20"/>
                <w:szCs w:val="20"/>
                <w:color w:val="auto"/>
              </w:rPr>
            </w:pPr>
            <w:r>
              <w:rPr>
                <w:rFonts w:ascii="Arial" w:cs="Arial" w:eastAsia="Arial" w:hAnsi="Arial"/>
                <w:sz w:val="8"/>
                <w:szCs w:val="8"/>
                <w:b w:val="1"/>
                <w:bCs w:val="1"/>
                <w:color w:val="009BDE"/>
              </w:rPr>
              <w:t>Option</w:t>
            </w:r>
          </w:p>
        </w:tc>
        <w:tc>
          <w:tcPr>
            <w:tcW w:w="6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Compensation</w:t>
            </w:r>
          </w:p>
        </w:tc>
        <w:tc>
          <w:tcPr>
            <w:tcW w:w="140" w:type="dxa"/>
            <w:vAlign w:val="bottom"/>
            <w:shd w:val="clear" w:color="auto" w:fill="CCEBF8"/>
          </w:tcPr>
          <w:p>
            <w:pPr>
              <w:spacing w:after="0"/>
              <w:rPr>
                <w:sz w:val="7"/>
                <w:szCs w:val="7"/>
                <w:color w:val="auto"/>
              </w:rPr>
            </w:pPr>
          </w:p>
        </w:tc>
        <w:tc>
          <w:tcPr>
            <w:tcW w:w="560" w:type="dxa"/>
            <w:vAlign w:val="bottom"/>
            <w:shd w:val="clear" w:color="auto" w:fill="CCEBF8"/>
          </w:tcPr>
          <w:p>
            <w:pPr>
              <w:jc w:val="center"/>
              <w:ind w:right="98"/>
              <w:spacing w:after="0" w:line="90" w:lineRule="exact"/>
              <w:rPr>
                <w:sz w:val="20"/>
                <w:szCs w:val="20"/>
                <w:color w:val="auto"/>
              </w:rPr>
            </w:pPr>
            <w:r>
              <w:rPr>
                <w:rFonts w:ascii="Arial" w:cs="Arial" w:eastAsia="Arial" w:hAnsi="Arial"/>
                <w:sz w:val="8"/>
                <w:szCs w:val="8"/>
                <w:b w:val="1"/>
                <w:bCs w:val="1"/>
                <w:color w:val="009BDE"/>
              </w:rPr>
              <w:t>Deferred</w:t>
            </w:r>
          </w:p>
        </w:tc>
        <w:tc>
          <w:tcPr>
            <w:tcW w:w="6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Compensation</w:t>
            </w:r>
          </w:p>
        </w:tc>
        <w:tc>
          <w:tcPr>
            <w:tcW w:w="80" w:type="dxa"/>
            <w:vAlign w:val="bottom"/>
            <w:shd w:val="clear" w:color="auto" w:fill="CCEBF8"/>
          </w:tcPr>
          <w:p>
            <w:pPr>
              <w:spacing w:after="0"/>
              <w:rPr>
                <w:sz w:val="7"/>
                <w:szCs w:val="7"/>
                <w:color w:val="auto"/>
              </w:rPr>
            </w:pPr>
          </w:p>
        </w:tc>
        <w:tc>
          <w:tcPr>
            <w:tcW w:w="460" w:type="dxa"/>
            <w:vAlign w:val="bottom"/>
            <w:shd w:val="clear" w:color="auto" w:fill="CCEBF8"/>
          </w:tcPr>
          <w:p>
            <w:pPr>
              <w:spacing w:after="0"/>
              <w:rPr>
                <w:sz w:val="7"/>
                <w:szCs w:val="7"/>
                <w:color w:val="auto"/>
              </w:rPr>
            </w:pPr>
          </w:p>
        </w:tc>
      </w:tr>
      <w:tr>
        <w:trPr>
          <w:trHeight w:val="154"/>
        </w:trPr>
        <w:tc>
          <w:tcPr>
            <w:tcW w:w="2560" w:type="dxa"/>
            <w:vAlign w:val="bottom"/>
            <w:tcBorders>
              <w:bottom w:val="single" w:sz="8" w:color="CCEBF8"/>
            </w:tcBorders>
            <w:shd w:val="clear" w:color="auto" w:fill="CCEBF8"/>
          </w:tcPr>
          <w:p>
            <w:pPr>
              <w:ind w:left="40"/>
              <w:spacing w:after="0"/>
              <w:rPr>
                <w:sz w:val="20"/>
                <w:szCs w:val="20"/>
                <w:color w:val="auto"/>
              </w:rPr>
            </w:pPr>
            <w:r>
              <w:rPr>
                <w:rFonts w:ascii="Arial" w:cs="Arial" w:eastAsia="Arial" w:hAnsi="Arial"/>
                <w:sz w:val="8"/>
                <w:szCs w:val="8"/>
                <w:b w:val="1"/>
                <w:bCs w:val="1"/>
                <w:color w:val="009BDE"/>
              </w:rPr>
              <w:t>Position</w:t>
            </w:r>
          </w:p>
        </w:tc>
        <w:tc>
          <w:tcPr>
            <w:tcW w:w="280" w:type="dxa"/>
            <w:vAlign w:val="bottom"/>
            <w:tcBorders>
              <w:bottom w:val="single" w:sz="8" w:color="CCEBF8"/>
            </w:tcBorders>
            <w:shd w:val="clear" w:color="auto" w:fill="CCEBF8"/>
          </w:tcPr>
          <w:p>
            <w:pPr>
              <w:jc w:val="center"/>
              <w:spacing w:after="0"/>
              <w:rPr>
                <w:sz w:val="20"/>
                <w:szCs w:val="20"/>
                <w:color w:val="auto"/>
              </w:rPr>
            </w:pPr>
            <w:r>
              <w:rPr>
                <w:rFonts w:ascii="Arial" w:cs="Arial" w:eastAsia="Arial" w:hAnsi="Arial"/>
                <w:sz w:val="8"/>
                <w:szCs w:val="8"/>
                <w:b w:val="1"/>
                <w:bCs w:val="1"/>
                <w:color w:val="009BDE"/>
              </w:rPr>
              <w:t>Year</w:t>
            </w:r>
          </w:p>
        </w:tc>
        <w:tc>
          <w:tcPr>
            <w:tcW w:w="500" w:type="dxa"/>
            <w:vAlign w:val="bottom"/>
            <w:tcBorders>
              <w:bottom w:val="single" w:sz="8" w:color="CCEBF8"/>
            </w:tcBorders>
            <w:gridSpan w:val="2"/>
            <w:shd w:val="clear" w:color="auto" w:fill="CCEBF8"/>
          </w:tcPr>
          <w:p>
            <w:pPr>
              <w:jc w:val="right"/>
              <w:ind w:right="38"/>
              <w:spacing w:after="0"/>
              <w:rPr>
                <w:sz w:val="20"/>
                <w:szCs w:val="20"/>
                <w:color w:val="auto"/>
              </w:rPr>
            </w:pPr>
            <w:r>
              <w:rPr>
                <w:rFonts w:ascii="Arial" w:cs="Arial" w:eastAsia="Arial" w:hAnsi="Arial"/>
                <w:sz w:val="8"/>
                <w:szCs w:val="8"/>
                <w:b w:val="1"/>
                <w:bCs w:val="1"/>
                <w:color w:val="009BDE"/>
              </w:rPr>
              <w:t>Salary(a)</w:t>
            </w:r>
          </w:p>
        </w:tc>
        <w:tc>
          <w:tcPr>
            <w:tcW w:w="500" w:type="dxa"/>
            <w:vAlign w:val="bottom"/>
            <w:tcBorders>
              <w:bottom w:val="single" w:sz="8" w:color="CCEBF8"/>
            </w:tcBorders>
            <w:gridSpan w:val="2"/>
            <w:shd w:val="clear" w:color="auto" w:fill="CCEBF8"/>
          </w:tcPr>
          <w:p>
            <w:pPr>
              <w:jc w:val="right"/>
              <w:ind w:right="18"/>
              <w:spacing w:after="0"/>
              <w:rPr>
                <w:sz w:val="20"/>
                <w:szCs w:val="20"/>
                <w:color w:val="auto"/>
              </w:rPr>
            </w:pPr>
            <w:r>
              <w:rPr>
                <w:rFonts w:ascii="Arial" w:cs="Arial" w:eastAsia="Arial" w:hAnsi="Arial"/>
                <w:sz w:val="8"/>
                <w:szCs w:val="8"/>
                <w:b w:val="1"/>
                <w:bCs w:val="1"/>
                <w:color w:val="009BDE"/>
              </w:rPr>
              <w:t>Bonus(b)</w:t>
            </w:r>
          </w:p>
        </w:tc>
        <w:tc>
          <w:tcPr>
            <w:tcW w:w="560" w:type="dxa"/>
            <w:vAlign w:val="bottom"/>
            <w:tcBorders>
              <w:bottom w:val="single" w:sz="8" w:color="CCEBF8"/>
            </w:tcBorders>
            <w:gridSpan w:val="2"/>
            <w:shd w:val="clear" w:color="auto" w:fill="CCEBF8"/>
          </w:tcPr>
          <w:p>
            <w:pPr>
              <w:jc w:val="right"/>
              <w:ind w:right="38"/>
              <w:spacing w:after="0"/>
              <w:rPr>
                <w:sz w:val="20"/>
                <w:szCs w:val="20"/>
                <w:color w:val="auto"/>
              </w:rPr>
            </w:pPr>
            <w:r>
              <w:rPr>
                <w:rFonts w:ascii="Arial" w:cs="Arial" w:eastAsia="Arial" w:hAnsi="Arial"/>
                <w:sz w:val="8"/>
                <w:szCs w:val="8"/>
                <w:b w:val="1"/>
                <w:bCs w:val="1"/>
                <w:color w:val="009BDE"/>
              </w:rPr>
              <w:t>Awards(c)</w:t>
            </w:r>
          </w:p>
        </w:tc>
        <w:tc>
          <w:tcPr>
            <w:tcW w:w="500" w:type="dxa"/>
            <w:vAlign w:val="bottom"/>
            <w:tcBorders>
              <w:bottom w:val="single" w:sz="8" w:color="CCEBF8"/>
            </w:tcBorders>
            <w:gridSpan w:val="2"/>
            <w:shd w:val="clear" w:color="auto" w:fill="CCEBF8"/>
          </w:tcPr>
          <w:p>
            <w:pPr>
              <w:ind w:left="60"/>
              <w:spacing w:after="0"/>
              <w:rPr>
                <w:sz w:val="20"/>
                <w:szCs w:val="20"/>
                <w:color w:val="auto"/>
              </w:rPr>
            </w:pPr>
            <w:r>
              <w:rPr>
                <w:rFonts w:ascii="Arial" w:cs="Arial" w:eastAsia="Arial" w:hAnsi="Arial"/>
                <w:sz w:val="8"/>
                <w:szCs w:val="8"/>
                <w:b w:val="1"/>
                <w:bCs w:val="1"/>
                <w:color w:val="009BDE"/>
              </w:rPr>
              <w:t>Awards(c)</w:t>
            </w:r>
          </w:p>
        </w:tc>
        <w:tc>
          <w:tcPr>
            <w:tcW w:w="140" w:type="dxa"/>
            <w:vAlign w:val="bottom"/>
            <w:tcBorders>
              <w:bottom w:val="single" w:sz="8" w:color="CCEBF8"/>
            </w:tcBorders>
            <w:shd w:val="clear" w:color="auto" w:fill="CCEBF8"/>
          </w:tcPr>
          <w:p>
            <w:pPr>
              <w:spacing w:after="0"/>
              <w:rPr>
                <w:sz w:val="12"/>
                <w:szCs w:val="12"/>
                <w:color w:val="auto"/>
              </w:rPr>
            </w:pPr>
          </w:p>
        </w:tc>
        <w:tc>
          <w:tcPr>
            <w:tcW w:w="460" w:type="dxa"/>
            <w:vAlign w:val="bottom"/>
            <w:tcBorders>
              <w:bottom w:val="single" w:sz="8" w:color="CCEBF8"/>
            </w:tcBorders>
            <w:shd w:val="clear" w:color="auto" w:fill="CCEBF8"/>
          </w:tcPr>
          <w:p>
            <w:pPr>
              <w:jc w:val="center"/>
              <w:ind w:right="78"/>
              <w:spacing w:after="0"/>
              <w:rPr>
                <w:sz w:val="20"/>
                <w:szCs w:val="20"/>
                <w:color w:val="auto"/>
              </w:rPr>
            </w:pPr>
            <w:r>
              <w:rPr>
                <w:rFonts w:ascii="Arial" w:cs="Arial" w:eastAsia="Arial" w:hAnsi="Arial"/>
                <w:sz w:val="8"/>
                <w:szCs w:val="8"/>
                <w:b w:val="1"/>
                <w:bCs w:val="1"/>
                <w:color w:val="009BDE"/>
              </w:rPr>
              <w:t>(a)(d)</w:t>
            </w:r>
          </w:p>
        </w:tc>
        <w:tc>
          <w:tcPr>
            <w:tcW w:w="700" w:type="dxa"/>
            <w:vAlign w:val="bottom"/>
            <w:tcBorders>
              <w:bottom w:val="single" w:sz="8" w:color="CCEBF8"/>
            </w:tcBorders>
            <w:gridSpan w:val="2"/>
            <w:shd w:val="clear" w:color="auto" w:fill="CCEBF8"/>
          </w:tcPr>
          <w:p>
            <w:pPr>
              <w:jc w:val="center"/>
              <w:spacing w:after="0"/>
              <w:rPr>
                <w:sz w:val="20"/>
                <w:szCs w:val="20"/>
                <w:color w:val="auto"/>
              </w:rPr>
            </w:pPr>
            <w:r>
              <w:rPr>
                <w:rFonts w:ascii="Arial" w:cs="Arial" w:eastAsia="Arial" w:hAnsi="Arial"/>
                <w:sz w:val="8"/>
                <w:szCs w:val="8"/>
                <w:b w:val="1"/>
                <w:bCs w:val="1"/>
                <w:color w:val="009BDE"/>
              </w:rPr>
              <w:t>Compensation(e)</w:t>
            </w:r>
          </w:p>
        </w:tc>
        <w:tc>
          <w:tcPr>
            <w:tcW w:w="160" w:type="dxa"/>
            <w:vAlign w:val="bottom"/>
            <w:tcBorders>
              <w:bottom w:val="single" w:sz="8" w:color="CCEBF8"/>
            </w:tcBorders>
            <w:shd w:val="clear" w:color="auto" w:fill="CCEBF8"/>
          </w:tcPr>
          <w:p>
            <w:pPr>
              <w:spacing w:after="0"/>
              <w:rPr>
                <w:sz w:val="12"/>
                <w:szCs w:val="12"/>
                <w:color w:val="auto"/>
              </w:rPr>
            </w:pPr>
          </w:p>
        </w:tc>
        <w:tc>
          <w:tcPr>
            <w:tcW w:w="440" w:type="dxa"/>
            <w:vAlign w:val="bottom"/>
            <w:tcBorders>
              <w:bottom w:val="single" w:sz="8" w:color="CCEBF8"/>
            </w:tcBorders>
            <w:shd w:val="clear" w:color="auto" w:fill="CCEBF8"/>
          </w:tcPr>
          <w:p>
            <w:pPr>
              <w:jc w:val="center"/>
              <w:ind w:right="158"/>
              <w:spacing w:after="0"/>
              <w:rPr>
                <w:sz w:val="20"/>
                <w:szCs w:val="20"/>
                <w:color w:val="auto"/>
              </w:rPr>
            </w:pPr>
            <w:r>
              <w:rPr>
                <w:rFonts w:ascii="Arial" w:cs="Arial" w:eastAsia="Arial" w:hAnsi="Arial"/>
                <w:sz w:val="8"/>
                <w:szCs w:val="8"/>
                <w:b w:val="1"/>
                <w:bCs w:val="1"/>
                <w:color w:val="009BDE"/>
                <w:w w:val="99"/>
              </w:rPr>
              <w:t>(f)</w:t>
            </w:r>
          </w:p>
        </w:tc>
        <w:tc>
          <w:tcPr>
            <w:tcW w:w="80" w:type="dxa"/>
            <w:vAlign w:val="bottom"/>
            <w:tcBorders>
              <w:bottom w:val="single" w:sz="8" w:color="CCEBF8"/>
            </w:tcBorders>
            <w:shd w:val="clear" w:color="auto" w:fill="CCEBF8"/>
          </w:tcPr>
          <w:p>
            <w:pPr>
              <w:spacing w:after="0"/>
              <w:rPr>
                <w:sz w:val="12"/>
                <w:szCs w:val="12"/>
                <w:color w:val="auto"/>
              </w:rPr>
            </w:pPr>
          </w:p>
        </w:tc>
        <w:tc>
          <w:tcPr>
            <w:tcW w:w="460" w:type="dxa"/>
            <w:vAlign w:val="bottom"/>
            <w:tcBorders>
              <w:bottom w:val="single" w:sz="8" w:color="CCEBF8"/>
            </w:tcBorders>
            <w:shd w:val="clear" w:color="auto" w:fill="CCEBF8"/>
          </w:tcPr>
          <w:p>
            <w:pPr>
              <w:jc w:val="right"/>
              <w:ind w:right="138"/>
              <w:spacing w:after="0"/>
              <w:rPr>
                <w:sz w:val="20"/>
                <w:szCs w:val="20"/>
                <w:color w:val="auto"/>
              </w:rPr>
            </w:pPr>
            <w:r>
              <w:rPr>
                <w:rFonts w:ascii="Arial" w:cs="Arial" w:eastAsia="Arial" w:hAnsi="Arial"/>
                <w:sz w:val="8"/>
                <w:szCs w:val="8"/>
                <w:b w:val="1"/>
                <w:bCs w:val="1"/>
                <w:color w:val="009BDE"/>
              </w:rPr>
              <w:t>Total</w:t>
            </w:r>
          </w:p>
        </w:tc>
      </w:tr>
      <w:tr>
        <w:trPr>
          <w:trHeight w:val="138"/>
        </w:trPr>
        <w:tc>
          <w:tcPr>
            <w:tcW w:w="2560" w:type="dxa"/>
            <w:vAlign w:val="bottom"/>
            <w:tcBorders>
              <w:top w:val="single" w:sz="8" w:color="009BDE"/>
            </w:tcBorders>
          </w:tcPr>
          <w:p>
            <w:pPr>
              <w:ind w:left="40"/>
              <w:spacing w:after="0"/>
              <w:rPr>
                <w:sz w:val="20"/>
                <w:szCs w:val="20"/>
                <w:color w:val="auto"/>
              </w:rPr>
            </w:pPr>
            <w:r>
              <w:rPr>
                <w:rFonts w:ascii="Arial" w:cs="Arial" w:eastAsia="Arial" w:hAnsi="Arial"/>
                <w:sz w:val="8"/>
                <w:szCs w:val="8"/>
                <w:b w:val="1"/>
                <w:bCs w:val="1"/>
                <w:color w:val="auto"/>
              </w:rPr>
              <w:t>Richard S. Stoddart</w:t>
            </w:r>
          </w:p>
        </w:tc>
        <w:tc>
          <w:tcPr>
            <w:tcW w:w="280" w:type="dxa"/>
            <w:vAlign w:val="bottom"/>
            <w:tcBorders>
              <w:top w:val="single" w:sz="8" w:color="009BDE"/>
            </w:tcBorders>
          </w:tcPr>
          <w:p>
            <w:pPr>
              <w:jc w:val="center"/>
              <w:spacing w:after="0"/>
              <w:rPr>
                <w:sz w:val="20"/>
                <w:szCs w:val="20"/>
                <w:color w:val="auto"/>
              </w:rPr>
            </w:pPr>
            <w:r>
              <w:rPr>
                <w:rFonts w:ascii="Arial" w:cs="Arial" w:eastAsia="Arial" w:hAnsi="Arial"/>
                <w:sz w:val="8"/>
                <w:szCs w:val="8"/>
                <w:color w:val="auto"/>
              </w:rPr>
              <w:t>2022</w:t>
            </w:r>
          </w:p>
        </w:tc>
        <w:tc>
          <w:tcPr>
            <w:tcW w:w="80" w:type="dxa"/>
            <w:vAlign w:val="bottom"/>
            <w:tcBorders>
              <w:top w:val="single" w:sz="8" w:color="009BDE"/>
            </w:tcBorders>
          </w:tcPr>
          <w:p>
            <w:pPr>
              <w:jc w:val="right"/>
              <w:spacing w:after="0"/>
              <w:rPr>
                <w:sz w:val="20"/>
                <w:szCs w:val="20"/>
                <w:color w:val="auto"/>
              </w:rPr>
            </w:pPr>
            <w:r>
              <w:rPr>
                <w:rFonts w:ascii="Arial" w:cs="Arial" w:eastAsia="Arial" w:hAnsi="Arial"/>
                <w:sz w:val="8"/>
                <w:szCs w:val="8"/>
                <w:color w:val="auto"/>
              </w:rPr>
              <w:t>$</w:t>
            </w:r>
          </w:p>
        </w:tc>
        <w:tc>
          <w:tcPr>
            <w:tcW w:w="420" w:type="dxa"/>
            <w:vAlign w:val="bottom"/>
            <w:tcBorders>
              <w:top w:val="single" w:sz="8" w:color="009BDE"/>
            </w:tcBorders>
          </w:tcPr>
          <w:p>
            <w:pPr>
              <w:jc w:val="right"/>
              <w:spacing w:after="0"/>
              <w:rPr>
                <w:sz w:val="20"/>
                <w:szCs w:val="20"/>
                <w:color w:val="auto"/>
              </w:rPr>
            </w:pPr>
            <w:r>
              <w:rPr>
                <w:rFonts w:ascii="Arial" w:cs="Arial" w:eastAsia="Arial" w:hAnsi="Arial"/>
                <w:sz w:val="8"/>
                <w:szCs w:val="8"/>
                <w:color w:val="auto"/>
              </w:rPr>
              <w:t>259,615</w:t>
            </w:r>
          </w:p>
        </w:tc>
        <w:tc>
          <w:tcPr>
            <w:tcW w:w="80" w:type="dxa"/>
            <w:vAlign w:val="bottom"/>
            <w:tcBorders>
              <w:top w:val="single" w:sz="8" w:color="009BDE"/>
            </w:tcBorders>
          </w:tcPr>
          <w:p>
            <w:pPr>
              <w:jc w:val="right"/>
              <w:spacing w:after="0"/>
              <w:rPr>
                <w:sz w:val="20"/>
                <w:szCs w:val="20"/>
                <w:color w:val="auto"/>
              </w:rPr>
            </w:pPr>
            <w:r>
              <w:rPr>
                <w:rFonts w:ascii="Arial" w:cs="Arial" w:eastAsia="Arial" w:hAnsi="Arial"/>
                <w:sz w:val="8"/>
                <w:szCs w:val="8"/>
                <w:color w:val="auto"/>
              </w:rPr>
              <w:t>$</w:t>
            </w:r>
          </w:p>
        </w:tc>
        <w:tc>
          <w:tcPr>
            <w:tcW w:w="420" w:type="dxa"/>
            <w:vAlign w:val="bottom"/>
            <w:tcBorders>
              <w:top w:val="single" w:sz="8" w:color="009BDE"/>
            </w:tcBorders>
          </w:tcPr>
          <w:p>
            <w:pPr>
              <w:jc w:val="right"/>
              <w:spacing w:after="0"/>
              <w:rPr>
                <w:sz w:val="20"/>
                <w:szCs w:val="20"/>
                <w:color w:val="auto"/>
              </w:rPr>
            </w:pPr>
            <w:r>
              <w:rPr>
                <w:rFonts w:ascii="Arial" w:cs="Arial" w:eastAsia="Arial" w:hAnsi="Arial"/>
                <w:sz w:val="8"/>
                <w:szCs w:val="8"/>
                <w:color w:val="auto"/>
              </w:rPr>
              <w:t>0</w:t>
            </w:r>
          </w:p>
        </w:tc>
        <w:tc>
          <w:tcPr>
            <w:tcW w:w="100" w:type="dxa"/>
            <w:vAlign w:val="bottom"/>
            <w:tcBorders>
              <w:top w:val="single" w:sz="8" w:color="009BDE"/>
            </w:tcBorders>
          </w:tcPr>
          <w:p>
            <w:pPr>
              <w:jc w:val="right"/>
              <w:spacing w:after="0"/>
              <w:rPr>
                <w:sz w:val="20"/>
                <w:szCs w:val="20"/>
                <w:color w:val="auto"/>
              </w:rPr>
            </w:pPr>
            <w:r>
              <w:rPr>
                <w:rFonts w:ascii="Arial" w:cs="Arial" w:eastAsia="Arial" w:hAnsi="Arial"/>
                <w:sz w:val="8"/>
                <w:szCs w:val="8"/>
                <w:color w:val="auto"/>
              </w:rPr>
              <w:t>$</w:t>
            </w:r>
          </w:p>
        </w:tc>
        <w:tc>
          <w:tcPr>
            <w:tcW w:w="460" w:type="dxa"/>
            <w:vAlign w:val="bottom"/>
            <w:tcBorders>
              <w:top w:val="single" w:sz="8" w:color="009BDE"/>
            </w:tcBorders>
          </w:tcPr>
          <w:p>
            <w:pPr>
              <w:jc w:val="right"/>
              <w:spacing w:after="0"/>
              <w:rPr>
                <w:sz w:val="20"/>
                <w:szCs w:val="20"/>
                <w:color w:val="auto"/>
              </w:rPr>
            </w:pPr>
            <w:r>
              <w:rPr>
                <w:rFonts w:ascii="Arial" w:cs="Arial" w:eastAsia="Arial" w:hAnsi="Arial"/>
                <w:sz w:val="8"/>
                <w:szCs w:val="8"/>
                <w:color w:val="auto"/>
              </w:rPr>
              <w:t>0</w:t>
            </w:r>
          </w:p>
        </w:tc>
        <w:tc>
          <w:tcPr>
            <w:tcW w:w="100" w:type="dxa"/>
            <w:vAlign w:val="bottom"/>
            <w:tcBorders>
              <w:top w:val="single" w:sz="8" w:color="009BDE"/>
            </w:tcBorders>
          </w:tcPr>
          <w:p>
            <w:pPr>
              <w:ind w:left="40"/>
              <w:spacing w:after="0"/>
              <w:rPr>
                <w:sz w:val="20"/>
                <w:szCs w:val="20"/>
                <w:color w:val="auto"/>
              </w:rPr>
            </w:pPr>
            <w:r>
              <w:rPr>
                <w:rFonts w:ascii="Arial" w:cs="Arial" w:eastAsia="Arial" w:hAnsi="Arial"/>
                <w:sz w:val="8"/>
                <w:szCs w:val="8"/>
                <w:color w:val="auto"/>
                <w:w w:val="88"/>
              </w:rPr>
              <w:t>$</w:t>
            </w:r>
          </w:p>
        </w:tc>
        <w:tc>
          <w:tcPr>
            <w:tcW w:w="400" w:type="dxa"/>
            <w:vAlign w:val="bottom"/>
            <w:tcBorders>
              <w:top w:val="single" w:sz="8" w:color="009BDE"/>
            </w:tcBorders>
          </w:tcPr>
          <w:p>
            <w:pPr>
              <w:jc w:val="right"/>
              <w:spacing w:after="0"/>
              <w:rPr>
                <w:sz w:val="20"/>
                <w:szCs w:val="20"/>
                <w:color w:val="auto"/>
              </w:rPr>
            </w:pPr>
            <w:r>
              <w:rPr>
                <w:rFonts w:ascii="Arial" w:cs="Arial" w:eastAsia="Arial" w:hAnsi="Arial"/>
                <w:sz w:val="8"/>
                <w:szCs w:val="8"/>
                <w:color w:val="auto"/>
              </w:rPr>
              <w:t>0</w:t>
            </w:r>
          </w:p>
        </w:tc>
        <w:tc>
          <w:tcPr>
            <w:tcW w:w="140" w:type="dxa"/>
            <w:vAlign w:val="bottom"/>
            <w:tcBorders>
              <w:top w:val="single" w:sz="8" w:color="009BDE"/>
            </w:tcBorders>
          </w:tcPr>
          <w:p>
            <w:pPr>
              <w:ind w:left="80"/>
              <w:spacing w:after="0"/>
              <w:rPr>
                <w:sz w:val="20"/>
                <w:szCs w:val="20"/>
                <w:color w:val="auto"/>
              </w:rPr>
            </w:pPr>
            <w:r>
              <w:rPr>
                <w:rFonts w:ascii="Arial" w:cs="Arial" w:eastAsia="Arial" w:hAnsi="Arial"/>
                <w:sz w:val="8"/>
                <w:szCs w:val="8"/>
                <w:color w:val="auto"/>
                <w:w w:val="88"/>
              </w:rPr>
              <w:t>$</w:t>
            </w:r>
          </w:p>
        </w:tc>
        <w:tc>
          <w:tcPr>
            <w:tcW w:w="460" w:type="dxa"/>
            <w:vAlign w:val="bottom"/>
            <w:tcBorders>
              <w:top w:val="single" w:sz="8" w:color="009BDE"/>
            </w:tcBorders>
          </w:tcPr>
          <w:p>
            <w:pPr>
              <w:jc w:val="right"/>
              <w:ind w:right="38"/>
              <w:spacing w:after="0"/>
              <w:rPr>
                <w:sz w:val="20"/>
                <w:szCs w:val="20"/>
                <w:color w:val="auto"/>
              </w:rPr>
            </w:pPr>
            <w:r>
              <w:rPr>
                <w:rFonts w:ascii="Arial" w:cs="Arial" w:eastAsia="Arial" w:hAnsi="Arial"/>
                <w:sz w:val="8"/>
                <w:szCs w:val="8"/>
                <w:color w:val="auto"/>
              </w:rPr>
              <w:t>0</w:t>
            </w:r>
          </w:p>
        </w:tc>
        <w:tc>
          <w:tcPr>
            <w:tcW w:w="140" w:type="dxa"/>
            <w:vAlign w:val="bottom"/>
            <w:tcBorders>
              <w:top w:val="single" w:sz="8" w:color="009BDE"/>
            </w:tcBorders>
          </w:tcPr>
          <w:p>
            <w:pPr>
              <w:ind w:left="80"/>
              <w:spacing w:after="0"/>
              <w:rPr>
                <w:sz w:val="20"/>
                <w:szCs w:val="20"/>
                <w:color w:val="auto"/>
              </w:rPr>
            </w:pPr>
            <w:r>
              <w:rPr>
                <w:rFonts w:ascii="Arial" w:cs="Arial" w:eastAsia="Arial" w:hAnsi="Arial"/>
                <w:sz w:val="8"/>
                <w:szCs w:val="8"/>
                <w:color w:val="auto"/>
                <w:w w:val="88"/>
              </w:rPr>
              <w:t>$</w:t>
            </w:r>
          </w:p>
        </w:tc>
        <w:tc>
          <w:tcPr>
            <w:tcW w:w="560" w:type="dxa"/>
            <w:vAlign w:val="bottom"/>
            <w:tcBorders>
              <w:top w:val="single" w:sz="8" w:color="009BDE"/>
            </w:tcBorders>
          </w:tcPr>
          <w:p>
            <w:pPr>
              <w:jc w:val="right"/>
              <w:ind w:right="38"/>
              <w:spacing w:after="0"/>
              <w:rPr>
                <w:sz w:val="20"/>
                <w:szCs w:val="20"/>
                <w:color w:val="auto"/>
              </w:rPr>
            </w:pPr>
            <w:r>
              <w:rPr>
                <w:rFonts w:ascii="Arial" w:cs="Arial" w:eastAsia="Arial" w:hAnsi="Arial"/>
                <w:sz w:val="8"/>
                <w:szCs w:val="8"/>
                <w:color w:val="auto"/>
              </w:rPr>
              <w:t>0</w:t>
            </w:r>
          </w:p>
        </w:tc>
        <w:tc>
          <w:tcPr>
            <w:tcW w:w="160" w:type="dxa"/>
            <w:vAlign w:val="bottom"/>
            <w:tcBorders>
              <w:top w:val="single" w:sz="8" w:color="009BDE"/>
            </w:tcBorders>
          </w:tcPr>
          <w:p>
            <w:pPr>
              <w:jc w:val="right"/>
              <w:spacing w:after="0"/>
              <w:rPr>
                <w:sz w:val="20"/>
                <w:szCs w:val="20"/>
                <w:color w:val="auto"/>
              </w:rPr>
            </w:pPr>
            <w:r>
              <w:rPr>
                <w:rFonts w:ascii="Arial" w:cs="Arial" w:eastAsia="Arial" w:hAnsi="Arial"/>
                <w:sz w:val="8"/>
                <w:szCs w:val="8"/>
                <w:color w:val="auto"/>
              </w:rPr>
              <w:t>$</w:t>
            </w:r>
          </w:p>
        </w:tc>
        <w:tc>
          <w:tcPr>
            <w:tcW w:w="440" w:type="dxa"/>
            <w:vAlign w:val="bottom"/>
            <w:tcBorders>
              <w:top w:val="single" w:sz="8" w:color="009BDE"/>
            </w:tcBorders>
          </w:tcPr>
          <w:p>
            <w:pPr>
              <w:jc w:val="right"/>
              <w:ind w:right="58"/>
              <w:spacing w:after="0"/>
              <w:rPr>
                <w:sz w:val="20"/>
                <w:szCs w:val="20"/>
                <w:color w:val="auto"/>
              </w:rPr>
            </w:pPr>
            <w:r>
              <w:rPr>
                <w:rFonts w:ascii="Arial" w:cs="Arial" w:eastAsia="Arial" w:hAnsi="Arial"/>
                <w:sz w:val="8"/>
                <w:szCs w:val="8"/>
                <w:color w:val="auto"/>
              </w:rPr>
              <w:t>10,385</w:t>
            </w:r>
          </w:p>
        </w:tc>
        <w:tc>
          <w:tcPr>
            <w:tcW w:w="80" w:type="dxa"/>
            <w:vAlign w:val="bottom"/>
            <w:tcBorders>
              <w:top w:val="single" w:sz="8" w:color="009BDE"/>
            </w:tcBorders>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Borders>
              <w:top w:val="single" w:sz="8" w:color="009BDE"/>
            </w:tcBorders>
          </w:tcPr>
          <w:p>
            <w:pPr>
              <w:jc w:val="right"/>
              <w:spacing w:after="0"/>
              <w:rPr>
                <w:sz w:val="20"/>
                <w:szCs w:val="20"/>
                <w:color w:val="auto"/>
              </w:rPr>
            </w:pPr>
            <w:r>
              <w:rPr>
                <w:rFonts w:ascii="Arial" w:cs="Arial" w:eastAsia="Arial" w:hAnsi="Arial"/>
                <w:sz w:val="8"/>
                <w:szCs w:val="8"/>
                <w:color w:val="auto"/>
              </w:rPr>
              <w:t>270,000</w:t>
            </w:r>
          </w:p>
        </w:tc>
      </w:tr>
      <w:tr>
        <w:trPr>
          <w:trHeight w:val="100"/>
        </w:trPr>
        <w:tc>
          <w:tcPr>
            <w:tcW w:w="2560" w:type="dxa"/>
            <w:vAlign w:val="bottom"/>
          </w:tcPr>
          <w:p>
            <w:pPr>
              <w:ind w:left="40"/>
              <w:spacing w:after="0"/>
              <w:rPr>
                <w:sz w:val="20"/>
                <w:szCs w:val="20"/>
                <w:color w:val="auto"/>
              </w:rPr>
            </w:pPr>
            <w:r>
              <w:rPr>
                <w:rFonts w:ascii="Arial" w:cs="Arial" w:eastAsia="Arial" w:hAnsi="Arial"/>
                <w:sz w:val="8"/>
                <w:szCs w:val="8"/>
                <w:color w:val="auto"/>
              </w:rPr>
              <w:t>Chair of the Board; Former Interim Chief Executive Officer</w:t>
            </w:r>
          </w:p>
        </w:tc>
        <w:tc>
          <w:tcPr>
            <w:tcW w:w="280" w:type="dxa"/>
            <w:vAlign w:val="bottom"/>
          </w:tcPr>
          <w:p>
            <w:pPr>
              <w:jc w:val="center"/>
              <w:spacing w:after="0"/>
              <w:rPr>
                <w:sz w:val="20"/>
                <w:szCs w:val="20"/>
                <w:color w:val="auto"/>
              </w:rPr>
            </w:pPr>
            <w:r>
              <w:rPr>
                <w:rFonts w:ascii="Arial" w:cs="Arial" w:eastAsia="Arial" w:hAnsi="Arial"/>
                <w:sz w:val="8"/>
                <w:szCs w:val="8"/>
                <w:color w:val="auto"/>
              </w:rPr>
              <w:t>2021</w:t>
            </w:r>
          </w:p>
        </w:tc>
        <w:tc>
          <w:tcPr>
            <w:tcW w:w="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336,986</w:t>
            </w:r>
          </w:p>
        </w:tc>
        <w:tc>
          <w:tcPr>
            <w:tcW w:w="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0</w:t>
            </w:r>
          </w:p>
        </w:tc>
        <w:tc>
          <w:tcPr>
            <w:tcW w:w="100" w:type="dxa"/>
            <w:vAlign w:val="bottom"/>
          </w:tcPr>
          <w:p>
            <w:pPr>
              <w:jc w:val="right"/>
              <w:spacing w:after="0"/>
              <w:rPr>
                <w:sz w:val="20"/>
                <w:szCs w:val="20"/>
                <w:color w:val="auto"/>
              </w:rPr>
            </w:pPr>
            <w:r>
              <w:rPr>
                <w:rFonts w:ascii="Arial" w:cs="Arial" w:eastAsia="Arial" w:hAnsi="Arial"/>
                <w:sz w:val="8"/>
                <w:szCs w:val="8"/>
                <w:color w:val="auto"/>
              </w:rPr>
              <w:t>$</w:t>
            </w:r>
          </w:p>
        </w:tc>
        <w:tc>
          <w:tcPr>
            <w:tcW w:w="460" w:type="dxa"/>
            <w:vAlign w:val="bottom"/>
          </w:tcPr>
          <w:p>
            <w:pPr>
              <w:jc w:val="right"/>
              <w:spacing w:after="0"/>
              <w:rPr>
                <w:sz w:val="20"/>
                <w:szCs w:val="20"/>
                <w:color w:val="auto"/>
              </w:rPr>
            </w:pPr>
            <w:r>
              <w:rPr>
                <w:rFonts w:ascii="Arial" w:cs="Arial" w:eastAsia="Arial" w:hAnsi="Arial"/>
                <w:sz w:val="8"/>
                <w:szCs w:val="8"/>
                <w:color w:val="auto"/>
              </w:rPr>
              <w:t>2,660,077</w:t>
            </w:r>
          </w:p>
        </w:tc>
        <w:tc>
          <w:tcPr>
            <w:tcW w:w="100" w:type="dxa"/>
            <w:vAlign w:val="bottom"/>
          </w:tcPr>
          <w:p>
            <w:pPr>
              <w:ind w:left="40"/>
              <w:spacing w:after="0"/>
              <w:rPr>
                <w:sz w:val="20"/>
                <w:szCs w:val="20"/>
                <w:color w:val="auto"/>
              </w:rPr>
            </w:pPr>
            <w:r>
              <w:rPr>
                <w:rFonts w:ascii="Arial" w:cs="Arial" w:eastAsia="Arial" w:hAnsi="Arial"/>
                <w:sz w:val="8"/>
                <w:szCs w:val="8"/>
                <w:color w:val="auto"/>
                <w:w w:val="88"/>
              </w:rPr>
              <w:t>$</w:t>
            </w:r>
          </w:p>
        </w:tc>
        <w:tc>
          <w:tcPr>
            <w:tcW w:w="400" w:type="dxa"/>
            <w:vAlign w:val="bottom"/>
          </w:tcPr>
          <w:p>
            <w:pPr>
              <w:jc w:val="right"/>
              <w:spacing w:after="0"/>
              <w:rPr>
                <w:sz w:val="20"/>
                <w:szCs w:val="20"/>
                <w:color w:val="auto"/>
              </w:rPr>
            </w:pPr>
            <w:r>
              <w:rPr>
                <w:rFonts w:ascii="Arial" w:cs="Arial" w:eastAsia="Arial" w:hAnsi="Arial"/>
                <w:sz w:val="8"/>
                <w:szCs w:val="8"/>
                <w:color w:val="auto"/>
              </w:rPr>
              <w:t>0</w:t>
            </w:r>
          </w:p>
        </w:tc>
        <w:tc>
          <w:tcPr>
            <w:tcW w:w="140" w:type="dxa"/>
            <w:vAlign w:val="bottom"/>
          </w:tcPr>
          <w:p>
            <w:pPr>
              <w:ind w:left="80"/>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ind w:right="38"/>
              <w:spacing w:after="0"/>
              <w:rPr>
                <w:sz w:val="20"/>
                <w:szCs w:val="20"/>
                <w:color w:val="auto"/>
              </w:rPr>
            </w:pPr>
            <w:r>
              <w:rPr>
                <w:rFonts w:ascii="Arial" w:cs="Arial" w:eastAsia="Arial" w:hAnsi="Arial"/>
                <w:sz w:val="8"/>
                <w:szCs w:val="8"/>
                <w:color w:val="auto"/>
              </w:rPr>
              <w:t>0</w:t>
            </w:r>
          </w:p>
        </w:tc>
        <w:tc>
          <w:tcPr>
            <w:tcW w:w="140" w:type="dxa"/>
            <w:vAlign w:val="bottom"/>
          </w:tcPr>
          <w:p>
            <w:pPr>
              <w:ind w:left="80"/>
              <w:spacing w:after="0"/>
              <w:rPr>
                <w:sz w:val="20"/>
                <w:szCs w:val="20"/>
                <w:color w:val="auto"/>
              </w:rPr>
            </w:pPr>
            <w:r>
              <w:rPr>
                <w:rFonts w:ascii="Arial" w:cs="Arial" w:eastAsia="Arial" w:hAnsi="Arial"/>
                <w:sz w:val="8"/>
                <w:szCs w:val="8"/>
                <w:color w:val="auto"/>
                <w:w w:val="88"/>
              </w:rPr>
              <w:t>$</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0</w:t>
            </w:r>
          </w:p>
        </w:tc>
        <w:tc>
          <w:tcPr>
            <w:tcW w:w="160" w:type="dxa"/>
            <w:vAlign w:val="bottom"/>
          </w:tcPr>
          <w:p>
            <w:pPr>
              <w:jc w:val="right"/>
              <w:spacing w:after="0"/>
              <w:rPr>
                <w:sz w:val="20"/>
                <w:szCs w:val="20"/>
                <w:color w:val="auto"/>
              </w:rPr>
            </w:pPr>
            <w:r>
              <w:rPr>
                <w:rFonts w:ascii="Arial" w:cs="Arial" w:eastAsia="Arial" w:hAnsi="Arial"/>
                <w:sz w:val="8"/>
                <w:szCs w:val="8"/>
                <w:color w:val="auto"/>
              </w:rPr>
              <w:t>$</w:t>
            </w:r>
          </w:p>
        </w:tc>
        <w:tc>
          <w:tcPr>
            <w:tcW w:w="440" w:type="dxa"/>
            <w:vAlign w:val="bottom"/>
          </w:tcPr>
          <w:p>
            <w:pPr>
              <w:jc w:val="right"/>
              <w:ind w:right="58"/>
              <w:spacing w:after="0"/>
              <w:rPr>
                <w:sz w:val="20"/>
                <w:szCs w:val="20"/>
                <w:color w:val="auto"/>
              </w:rPr>
            </w:pPr>
            <w:r>
              <w:rPr>
                <w:rFonts w:ascii="Arial" w:cs="Arial" w:eastAsia="Arial" w:hAnsi="Arial"/>
                <w:sz w:val="8"/>
                <w:szCs w:val="8"/>
                <w:color w:val="auto"/>
              </w:rPr>
              <w:t>133,170</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spacing w:after="0"/>
              <w:rPr>
                <w:sz w:val="20"/>
                <w:szCs w:val="20"/>
                <w:color w:val="auto"/>
              </w:rPr>
            </w:pPr>
            <w:r>
              <w:rPr>
                <w:rFonts w:ascii="Arial" w:cs="Arial" w:eastAsia="Arial" w:hAnsi="Arial"/>
                <w:sz w:val="8"/>
                <w:szCs w:val="8"/>
                <w:color w:val="auto"/>
              </w:rPr>
              <w:t>3,130,233</w:t>
            </w:r>
          </w:p>
        </w:tc>
      </w:tr>
      <w:tr>
        <w:trPr>
          <w:trHeight w:val="66"/>
        </w:trPr>
        <w:tc>
          <w:tcPr>
            <w:tcW w:w="256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2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2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4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6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r>
      <w:tr>
        <w:trPr>
          <w:trHeight w:val="138"/>
        </w:trPr>
        <w:tc>
          <w:tcPr>
            <w:tcW w:w="2560" w:type="dxa"/>
            <w:vAlign w:val="bottom"/>
          </w:tcPr>
          <w:p>
            <w:pPr>
              <w:ind w:left="40"/>
              <w:spacing w:after="0"/>
              <w:rPr>
                <w:sz w:val="20"/>
                <w:szCs w:val="20"/>
                <w:color w:val="auto"/>
              </w:rPr>
            </w:pPr>
            <w:r>
              <w:rPr>
                <w:rFonts w:ascii="Arial" w:cs="Arial" w:eastAsia="Arial" w:hAnsi="Arial"/>
                <w:sz w:val="8"/>
                <w:szCs w:val="8"/>
                <w:b w:val="1"/>
                <w:bCs w:val="1"/>
                <w:color w:val="auto"/>
              </w:rPr>
              <w:t>Christian P. Cocks</w:t>
            </w:r>
          </w:p>
        </w:tc>
        <w:tc>
          <w:tcPr>
            <w:tcW w:w="280" w:type="dxa"/>
            <w:vAlign w:val="bottom"/>
          </w:tcPr>
          <w:p>
            <w:pPr>
              <w:jc w:val="center"/>
              <w:spacing w:after="0"/>
              <w:rPr>
                <w:sz w:val="20"/>
                <w:szCs w:val="20"/>
                <w:color w:val="auto"/>
              </w:rPr>
            </w:pPr>
            <w:r>
              <w:rPr>
                <w:rFonts w:ascii="Arial" w:cs="Arial" w:eastAsia="Arial" w:hAnsi="Arial"/>
                <w:sz w:val="8"/>
                <w:szCs w:val="8"/>
                <w:color w:val="auto"/>
              </w:rPr>
              <w:t>2022</w:t>
            </w:r>
          </w:p>
        </w:tc>
        <w:tc>
          <w:tcPr>
            <w:tcW w:w="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1,257,692</w:t>
            </w:r>
          </w:p>
        </w:tc>
        <w:tc>
          <w:tcPr>
            <w:tcW w:w="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0</w:t>
            </w:r>
          </w:p>
        </w:tc>
        <w:tc>
          <w:tcPr>
            <w:tcW w:w="100" w:type="dxa"/>
            <w:vAlign w:val="bottom"/>
          </w:tcPr>
          <w:p>
            <w:pPr>
              <w:jc w:val="right"/>
              <w:spacing w:after="0"/>
              <w:rPr>
                <w:sz w:val="20"/>
                <w:szCs w:val="20"/>
                <w:color w:val="auto"/>
              </w:rPr>
            </w:pPr>
            <w:r>
              <w:rPr>
                <w:rFonts w:ascii="Arial" w:cs="Arial" w:eastAsia="Arial" w:hAnsi="Arial"/>
                <w:sz w:val="8"/>
                <w:szCs w:val="8"/>
                <w:color w:val="auto"/>
              </w:rPr>
              <w:t>$</w:t>
            </w:r>
          </w:p>
        </w:tc>
        <w:tc>
          <w:tcPr>
            <w:tcW w:w="460" w:type="dxa"/>
            <w:vAlign w:val="bottom"/>
          </w:tcPr>
          <w:p>
            <w:pPr>
              <w:jc w:val="right"/>
              <w:spacing w:after="0"/>
              <w:rPr>
                <w:sz w:val="20"/>
                <w:szCs w:val="20"/>
                <w:color w:val="auto"/>
              </w:rPr>
            </w:pPr>
            <w:r>
              <w:rPr>
                <w:rFonts w:ascii="Arial" w:cs="Arial" w:eastAsia="Arial" w:hAnsi="Arial"/>
                <w:sz w:val="8"/>
                <w:szCs w:val="8"/>
                <w:color w:val="auto"/>
              </w:rPr>
              <w:t>5,625,079</w:t>
            </w:r>
          </w:p>
        </w:tc>
        <w:tc>
          <w:tcPr>
            <w:tcW w:w="100" w:type="dxa"/>
            <w:vAlign w:val="bottom"/>
          </w:tcPr>
          <w:p>
            <w:pPr>
              <w:ind w:left="40"/>
              <w:spacing w:after="0"/>
              <w:rPr>
                <w:sz w:val="20"/>
                <w:szCs w:val="20"/>
                <w:color w:val="auto"/>
              </w:rPr>
            </w:pPr>
            <w:r>
              <w:rPr>
                <w:rFonts w:ascii="Arial" w:cs="Arial" w:eastAsia="Arial" w:hAnsi="Arial"/>
                <w:sz w:val="8"/>
                <w:szCs w:val="8"/>
                <w:color w:val="auto"/>
                <w:w w:val="88"/>
              </w:rPr>
              <w:t>$</w:t>
            </w:r>
          </w:p>
        </w:tc>
        <w:tc>
          <w:tcPr>
            <w:tcW w:w="400" w:type="dxa"/>
            <w:vAlign w:val="bottom"/>
          </w:tcPr>
          <w:p>
            <w:pPr>
              <w:jc w:val="right"/>
              <w:spacing w:after="0"/>
              <w:rPr>
                <w:sz w:val="20"/>
                <w:szCs w:val="20"/>
                <w:color w:val="auto"/>
              </w:rPr>
            </w:pPr>
            <w:r>
              <w:rPr>
                <w:rFonts w:ascii="Arial" w:cs="Arial" w:eastAsia="Arial" w:hAnsi="Arial"/>
                <w:sz w:val="8"/>
                <w:szCs w:val="8"/>
                <w:color w:val="auto"/>
              </w:rPr>
              <w:t>2,246,689</w:t>
            </w:r>
          </w:p>
        </w:tc>
        <w:tc>
          <w:tcPr>
            <w:tcW w:w="140" w:type="dxa"/>
            <w:vAlign w:val="bottom"/>
          </w:tcPr>
          <w:p>
            <w:pPr>
              <w:ind w:left="80"/>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ind w:right="38"/>
              <w:spacing w:after="0"/>
              <w:rPr>
                <w:sz w:val="20"/>
                <w:szCs w:val="20"/>
                <w:color w:val="auto"/>
              </w:rPr>
            </w:pPr>
            <w:r>
              <w:rPr>
                <w:rFonts w:ascii="Arial" w:cs="Arial" w:eastAsia="Arial" w:hAnsi="Arial"/>
                <w:sz w:val="8"/>
                <w:szCs w:val="8"/>
                <w:color w:val="auto"/>
              </w:rPr>
              <w:t>0</w:t>
            </w:r>
          </w:p>
        </w:tc>
        <w:tc>
          <w:tcPr>
            <w:tcW w:w="140" w:type="dxa"/>
            <w:vAlign w:val="bottom"/>
          </w:tcPr>
          <w:p>
            <w:pPr>
              <w:ind w:left="80"/>
              <w:spacing w:after="0"/>
              <w:rPr>
                <w:sz w:val="20"/>
                <w:szCs w:val="20"/>
                <w:color w:val="auto"/>
              </w:rPr>
            </w:pPr>
            <w:r>
              <w:rPr>
                <w:rFonts w:ascii="Arial" w:cs="Arial" w:eastAsia="Arial" w:hAnsi="Arial"/>
                <w:sz w:val="8"/>
                <w:szCs w:val="8"/>
                <w:color w:val="auto"/>
                <w:w w:val="88"/>
              </w:rPr>
              <w:t>$</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1,121</w:t>
            </w:r>
          </w:p>
        </w:tc>
        <w:tc>
          <w:tcPr>
            <w:tcW w:w="160" w:type="dxa"/>
            <w:vAlign w:val="bottom"/>
          </w:tcPr>
          <w:p>
            <w:pPr>
              <w:jc w:val="right"/>
              <w:spacing w:after="0"/>
              <w:rPr>
                <w:sz w:val="20"/>
                <w:szCs w:val="20"/>
                <w:color w:val="auto"/>
              </w:rPr>
            </w:pPr>
            <w:r>
              <w:rPr>
                <w:rFonts w:ascii="Arial" w:cs="Arial" w:eastAsia="Arial" w:hAnsi="Arial"/>
                <w:sz w:val="8"/>
                <w:szCs w:val="8"/>
                <w:color w:val="auto"/>
              </w:rPr>
              <w:t>$</w:t>
            </w:r>
          </w:p>
        </w:tc>
        <w:tc>
          <w:tcPr>
            <w:tcW w:w="440" w:type="dxa"/>
            <w:vAlign w:val="bottom"/>
          </w:tcPr>
          <w:p>
            <w:pPr>
              <w:jc w:val="right"/>
              <w:ind w:right="58"/>
              <w:spacing w:after="0"/>
              <w:rPr>
                <w:sz w:val="20"/>
                <w:szCs w:val="20"/>
                <w:color w:val="auto"/>
              </w:rPr>
            </w:pPr>
            <w:r>
              <w:rPr>
                <w:rFonts w:ascii="Arial" w:cs="Arial" w:eastAsia="Arial" w:hAnsi="Arial"/>
                <w:sz w:val="8"/>
                <w:szCs w:val="8"/>
                <w:color w:val="auto"/>
              </w:rPr>
              <w:t>312,466</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spacing w:after="0"/>
              <w:rPr>
                <w:sz w:val="20"/>
                <w:szCs w:val="20"/>
                <w:color w:val="auto"/>
              </w:rPr>
            </w:pPr>
            <w:r>
              <w:rPr>
                <w:rFonts w:ascii="Arial" w:cs="Arial" w:eastAsia="Arial" w:hAnsi="Arial"/>
                <w:sz w:val="8"/>
                <w:szCs w:val="8"/>
                <w:color w:val="auto"/>
              </w:rPr>
              <w:t>9,443,047</w:t>
            </w:r>
          </w:p>
        </w:tc>
      </w:tr>
      <w:tr>
        <w:trPr>
          <w:trHeight w:val="100"/>
        </w:trPr>
        <w:tc>
          <w:tcPr>
            <w:tcW w:w="2560" w:type="dxa"/>
            <w:vAlign w:val="bottom"/>
          </w:tcPr>
          <w:p>
            <w:pPr>
              <w:ind w:left="40"/>
              <w:spacing w:after="0"/>
              <w:rPr>
                <w:sz w:val="20"/>
                <w:szCs w:val="20"/>
                <w:color w:val="auto"/>
              </w:rPr>
            </w:pPr>
            <w:r>
              <w:rPr>
                <w:rFonts w:ascii="Arial" w:cs="Arial" w:eastAsia="Arial" w:hAnsi="Arial"/>
                <w:sz w:val="8"/>
                <w:szCs w:val="8"/>
                <w:color w:val="auto"/>
              </w:rPr>
              <w:t>Chief Executive Officer</w:t>
            </w:r>
          </w:p>
        </w:tc>
        <w:tc>
          <w:tcPr>
            <w:tcW w:w="280" w:type="dxa"/>
            <w:vAlign w:val="bottom"/>
          </w:tcPr>
          <w:p>
            <w:pPr>
              <w:jc w:val="center"/>
              <w:spacing w:after="0"/>
              <w:rPr>
                <w:sz w:val="20"/>
                <w:szCs w:val="20"/>
                <w:color w:val="auto"/>
              </w:rPr>
            </w:pPr>
            <w:r>
              <w:rPr>
                <w:rFonts w:ascii="Arial" w:cs="Arial" w:eastAsia="Arial" w:hAnsi="Arial"/>
                <w:sz w:val="8"/>
                <w:szCs w:val="8"/>
                <w:color w:val="auto"/>
              </w:rPr>
              <w:t>2021</w:t>
            </w:r>
          </w:p>
        </w:tc>
        <w:tc>
          <w:tcPr>
            <w:tcW w:w="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702,885</w:t>
            </w:r>
          </w:p>
        </w:tc>
        <w:tc>
          <w:tcPr>
            <w:tcW w:w="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0</w:t>
            </w:r>
          </w:p>
        </w:tc>
        <w:tc>
          <w:tcPr>
            <w:tcW w:w="100" w:type="dxa"/>
            <w:vAlign w:val="bottom"/>
          </w:tcPr>
          <w:p>
            <w:pPr>
              <w:jc w:val="right"/>
              <w:spacing w:after="0"/>
              <w:rPr>
                <w:sz w:val="20"/>
                <w:szCs w:val="20"/>
                <w:color w:val="auto"/>
              </w:rPr>
            </w:pPr>
            <w:r>
              <w:rPr>
                <w:rFonts w:ascii="Arial" w:cs="Arial" w:eastAsia="Arial" w:hAnsi="Arial"/>
                <w:sz w:val="8"/>
                <w:szCs w:val="8"/>
                <w:color w:val="auto"/>
              </w:rPr>
              <w:t>$</w:t>
            </w:r>
          </w:p>
        </w:tc>
        <w:tc>
          <w:tcPr>
            <w:tcW w:w="460" w:type="dxa"/>
            <w:vAlign w:val="bottom"/>
          </w:tcPr>
          <w:p>
            <w:pPr>
              <w:jc w:val="right"/>
              <w:spacing w:after="0"/>
              <w:rPr>
                <w:sz w:val="20"/>
                <w:szCs w:val="20"/>
                <w:color w:val="auto"/>
              </w:rPr>
            </w:pPr>
            <w:r>
              <w:rPr>
                <w:rFonts w:ascii="Arial" w:cs="Arial" w:eastAsia="Arial" w:hAnsi="Arial"/>
                <w:sz w:val="8"/>
                <w:szCs w:val="8"/>
                <w:color w:val="auto"/>
              </w:rPr>
              <w:t>1,144,267</w:t>
            </w:r>
          </w:p>
        </w:tc>
        <w:tc>
          <w:tcPr>
            <w:tcW w:w="100" w:type="dxa"/>
            <w:vAlign w:val="bottom"/>
          </w:tcPr>
          <w:p>
            <w:pPr>
              <w:ind w:left="40"/>
              <w:spacing w:after="0"/>
              <w:rPr>
                <w:sz w:val="20"/>
                <w:szCs w:val="20"/>
                <w:color w:val="auto"/>
              </w:rPr>
            </w:pPr>
            <w:r>
              <w:rPr>
                <w:rFonts w:ascii="Arial" w:cs="Arial" w:eastAsia="Arial" w:hAnsi="Arial"/>
                <w:sz w:val="8"/>
                <w:szCs w:val="8"/>
                <w:color w:val="auto"/>
                <w:w w:val="88"/>
              </w:rPr>
              <w:t>$</w:t>
            </w:r>
          </w:p>
        </w:tc>
        <w:tc>
          <w:tcPr>
            <w:tcW w:w="400" w:type="dxa"/>
            <w:vAlign w:val="bottom"/>
          </w:tcPr>
          <w:p>
            <w:pPr>
              <w:jc w:val="right"/>
              <w:spacing w:after="0"/>
              <w:rPr>
                <w:sz w:val="20"/>
                <w:szCs w:val="20"/>
                <w:color w:val="auto"/>
              </w:rPr>
            </w:pPr>
            <w:r>
              <w:rPr>
                <w:rFonts w:ascii="Arial" w:cs="Arial" w:eastAsia="Arial" w:hAnsi="Arial"/>
                <w:sz w:val="8"/>
                <w:szCs w:val="8"/>
                <w:color w:val="auto"/>
              </w:rPr>
              <w:t>463,476</w:t>
            </w:r>
          </w:p>
        </w:tc>
        <w:tc>
          <w:tcPr>
            <w:tcW w:w="140" w:type="dxa"/>
            <w:vAlign w:val="bottom"/>
          </w:tcPr>
          <w:p>
            <w:pPr>
              <w:ind w:left="80"/>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ind w:right="38"/>
              <w:spacing w:after="0"/>
              <w:rPr>
                <w:sz w:val="20"/>
                <w:szCs w:val="20"/>
                <w:color w:val="auto"/>
              </w:rPr>
            </w:pPr>
            <w:r>
              <w:rPr>
                <w:rFonts w:ascii="Arial" w:cs="Arial" w:eastAsia="Arial" w:hAnsi="Arial"/>
                <w:sz w:val="8"/>
                <w:szCs w:val="8"/>
                <w:color w:val="auto"/>
              </w:rPr>
              <w:t>1,300,000</w:t>
            </w:r>
          </w:p>
        </w:tc>
        <w:tc>
          <w:tcPr>
            <w:tcW w:w="140" w:type="dxa"/>
            <w:vAlign w:val="bottom"/>
          </w:tcPr>
          <w:p>
            <w:pPr>
              <w:ind w:left="80"/>
              <w:spacing w:after="0"/>
              <w:rPr>
                <w:sz w:val="20"/>
                <w:szCs w:val="20"/>
                <w:color w:val="auto"/>
              </w:rPr>
            </w:pPr>
            <w:r>
              <w:rPr>
                <w:rFonts w:ascii="Arial" w:cs="Arial" w:eastAsia="Arial" w:hAnsi="Arial"/>
                <w:sz w:val="8"/>
                <w:szCs w:val="8"/>
                <w:color w:val="auto"/>
                <w:w w:val="88"/>
              </w:rPr>
              <w:t>$</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4,189</w:t>
            </w:r>
          </w:p>
        </w:tc>
        <w:tc>
          <w:tcPr>
            <w:tcW w:w="160" w:type="dxa"/>
            <w:vAlign w:val="bottom"/>
          </w:tcPr>
          <w:p>
            <w:pPr>
              <w:jc w:val="right"/>
              <w:spacing w:after="0"/>
              <w:rPr>
                <w:sz w:val="20"/>
                <w:szCs w:val="20"/>
                <w:color w:val="auto"/>
              </w:rPr>
            </w:pPr>
            <w:r>
              <w:rPr>
                <w:rFonts w:ascii="Arial" w:cs="Arial" w:eastAsia="Arial" w:hAnsi="Arial"/>
                <w:sz w:val="8"/>
                <w:szCs w:val="8"/>
                <w:color w:val="auto"/>
              </w:rPr>
              <w:t>$</w:t>
            </w:r>
          </w:p>
        </w:tc>
        <w:tc>
          <w:tcPr>
            <w:tcW w:w="440" w:type="dxa"/>
            <w:vAlign w:val="bottom"/>
          </w:tcPr>
          <w:p>
            <w:pPr>
              <w:jc w:val="right"/>
              <w:ind w:right="58"/>
              <w:spacing w:after="0"/>
              <w:rPr>
                <w:sz w:val="20"/>
                <w:szCs w:val="20"/>
                <w:color w:val="auto"/>
              </w:rPr>
            </w:pPr>
            <w:r>
              <w:rPr>
                <w:rFonts w:ascii="Arial" w:cs="Arial" w:eastAsia="Arial" w:hAnsi="Arial"/>
                <w:sz w:val="8"/>
                <w:szCs w:val="8"/>
                <w:color w:val="auto"/>
              </w:rPr>
              <w:t>137,585</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spacing w:after="0"/>
              <w:rPr>
                <w:sz w:val="20"/>
                <w:szCs w:val="20"/>
                <w:color w:val="auto"/>
              </w:rPr>
            </w:pPr>
            <w:r>
              <w:rPr>
                <w:rFonts w:ascii="Arial" w:cs="Arial" w:eastAsia="Arial" w:hAnsi="Arial"/>
                <w:sz w:val="8"/>
                <w:szCs w:val="8"/>
                <w:color w:val="auto"/>
              </w:rPr>
              <w:t>3,752,402</w:t>
            </w:r>
          </w:p>
        </w:tc>
      </w:tr>
      <w:tr>
        <w:trPr>
          <w:trHeight w:val="66"/>
        </w:trPr>
        <w:tc>
          <w:tcPr>
            <w:tcW w:w="256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2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2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4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6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r>
      <w:tr>
        <w:trPr>
          <w:trHeight w:val="138"/>
        </w:trPr>
        <w:tc>
          <w:tcPr>
            <w:tcW w:w="2560" w:type="dxa"/>
            <w:vAlign w:val="bottom"/>
          </w:tcPr>
          <w:p>
            <w:pPr>
              <w:ind w:left="40"/>
              <w:spacing w:after="0"/>
              <w:rPr>
                <w:sz w:val="20"/>
                <w:szCs w:val="20"/>
                <w:color w:val="auto"/>
              </w:rPr>
            </w:pPr>
            <w:r>
              <w:rPr>
                <w:rFonts w:ascii="Arial" w:cs="Arial" w:eastAsia="Arial" w:hAnsi="Arial"/>
                <w:sz w:val="8"/>
                <w:szCs w:val="8"/>
                <w:b w:val="1"/>
                <w:bCs w:val="1"/>
                <w:color w:val="auto"/>
              </w:rPr>
              <w:t>Deborah Thomas</w:t>
            </w:r>
          </w:p>
        </w:tc>
        <w:tc>
          <w:tcPr>
            <w:tcW w:w="280" w:type="dxa"/>
            <w:vAlign w:val="bottom"/>
          </w:tcPr>
          <w:p>
            <w:pPr>
              <w:jc w:val="center"/>
              <w:spacing w:after="0"/>
              <w:rPr>
                <w:sz w:val="20"/>
                <w:szCs w:val="20"/>
                <w:color w:val="auto"/>
              </w:rPr>
            </w:pPr>
            <w:r>
              <w:rPr>
                <w:rFonts w:ascii="Arial" w:cs="Arial" w:eastAsia="Arial" w:hAnsi="Arial"/>
                <w:sz w:val="8"/>
                <w:szCs w:val="8"/>
                <w:color w:val="auto"/>
              </w:rPr>
              <w:t>2022</w:t>
            </w:r>
          </w:p>
        </w:tc>
        <w:tc>
          <w:tcPr>
            <w:tcW w:w="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1,192,308</w:t>
            </w:r>
          </w:p>
        </w:tc>
        <w:tc>
          <w:tcPr>
            <w:tcW w:w="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0</w:t>
            </w:r>
          </w:p>
        </w:tc>
        <w:tc>
          <w:tcPr>
            <w:tcW w:w="100" w:type="dxa"/>
            <w:vAlign w:val="bottom"/>
          </w:tcPr>
          <w:p>
            <w:pPr>
              <w:jc w:val="right"/>
              <w:spacing w:after="0"/>
              <w:rPr>
                <w:sz w:val="20"/>
                <w:szCs w:val="20"/>
                <w:color w:val="auto"/>
              </w:rPr>
            </w:pPr>
            <w:r>
              <w:rPr>
                <w:rFonts w:ascii="Arial" w:cs="Arial" w:eastAsia="Arial" w:hAnsi="Arial"/>
                <w:sz w:val="8"/>
                <w:szCs w:val="8"/>
                <w:color w:val="auto"/>
              </w:rPr>
              <w:t>$</w:t>
            </w:r>
          </w:p>
        </w:tc>
        <w:tc>
          <w:tcPr>
            <w:tcW w:w="460" w:type="dxa"/>
            <w:vAlign w:val="bottom"/>
          </w:tcPr>
          <w:p>
            <w:pPr>
              <w:jc w:val="right"/>
              <w:spacing w:after="0"/>
              <w:rPr>
                <w:sz w:val="20"/>
                <w:szCs w:val="20"/>
                <w:color w:val="auto"/>
              </w:rPr>
            </w:pPr>
            <w:r>
              <w:rPr>
                <w:rFonts w:ascii="Arial" w:cs="Arial" w:eastAsia="Arial" w:hAnsi="Arial"/>
                <w:sz w:val="8"/>
                <w:szCs w:val="8"/>
                <w:color w:val="auto"/>
              </w:rPr>
              <w:t>3,450,106</w:t>
            </w:r>
          </w:p>
        </w:tc>
        <w:tc>
          <w:tcPr>
            <w:tcW w:w="100" w:type="dxa"/>
            <w:vAlign w:val="bottom"/>
          </w:tcPr>
          <w:p>
            <w:pPr>
              <w:ind w:left="40"/>
              <w:spacing w:after="0"/>
              <w:rPr>
                <w:sz w:val="20"/>
                <w:szCs w:val="20"/>
                <w:color w:val="auto"/>
              </w:rPr>
            </w:pPr>
            <w:r>
              <w:rPr>
                <w:rFonts w:ascii="Arial" w:cs="Arial" w:eastAsia="Arial" w:hAnsi="Arial"/>
                <w:sz w:val="8"/>
                <w:szCs w:val="8"/>
                <w:color w:val="auto"/>
                <w:w w:val="88"/>
              </w:rPr>
              <w:t>$</w:t>
            </w:r>
          </w:p>
        </w:tc>
        <w:tc>
          <w:tcPr>
            <w:tcW w:w="400" w:type="dxa"/>
            <w:vAlign w:val="bottom"/>
          </w:tcPr>
          <w:p>
            <w:pPr>
              <w:jc w:val="right"/>
              <w:spacing w:after="0"/>
              <w:rPr>
                <w:sz w:val="20"/>
                <w:szCs w:val="20"/>
                <w:color w:val="auto"/>
              </w:rPr>
            </w:pPr>
            <w:r>
              <w:rPr>
                <w:rFonts w:ascii="Arial" w:cs="Arial" w:eastAsia="Arial" w:hAnsi="Arial"/>
                <w:sz w:val="8"/>
                <w:szCs w:val="8"/>
                <w:color w:val="auto"/>
              </w:rPr>
              <w:t>1,377,976</w:t>
            </w:r>
          </w:p>
        </w:tc>
        <w:tc>
          <w:tcPr>
            <w:tcW w:w="140" w:type="dxa"/>
            <w:vAlign w:val="bottom"/>
          </w:tcPr>
          <w:p>
            <w:pPr>
              <w:ind w:left="80"/>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ind w:right="38"/>
              <w:spacing w:after="0"/>
              <w:rPr>
                <w:sz w:val="20"/>
                <w:szCs w:val="20"/>
                <w:color w:val="auto"/>
              </w:rPr>
            </w:pPr>
            <w:r>
              <w:rPr>
                <w:rFonts w:ascii="Arial" w:cs="Arial" w:eastAsia="Arial" w:hAnsi="Arial"/>
                <w:sz w:val="8"/>
                <w:szCs w:val="8"/>
                <w:color w:val="auto"/>
              </w:rPr>
              <w:t>0</w:t>
            </w:r>
          </w:p>
        </w:tc>
        <w:tc>
          <w:tcPr>
            <w:tcW w:w="140" w:type="dxa"/>
            <w:vAlign w:val="bottom"/>
          </w:tcPr>
          <w:p>
            <w:pPr>
              <w:ind w:left="80"/>
              <w:spacing w:after="0"/>
              <w:rPr>
                <w:sz w:val="20"/>
                <w:szCs w:val="20"/>
                <w:color w:val="auto"/>
              </w:rPr>
            </w:pPr>
            <w:r>
              <w:rPr>
                <w:rFonts w:ascii="Arial" w:cs="Arial" w:eastAsia="Arial" w:hAnsi="Arial"/>
                <w:sz w:val="8"/>
                <w:szCs w:val="8"/>
                <w:color w:val="auto"/>
                <w:w w:val="88"/>
              </w:rPr>
              <w:t>$</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7,236</w:t>
            </w:r>
          </w:p>
        </w:tc>
        <w:tc>
          <w:tcPr>
            <w:tcW w:w="160" w:type="dxa"/>
            <w:vAlign w:val="bottom"/>
          </w:tcPr>
          <w:p>
            <w:pPr>
              <w:jc w:val="right"/>
              <w:spacing w:after="0"/>
              <w:rPr>
                <w:sz w:val="20"/>
                <w:szCs w:val="20"/>
                <w:color w:val="auto"/>
              </w:rPr>
            </w:pPr>
            <w:r>
              <w:rPr>
                <w:rFonts w:ascii="Arial" w:cs="Arial" w:eastAsia="Arial" w:hAnsi="Arial"/>
                <w:sz w:val="8"/>
                <w:szCs w:val="8"/>
                <w:color w:val="auto"/>
              </w:rPr>
              <w:t>$</w:t>
            </w:r>
          </w:p>
        </w:tc>
        <w:tc>
          <w:tcPr>
            <w:tcW w:w="440" w:type="dxa"/>
            <w:vAlign w:val="bottom"/>
          </w:tcPr>
          <w:p>
            <w:pPr>
              <w:jc w:val="right"/>
              <w:ind w:right="58"/>
              <w:spacing w:after="0"/>
              <w:rPr>
                <w:sz w:val="20"/>
                <w:szCs w:val="20"/>
                <w:color w:val="auto"/>
              </w:rPr>
            </w:pPr>
            <w:r>
              <w:rPr>
                <w:rFonts w:ascii="Arial" w:cs="Arial" w:eastAsia="Arial" w:hAnsi="Arial"/>
                <w:sz w:val="8"/>
                <w:szCs w:val="8"/>
                <w:color w:val="auto"/>
              </w:rPr>
              <w:t>32,450</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spacing w:after="0"/>
              <w:rPr>
                <w:sz w:val="20"/>
                <w:szCs w:val="20"/>
                <w:color w:val="auto"/>
              </w:rPr>
            </w:pPr>
            <w:r>
              <w:rPr>
                <w:rFonts w:ascii="Arial" w:cs="Arial" w:eastAsia="Arial" w:hAnsi="Arial"/>
                <w:sz w:val="8"/>
                <w:szCs w:val="8"/>
                <w:color w:val="auto"/>
              </w:rPr>
              <w:t>6,060,076</w:t>
            </w:r>
          </w:p>
        </w:tc>
      </w:tr>
      <w:tr>
        <w:trPr>
          <w:trHeight w:val="90"/>
        </w:trPr>
        <w:tc>
          <w:tcPr>
            <w:tcW w:w="2560" w:type="dxa"/>
            <w:vAlign w:val="bottom"/>
          </w:tcPr>
          <w:p>
            <w:pPr>
              <w:ind w:left="40"/>
              <w:spacing w:after="0" w:line="90" w:lineRule="exact"/>
              <w:rPr>
                <w:sz w:val="20"/>
                <w:szCs w:val="20"/>
                <w:color w:val="auto"/>
              </w:rPr>
            </w:pPr>
            <w:r>
              <w:rPr>
                <w:rFonts w:ascii="Arial" w:cs="Arial" w:eastAsia="Arial" w:hAnsi="Arial"/>
                <w:sz w:val="8"/>
                <w:szCs w:val="8"/>
                <w:color w:val="auto"/>
              </w:rPr>
              <w:t>Executive Vice President,</w:t>
            </w:r>
          </w:p>
        </w:tc>
        <w:tc>
          <w:tcPr>
            <w:tcW w:w="280" w:type="dxa"/>
            <w:vAlign w:val="bottom"/>
          </w:tcPr>
          <w:p>
            <w:pPr>
              <w:jc w:val="center"/>
              <w:spacing w:after="0" w:line="90" w:lineRule="exact"/>
              <w:rPr>
                <w:sz w:val="20"/>
                <w:szCs w:val="20"/>
                <w:color w:val="auto"/>
              </w:rPr>
            </w:pPr>
            <w:r>
              <w:rPr>
                <w:rFonts w:ascii="Arial" w:cs="Arial" w:eastAsia="Arial" w:hAnsi="Arial"/>
                <w:sz w:val="8"/>
                <w:szCs w:val="8"/>
                <w:color w:val="auto"/>
              </w:rPr>
              <w:t>2021</w:t>
            </w:r>
          </w:p>
        </w:tc>
        <w:tc>
          <w:tcPr>
            <w:tcW w:w="8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420" w:type="dxa"/>
            <w:vAlign w:val="bottom"/>
          </w:tcPr>
          <w:p>
            <w:pPr>
              <w:jc w:val="right"/>
              <w:spacing w:after="0" w:line="90" w:lineRule="exact"/>
              <w:rPr>
                <w:sz w:val="20"/>
                <w:szCs w:val="20"/>
                <w:color w:val="auto"/>
              </w:rPr>
            </w:pPr>
            <w:r>
              <w:rPr>
                <w:rFonts w:ascii="Arial" w:cs="Arial" w:eastAsia="Arial" w:hAnsi="Arial"/>
                <w:sz w:val="8"/>
                <w:szCs w:val="8"/>
                <w:color w:val="auto"/>
              </w:rPr>
              <w:t>1,005,769</w:t>
            </w:r>
          </w:p>
        </w:tc>
        <w:tc>
          <w:tcPr>
            <w:tcW w:w="8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420" w:type="dxa"/>
            <w:vAlign w:val="bottom"/>
          </w:tcPr>
          <w:p>
            <w:pPr>
              <w:jc w:val="right"/>
              <w:spacing w:after="0" w:line="90" w:lineRule="exact"/>
              <w:rPr>
                <w:sz w:val="20"/>
                <w:szCs w:val="20"/>
                <w:color w:val="auto"/>
              </w:rPr>
            </w:pPr>
            <w:r>
              <w:rPr>
                <w:rFonts w:ascii="Arial" w:cs="Arial" w:eastAsia="Arial" w:hAnsi="Arial"/>
                <w:sz w:val="8"/>
                <w:szCs w:val="8"/>
                <w:color w:val="auto"/>
              </w:rPr>
              <w:t>0</w:t>
            </w:r>
          </w:p>
        </w:tc>
        <w:tc>
          <w:tcPr>
            <w:tcW w:w="10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460" w:type="dxa"/>
            <w:vAlign w:val="bottom"/>
          </w:tcPr>
          <w:p>
            <w:pPr>
              <w:jc w:val="right"/>
              <w:spacing w:after="0" w:line="90" w:lineRule="exact"/>
              <w:rPr>
                <w:sz w:val="20"/>
                <w:szCs w:val="20"/>
                <w:color w:val="auto"/>
              </w:rPr>
            </w:pPr>
            <w:r>
              <w:rPr>
                <w:rFonts w:ascii="Arial" w:cs="Arial" w:eastAsia="Arial" w:hAnsi="Arial"/>
                <w:sz w:val="8"/>
                <w:szCs w:val="8"/>
                <w:color w:val="auto"/>
              </w:rPr>
              <w:t>2,250,091</w:t>
            </w:r>
          </w:p>
        </w:tc>
        <w:tc>
          <w:tcPr>
            <w:tcW w:w="100" w:type="dxa"/>
            <w:vAlign w:val="bottom"/>
          </w:tcPr>
          <w:p>
            <w:pPr>
              <w:ind w:left="40"/>
              <w:spacing w:after="0" w:line="90" w:lineRule="exact"/>
              <w:rPr>
                <w:sz w:val="20"/>
                <w:szCs w:val="20"/>
                <w:color w:val="auto"/>
              </w:rPr>
            </w:pPr>
            <w:r>
              <w:rPr>
                <w:rFonts w:ascii="Arial" w:cs="Arial" w:eastAsia="Arial" w:hAnsi="Arial"/>
                <w:sz w:val="8"/>
                <w:szCs w:val="8"/>
                <w:color w:val="auto"/>
                <w:w w:val="88"/>
              </w:rPr>
              <w:t>$</w:t>
            </w:r>
          </w:p>
        </w:tc>
        <w:tc>
          <w:tcPr>
            <w:tcW w:w="400" w:type="dxa"/>
            <w:vAlign w:val="bottom"/>
          </w:tcPr>
          <w:p>
            <w:pPr>
              <w:jc w:val="right"/>
              <w:spacing w:after="0" w:line="90" w:lineRule="exact"/>
              <w:rPr>
                <w:sz w:val="20"/>
                <w:szCs w:val="20"/>
                <w:color w:val="auto"/>
              </w:rPr>
            </w:pPr>
            <w:r>
              <w:rPr>
                <w:rFonts w:ascii="Arial" w:cs="Arial" w:eastAsia="Arial" w:hAnsi="Arial"/>
                <w:sz w:val="8"/>
                <w:szCs w:val="8"/>
                <w:color w:val="auto"/>
              </w:rPr>
              <w:t>893,640</w:t>
            </w:r>
          </w:p>
        </w:tc>
        <w:tc>
          <w:tcPr>
            <w:tcW w:w="140" w:type="dxa"/>
            <w:vAlign w:val="bottom"/>
          </w:tcPr>
          <w:p>
            <w:pPr>
              <w:ind w:left="80"/>
              <w:spacing w:after="0" w:line="90" w:lineRule="exact"/>
              <w:rPr>
                <w:sz w:val="20"/>
                <w:szCs w:val="20"/>
                <w:color w:val="auto"/>
              </w:rPr>
            </w:pPr>
            <w:r>
              <w:rPr>
                <w:rFonts w:ascii="Arial" w:cs="Arial" w:eastAsia="Arial" w:hAnsi="Arial"/>
                <w:sz w:val="8"/>
                <w:szCs w:val="8"/>
                <w:color w:val="auto"/>
                <w:w w:val="88"/>
              </w:rPr>
              <w:t>$</w:t>
            </w:r>
          </w:p>
        </w:tc>
        <w:tc>
          <w:tcPr>
            <w:tcW w:w="460" w:type="dxa"/>
            <w:vAlign w:val="bottom"/>
          </w:tcPr>
          <w:p>
            <w:pPr>
              <w:jc w:val="right"/>
              <w:ind w:right="38"/>
              <w:spacing w:after="0" w:line="90" w:lineRule="exact"/>
              <w:rPr>
                <w:sz w:val="20"/>
                <w:szCs w:val="20"/>
                <w:color w:val="auto"/>
              </w:rPr>
            </w:pPr>
            <w:r>
              <w:rPr>
                <w:rFonts w:ascii="Arial" w:cs="Arial" w:eastAsia="Arial" w:hAnsi="Arial"/>
                <w:sz w:val="8"/>
                <w:szCs w:val="8"/>
                <w:color w:val="auto"/>
              </w:rPr>
              <w:t>1,600,000</w:t>
            </w:r>
          </w:p>
        </w:tc>
        <w:tc>
          <w:tcPr>
            <w:tcW w:w="140" w:type="dxa"/>
            <w:vAlign w:val="bottom"/>
          </w:tcPr>
          <w:p>
            <w:pPr>
              <w:ind w:left="80"/>
              <w:spacing w:after="0" w:line="90" w:lineRule="exact"/>
              <w:rPr>
                <w:sz w:val="20"/>
                <w:szCs w:val="20"/>
                <w:color w:val="auto"/>
              </w:rPr>
            </w:pPr>
            <w:r>
              <w:rPr>
                <w:rFonts w:ascii="Arial" w:cs="Arial" w:eastAsia="Arial" w:hAnsi="Arial"/>
                <w:sz w:val="8"/>
                <w:szCs w:val="8"/>
                <w:color w:val="auto"/>
                <w:w w:val="88"/>
              </w:rPr>
              <w:t>$</w:t>
            </w:r>
          </w:p>
        </w:tc>
        <w:tc>
          <w:tcPr>
            <w:tcW w:w="560" w:type="dxa"/>
            <w:vAlign w:val="bottom"/>
          </w:tcPr>
          <w:p>
            <w:pPr>
              <w:jc w:val="right"/>
              <w:ind w:right="38"/>
              <w:spacing w:after="0" w:line="90" w:lineRule="exact"/>
              <w:rPr>
                <w:sz w:val="20"/>
                <w:szCs w:val="20"/>
                <w:color w:val="auto"/>
              </w:rPr>
            </w:pPr>
            <w:r>
              <w:rPr>
                <w:rFonts w:ascii="Arial" w:cs="Arial" w:eastAsia="Arial" w:hAnsi="Arial"/>
                <w:sz w:val="8"/>
                <w:szCs w:val="8"/>
                <w:color w:val="auto"/>
              </w:rPr>
              <w:t>33,512</w:t>
            </w:r>
          </w:p>
        </w:tc>
        <w:tc>
          <w:tcPr>
            <w:tcW w:w="16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440" w:type="dxa"/>
            <w:vAlign w:val="bottom"/>
          </w:tcPr>
          <w:p>
            <w:pPr>
              <w:jc w:val="right"/>
              <w:ind w:right="58"/>
              <w:spacing w:after="0" w:line="90" w:lineRule="exact"/>
              <w:rPr>
                <w:sz w:val="20"/>
                <w:szCs w:val="20"/>
                <w:color w:val="auto"/>
              </w:rPr>
            </w:pPr>
            <w:r>
              <w:rPr>
                <w:rFonts w:ascii="Arial" w:cs="Arial" w:eastAsia="Arial" w:hAnsi="Arial"/>
                <w:sz w:val="8"/>
                <w:szCs w:val="8"/>
                <w:color w:val="auto"/>
              </w:rPr>
              <w:t>227,394</w:t>
            </w:r>
          </w:p>
        </w:tc>
        <w:tc>
          <w:tcPr>
            <w:tcW w:w="80" w:type="dxa"/>
            <w:vAlign w:val="bottom"/>
          </w:tcPr>
          <w:p>
            <w:pPr>
              <w:jc w:val="right"/>
              <w:spacing w:after="0" w:line="90" w:lineRule="exact"/>
              <w:rPr>
                <w:sz w:val="20"/>
                <w:szCs w:val="20"/>
                <w:color w:val="auto"/>
              </w:rPr>
            </w:pPr>
            <w:r>
              <w:rPr>
                <w:rFonts w:ascii="Arial" w:cs="Arial" w:eastAsia="Arial" w:hAnsi="Arial"/>
                <w:sz w:val="8"/>
                <w:szCs w:val="8"/>
                <w:color w:val="auto"/>
                <w:w w:val="88"/>
              </w:rPr>
              <w:t>$</w:t>
            </w:r>
          </w:p>
        </w:tc>
        <w:tc>
          <w:tcPr>
            <w:tcW w:w="460" w:type="dxa"/>
            <w:vAlign w:val="bottom"/>
          </w:tcPr>
          <w:p>
            <w:pPr>
              <w:jc w:val="right"/>
              <w:spacing w:after="0" w:line="90" w:lineRule="exact"/>
              <w:rPr>
                <w:sz w:val="20"/>
                <w:szCs w:val="20"/>
                <w:color w:val="auto"/>
              </w:rPr>
            </w:pPr>
            <w:r>
              <w:rPr>
                <w:rFonts w:ascii="Arial" w:cs="Arial" w:eastAsia="Arial" w:hAnsi="Arial"/>
                <w:sz w:val="8"/>
                <w:szCs w:val="8"/>
                <w:color w:val="auto"/>
              </w:rPr>
              <w:t>6,010,406</w:t>
            </w:r>
          </w:p>
        </w:tc>
      </w:tr>
      <w:tr>
        <w:trPr>
          <w:trHeight w:val="100"/>
        </w:trPr>
        <w:tc>
          <w:tcPr>
            <w:tcW w:w="2560" w:type="dxa"/>
            <w:vAlign w:val="bottom"/>
          </w:tcPr>
          <w:p>
            <w:pPr>
              <w:ind w:left="40"/>
              <w:spacing w:after="0"/>
              <w:rPr>
                <w:sz w:val="20"/>
                <w:szCs w:val="20"/>
                <w:color w:val="auto"/>
              </w:rPr>
            </w:pPr>
            <w:r>
              <w:rPr>
                <w:rFonts w:ascii="Arial" w:cs="Arial" w:eastAsia="Arial" w:hAnsi="Arial"/>
                <w:sz w:val="8"/>
                <w:szCs w:val="8"/>
                <w:color w:val="auto"/>
              </w:rPr>
              <w:t>Chief Financial Officer</w:t>
            </w:r>
          </w:p>
        </w:tc>
        <w:tc>
          <w:tcPr>
            <w:tcW w:w="280" w:type="dxa"/>
            <w:vAlign w:val="bottom"/>
          </w:tcPr>
          <w:p>
            <w:pPr>
              <w:jc w:val="center"/>
              <w:spacing w:after="0"/>
              <w:rPr>
                <w:sz w:val="20"/>
                <w:szCs w:val="20"/>
                <w:color w:val="auto"/>
              </w:rPr>
            </w:pPr>
            <w:r>
              <w:rPr>
                <w:rFonts w:ascii="Arial" w:cs="Arial" w:eastAsia="Arial" w:hAnsi="Arial"/>
                <w:sz w:val="8"/>
                <w:szCs w:val="8"/>
                <w:color w:val="auto"/>
              </w:rPr>
              <w:t>2020</w:t>
            </w:r>
          </w:p>
        </w:tc>
        <w:tc>
          <w:tcPr>
            <w:tcW w:w="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900,000</w:t>
            </w:r>
          </w:p>
        </w:tc>
        <w:tc>
          <w:tcPr>
            <w:tcW w:w="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0</w:t>
            </w:r>
          </w:p>
        </w:tc>
        <w:tc>
          <w:tcPr>
            <w:tcW w:w="100" w:type="dxa"/>
            <w:vAlign w:val="bottom"/>
          </w:tcPr>
          <w:p>
            <w:pPr>
              <w:jc w:val="right"/>
              <w:spacing w:after="0"/>
              <w:rPr>
                <w:sz w:val="20"/>
                <w:szCs w:val="20"/>
                <w:color w:val="auto"/>
              </w:rPr>
            </w:pPr>
            <w:r>
              <w:rPr>
                <w:rFonts w:ascii="Arial" w:cs="Arial" w:eastAsia="Arial" w:hAnsi="Arial"/>
                <w:sz w:val="8"/>
                <w:szCs w:val="8"/>
                <w:color w:val="auto"/>
              </w:rPr>
              <w:t>$</w:t>
            </w:r>
          </w:p>
        </w:tc>
        <w:tc>
          <w:tcPr>
            <w:tcW w:w="460" w:type="dxa"/>
            <w:vAlign w:val="bottom"/>
          </w:tcPr>
          <w:p>
            <w:pPr>
              <w:jc w:val="right"/>
              <w:spacing w:after="0"/>
              <w:rPr>
                <w:sz w:val="20"/>
                <w:szCs w:val="20"/>
                <w:color w:val="auto"/>
              </w:rPr>
            </w:pPr>
            <w:r>
              <w:rPr>
                <w:rFonts w:ascii="Arial" w:cs="Arial" w:eastAsia="Arial" w:hAnsi="Arial"/>
                <w:sz w:val="8"/>
                <w:szCs w:val="8"/>
                <w:color w:val="auto"/>
              </w:rPr>
              <w:t>2,475,571</w:t>
            </w:r>
          </w:p>
        </w:tc>
        <w:tc>
          <w:tcPr>
            <w:tcW w:w="100" w:type="dxa"/>
            <w:vAlign w:val="bottom"/>
          </w:tcPr>
          <w:p>
            <w:pPr>
              <w:ind w:left="40"/>
              <w:spacing w:after="0"/>
              <w:rPr>
                <w:sz w:val="20"/>
                <w:szCs w:val="20"/>
                <w:color w:val="auto"/>
              </w:rPr>
            </w:pPr>
            <w:r>
              <w:rPr>
                <w:rFonts w:ascii="Arial" w:cs="Arial" w:eastAsia="Arial" w:hAnsi="Arial"/>
                <w:sz w:val="8"/>
                <w:szCs w:val="8"/>
                <w:color w:val="auto"/>
                <w:w w:val="88"/>
              </w:rPr>
              <w:t>$</w:t>
            </w:r>
          </w:p>
        </w:tc>
        <w:tc>
          <w:tcPr>
            <w:tcW w:w="400" w:type="dxa"/>
            <w:vAlign w:val="bottom"/>
          </w:tcPr>
          <w:p>
            <w:pPr>
              <w:jc w:val="right"/>
              <w:spacing w:after="0"/>
              <w:rPr>
                <w:sz w:val="20"/>
                <w:szCs w:val="20"/>
                <w:color w:val="auto"/>
              </w:rPr>
            </w:pPr>
            <w:r>
              <w:rPr>
                <w:rFonts w:ascii="Arial" w:cs="Arial" w:eastAsia="Arial" w:hAnsi="Arial"/>
                <w:sz w:val="8"/>
                <w:szCs w:val="8"/>
                <w:color w:val="auto"/>
              </w:rPr>
              <w:t>737,686</w:t>
            </w:r>
          </w:p>
        </w:tc>
        <w:tc>
          <w:tcPr>
            <w:tcW w:w="140" w:type="dxa"/>
            <w:vAlign w:val="bottom"/>
          </w:tcPr>
          <w:p>
            <w:pPr>
              <w:ind w:left="80"/>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ind w:right="38"/>
              <w:spacing w:after="0"/>
              <w:rPr>
                <w:sz w:val="20"/>
                <w:szCs w:val="20"/>
                <w:color w:val="auto"/>
              </w:rPr>
            </w:pPr>
            <w:r>
              <w:rPr>
                <w:rFonts w:ascii="Arial" w:cs="Arial" w:eastAsia="Arial" w:hAnsi="Arial"/>
                <w:sz w:val="8"/>
                <w:szCs w:val="8"/>
                <w:color w:val="auto"/>
              </w:rPr>
              <w:t>1,500,000</w:t>
            </w:r>
          </w:p>
        </w:tc>
        <w:tc>
          <w:tcPr>
            <w:tcW w:w="140" w:type="dxa"/>
            <w:vAlign w:val="bottom"/>
          </w:tcPr>
          <w:p>
            <w:pPr>
              <w:ind w:left="80"/>
              <w:spacing w:after="0"/>
              <w:rPr>
                <w:sz w:val="20"/>
                <w:szCs w:val="20"/>
                <w:color w:val="auto"/>
              </w:rPr>
            </w:pPr>
            <w:r>
              <w:rPr>
                <w:rFonts w:ascii="Arial" w:cs="Arial" w:eastAsia="Arial" w:hAnsi="Arial"/>
                <w:sz w:val="8"/>
                <w:szCs w:val="8"/>
                <w:color w:val="auto"/>
                <w:w w:val="88"/>
              </w:rPr>
              <w:t>$</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54,315</w:t>
            </w:r>
          </w:p>
        </w:tc>
        <w:tc>
          <w:tcPr>
            <w:tcW w:w="160" w:type="dxa"/>
            <w:vAlign w:val="bottom"/>
          </w:tcPr>
          <w:p>
            <w:pPr>
              <w:jc w:val="right"/>
              <w:spacing w:after="0"/>
              <w:rPr>
                <w:sz w:val="20"/>
                <w:szCs w:val="20"/>
                <w:color w:val="auto"/>
              </w:rPr>
            </w:pPr>
            <w:r>
              <w:rPr>
                <w:rFonts w:ascii="Arial" w:cs="Arial" w:eastAsia="Arial" w:hAnsi="Arial"/>
                <w:sz w:val="8"/>
                <w:szCs w:val="8"/>
                <w:color w:val="auto"/>
              </w:rPr>
              <w:t>$</w:t>
            </w:r>
          </w:p>
        </w:tc>
        <w:tc>
          <w:tcPr>
            <w:tcW w:w="440" w:type="dxa"/>
            <w:vAlign w:val="bottom"/>
          </w:tcPr>
          <w:p>
            <w:pPr>
              <w:jc w:val="right"/>
              <w:ind w:right="58"/>
              <w:spacing w:after="0"/>
              <w:rPr>
                <w:sz w:val="20"/>
                <w:szCs w:val="20"/>
                <w:color w:val="auto"/>
              </w:rPr>
            </w:pPr>
            <w:r>
              <w:rPr>
                <w:rFonts w:ascii="Arial" w:cs="Arial" w:eastAsia="Arial" w:hAnsi="Arial"/>
                <w:sz w:val="8"/>
                <w:szCs w:val="8"/>
                <w:color w:val="auto"/>
              </w:rPr>
              <w:t>199,600</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spacing w:after="0"/>
              <w:rPr>
                <w:sz w:val="20"/>
                <w:szCs w:val="20"/>
                <w:color w:val="auto"/>
              </w:rPr>
            </w:pPr>
            <w:r>
              <w:rPr>
                <w:rFonts w:ascii="Arial" w:cs="Arial" w:eastAsia="Arial" w:hAnsi="Arial"/>
                <w:sz w:val="8"/>
                <w:szCs w:val="8"/>
                <w:color w:val="auto"/>
              </w:rPr>
              <w:t>5,867,172</w:t>
            </w:r>
          </w:p>
        </w:tc>
      </w:tr>
      <w:tr>
        <w:trPr>
          <w:trHeight w:val="84"/>
        </w:trPr>
        <w:tc>
          <w:tcPr>
            <w:tcW w:w="2560" w:type="dxa"/>
            <w:vAlign w:val="bottom"/>
            <w:tcBorders>
              <w:bottom w:val="single" w:sz="8" w:color="009BDE"/>
            </w:tcBorders>
          </w:tcPr>
          <w:p>
            <w:pPr>
              <w:spacing w:after="0"/>
              <w:rPr>
                <w:sz w:val="7"/>
                <w:szCs w:val="7"/>
                <w:color w:val="auto"/>
              </w:rPr>
            </w:pPr>
          </w:p>
        </w:tc>
        <w:tc>
          <w:tcPr>
            <w:tcW w:w="280" w:type="dxa"/>
            <w:vAlign w:val="bottom"/>
            <w:tcBorders>
              <w:bottom w:val="single" w:sz="8" w:color="009BDE"/>
            </w:tcBorders>
          </w:tcPr>
          <w:p>
            <w:pPr>
              <w:spacing w:after="0"/>
              <w:rPr>
                <w:sz w:val="7"/>
                <w:szCs w:val="7"/>
                <w:color w:val="auto"/>
              </w:rPr>
            </w:pPr>
          </w:p>
        </w:tc>
        <w:tc>
          <w:tcPr>
            <w:tcW w:w="80" w:type="dxa"/>
            <w:vAlign w:val="bottom"/>
            <w:tcBorders>
              <w:bottom w:val="single" w:sz="8" w:color="009BDE"/>
            </w:tcBorders>
          </w:tcPr>
          <w:p>
            <w:pPr>
              <w:spacing w:after="0"/>
              <w:rPr>
                <w:sz w:val="7"/>
                <w:szCs w:val="7"/>
                <w:color w:val="auto"/>
              </w:rPr>
            </w:pPr>
          </w:p>
        </w:tc>
        <w:tc>
          <w:tcPr>
            <w:tcW w:w="420" w:type="dxa"/>
            <w:vAlign w:val="bottom"/>
            <w:tcBorders>
              <w:bottom w:val="single" w:sz="8" w:color="009BDE"/>
            </w:tcBorders>
          </w:tcPr>
          <w:p>
            <w:pPr>
              <w:spacing w:after="0"/>
              <w:rPr>
                <w:sz w:val="7"/>
                <w:szCs w:val="7"/>
                <w:color w:val="auto"/>
              </w:rPr>
            </w:pPr>
          </w:p>
        </w:tc>
        <w:tc>
          <w:tcPr>
            <w:tcW w:w="80" w:type="dxa"/>
            <w:vAlign w:val="bottom"/>
            <w:tcBorders>
              <w:bottom w:val="single" w:sz="8" w:color="009BDE"/>
            </w:tcBorders>
          </w:tcPr>
          <w:p>
            <w:pPr>
              <w:spacing w:after="0"/>
              <w:rPr>
                <w:sz w:val="7"/>
                <w:szCs w:val="7"/>
                <w:color w:val="auto"/>
              </w:rPr>
            </w:pPr>
          </w:p>
        </w:tc>
        <w:tc>
          <w:tcPr>
            <w:tcW w:w="420" w:type="dxa"/>
            <w:vAlign w:val="bottom"/>
            <w:tcBorders>
              <w:bottom w:val="single" w:sz="8" w:color="009BDE"/>
            </w:tcBorders>
          </w:tcPr>
          <w:p>
            <w:pPr>
              <w:spacing w:after="0"/>
              <w:rPr>
                <w:sz w:val="7"/>
                <w:szCs w:val="7"/>
                <w:color w:val="auto"/>
              </w:rPr>
            </w:pPr>
          </w:p>
        </w:tc>
        <w:tc>
          <w:tcPr>
            <w:tcW w:w="100" w:type="dxa"/>
            <w:vAlign w:val="bottom"/>
            <w:tcBorders>
              <w:bottom w:val="single" w:sz="8" w:color="009BDE"/>
            </w:tcBorders>
          </w:tcPr>
          <w:p>
            <w:pPr>
              <w:spacing w:after="0"/>
              <w:rPr>
                <w:sz w:val="7"/>
                <w:szCs w:val="7"/>
                <w:color w:val="auto"/>
              </w:rPr>
            </w:pPr>
          </w:p>
        </w:tc>
        <w:tc>
          <w:tcPr>
            <w:tcW w:w="460" w:type="dxa"/>
            <w:vAlign w:val="bottom"/>
            <w:tcBorders>
              <w:bottom w:val="single" w:sz="8" w:color="009BDE"/>
            </w:tcBorders>
          </w:tcPr>
          <w:p>
            <w:pPr>
              <w:spacing w:after="0"/>
              <w:rPr>
                <w:sz w:val="7"/>
                <w:szCs w:val="7"/>
                <w:color w:val="auto"/>
              </w:rPr>
            </w:pPr>
          </w:p>
        </w:tc>
        <w:tc>
          <w:tcPr>
            <w:tcW w:w="100" w:type="dxa"/>
            <w:vAlign w:val="bottom"/>
            <w:tcBorders>
              <w:bottom w:val="single" w:sz="8" w:color="009BDE"/>
            </w:tcBorders>
          </w:tcPr>
          <w:p>
            <w:pPr>
              <w:spacing w:after="0"/>
              <w:rPr>
                <w:sz w:val="7"/>
                <w:szCs w:val="7"/>
                <w:color w:val="auto"/>
              </w:rPr>
            </w:pPr>
          </w:p>
        </w:tc>
        <w:tc>
          <w:tcPr>
            <w:tcW w:w="400" w:type="dxa"/>
            <w:vAlign w:val="bottom"/>
            <w:tcBorders>
              <w:bottom w:val="single" w:sz="8" w:color="009BDE"/>
            </w:tcBorders>
          </w:tcPr>
          <w:p>
            <w:pPr>
              <w:spacing w:after="0"/>
              <w:rPr>
                <w:sz w:val="7"/>
                <w:szCs w:val="7"/>
                <w:color w:val="auto"/>
              </w:rPr>
            </w:pPr>
          </w:p>
        </w:tc>
        <w:tc>
          <w:tcPr>
            <w:tcW w:w="140" w:type="dxa"/>
            <w:vAlign w:val="bottom"/>
            <w:tcBorders>
              <w:bottom w:val="single" w:sz="8" w:color="009BDE"/>
            </w:tcBorders>
          </w:tcPr>
          <w:p>
            <w:pPr>
              <w:spacing w:after="0"/>
              <w:rPr>
                <w:sz w:val="7"/>
                <w:szCs w:val="7"/>
                <w:color w:val="auto"/>
              </w:rPr>
            </w:pPr>
          </w:p>
        </w:tc>
        <w:tc>
          <w:tcPr>
            <w:tcW w:w="460" w:type="dxa"/>
            <w:vAlign w:val="bottom"/>
            <w:tcBorders>
              <w:bottom w:val="single" w:sz="8" w:color="009BDE"/>
            </w:tcBorders>
          </w:tcPr>
          <w:p>
            <w:pPr>
              <w:spacing w:after="0"/>
              <w:rPr>
                <w:sz w:val="7"/>
                <w:szCs w:val="7"/>
                <w:color w:val="auto"/>
              </w:rPr>
            </w:pPr>
          </w:p>
        </w:tc>
        <w:tc>
          <w:tcPr>
            <w:tcW w:w="140" w:type="dxa"/>
            <w:vAlign w:val="bottom"/>
            <w:tcBorders>
              <w:bottom w:val="single" w:sz="8" w:color="009BDE"/>
            </w:tcBorders>
          </w:tcPr>
          <w:p>
            <w:pPr>
              <w:spacing w:after="0"/>
              <w:rPr>
                <w:sz w:val="7"/>
                <w:szCs w:val="7"/>
                <w:color w:val="auto"/>
              </w:rPr>
            </w:pPr>
          </w:p>
        </w:tc>
        <w:tc>
          <w:tcPr>
            <w:tcW w:w="560" w:type="dxa"/>
            <w:vAlign w:val="bottom"/>
            <w:tcBorders>
              <w:bottom w:val="single" w:sz="8" w:color="009BDE"/>
            </w:tcBorders>
          </w:tcPr>
          <w:p>
            <w:pPr>
              <w:spacing w:after="0"/>
              <w:rPr>
                <w:sz w:val="7"/>
                <w:szCs w:val="7"/>
                <w:color w:val="auto"/>
              </w:rPr>
            </w:pPr>
          </w:p>
        </w:tc>
        <w:tc>
          <w:tcPr>
            <w:tcW w:w="160" w:type="dxa"/>
            <w:vAlign w:val="bottom"/>
            <w:tcBorders>
              <w:bottom w:val="single" w:sz="8" w:color="009BDE"/>
            </w:tcBorders>
          </w:tcPr>
          <w:p>
            <w:pPr>
              <w:spacing w:after="0"/>
              <w:rPr>
                <w:sz w:val="7"/>
                <w:szCs w:val="7"/>
                <w:color w:val="auto"/>
              </w:rPr>
            </w:pPr>
          </w:p>
        </w:tc>
        <w:tc>
          <w:tcPr>
            <w:tcW w:w="440" w:type="dxa"/>
            <w:vAlign w:val="bottom"/>
            <w:tcBorders>
              <w:bottom w:val="single" w:sz="8" w:color="009BDE"/>
            </w:tcBorders>
          </w:tcPr>
          <w:p>
            <w:pPr>
              <w:spacing w:after="0"/>
              <w:rPr>
                <w:sz w:val="7"/>
                <w:szCs w:val="7"/>
                <w:color w:val="auto"/>
              </w:rPr>
            </w:pPr>
          </w:p>
        </w:tc>
        <w:tc>
          <w:tcPr>
            <w:tcW w:w="80" w:type="dxa"/>
            <w:vAlign w:val="bottom"/>
            <w:tcBorders>
              <w:bottom w:val="single" w:sz="8" w:color="009BDE"/>
            </w:tcBorders>
          </w:tcPr>
          <w:p>
            <w:pPr>
              <w:spacing w:after="0"/>
              <w:rPr>
                <w:sz w:val="7"/>
                <w:szCs w:val="7"/>
                <w:color w:val="auto"/>
              </w:rPr>
            </w:pPr>
          </w:p>
        </w:tc>
        <w:tc>
          <w:tcPr>
            <w:tcW w:w="460" w:type="dxa"/>
            <w:vAlign w:val="bottom"/>
            <w:tcBorders>
              <w:bottom w:val="single" w:sz="8" w:color="009BDE"/>
            </w:tcBorders>
          </w:tcPr>
          <w:p>
            <w:pPr>
              <w:spacing w:after="0"/>
              <w:rPr>
                <w:sz w:val="7"/>
                <w:szCs w:val="7"/>
                <w:color w:val="auto"/>
              </w:rPr>
            </w:pPr>
          </w:p>
        </w:tc>
      </w:tr>
      <w:tr>
        <w:trPr>
          <w:trHeight w:val="138"/>
        </w:trPr>
        <w:tc>
          <w:tcPr>
            <w:tcW w:w="2560" w:type="dxa"/>
            <w:vAlign w:val="bottom"/>
          </w:tcPr>
          <w:p>
            <w:pPr>
              <w:ind w:left="40"/>
              <w:spacing w:after="0"/>
              <w:rPr>
                <w:sz w:val="20"/>
                <w:szCs w:val="20"/>
                <w:color w:val="auto"/>
              </w:rPr>
            </w:pPr>
            <w:r>
              <w:rPr>
                <w:rFonts w:ascii="Arial" w:cs="Arial" w:eastAsia="Arial" w:hAnsi="Arial"/>
                <w:sz w:val="8"/>
                <w:szCs w:val="8"/>
                <w:b w:val="1"/>
                <w:bCs w:val="1"/>
                <w:color w:val="auto"/>
              </w:rPr>
              <w:t>Cynthia Williams</w:t>
            </w:r>
          </w:p>
        </w:tc>
        <w:tc>
          <w:tcPr>
            <w:tcW w:w="280" w:type="dxa"/>
            <w:vAlign w:val="bottom"/>
          </w:tcPr>
          <w:p>
            <w:pPr>
              <w:jc w:val="center"/>
              <w:spacing w:after="0"/>
              <w:rPr>
                <w:sz w:val="20"/>
                <w:szCs w:val="20"/>
                <w:color w:val="auto"/>
              </w:rPr>
            </w:pPr>
            <w:r>
              <w:rPr>
                <w:rFonts w:ascii="Arial" w:cs="Arial" w:eastAsia="Arial" w:hAnsi="Arial"/>
                <w:sz w:val="8"/>
                <w:szCs w:val="8"/>
                <w:color w:val="auto"/>
              </w:rPr>
              <w:t>2022</w:t>
            </w:r>
          </w:p>
        </w:tc>
        <w:tc>
          <w:tcPr>
            <w:tcW w:w="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507,692</w:t>
            </w:r>
          </w:p>
        </w:tc>
        <w:tc>
          <w:tcPr>
            <w:tcW w:w="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500,000</w:t>
            </w:r>
          </w:p>
        </w:tc>
        <w:tc>
          <w:tcPr>
            <w:tcW w:w="100" w:type="dxa"/>
            <w:vAlign w:val="bottom"/>
          </w:tcPr>
          <w:p>
            <w:pPr>
              <w:jc w:val="right"/>
              <w:spacing w:after="0"/>
              <w:rPr>
                <w:sz w:val="20"/>
                <w:szCs w:val="20"/>
                <w:color w:val="auto"/>
              </w:rPr>
            </w:pPr>
            <w:r>
              <w:rPr>
                <w:rFonts w:ascii="Arial" w:cs="Arial" w:eastAsia="Arial" w:hAnsi="Arial"/>
                <w:sz w:val="8"/>
                <w:szCs w:val="8"/>
                <w:color w:val="auto"/>
              </w:rPr>
              <w:t>$</w:t>
            </w:r>
          </w:p>
        </w:tc>
        <w:tc>
          <w:tcPr>
            <w:tcW w:w="460" w:type="dxa"/>
            <w:vAlign w:val="bottom"/>
          </w:tcPr>
          <w:p>
            <w:pPr>
              <w:jc w:val="right"/>
              <w:spacing w:after="0"/>
              <w:rPr>
                <w:sz w:val="20"/>
                <w:szCs w:val="20"/>
                <w:color w:val="auto"/>
              </w:rPr>
            </w:pPr>
            <w:r>
              <w:rPr>
                <w:rFonts w:ascii="Arial" w:cs="Arial" w:eastAsia="Arial" w:hAnsi="Arial"/>
                <w:sz w:val="8"/>
                <w:szCs w:val="8"/>
                <w:color w:val="auto"/>
              </w:rPr>
              <w:t>4,900,214</w:t>
            </w:r>
          </w:p>
        </w:tc>
        <w:tc>
          <w:tcPr>
            <w:tcW w:w="100" w:type="dxa"/>
            <w:vAlign w:val="bottom"/>
          </w:tcPr>
          <w:p>
            <w:pPr>
              <w:ind w:left="40"/>
              <w:spacing w:after="0"/>
              <w:rPr>
                <w:sz w:val="20"/>
                <w:szCs w:val="20"/>
                <w:color w:val="auto"/>
              </w:rPr>
            </w:pPr>
            <w:r>
              <w:rPr>
                <w:rFonts w:ascii="Arial" w:cs="Arial" w:eastAsia="Arial" w:hAnsi="Arial"/>
                <w:sz w:val="8"/>
                <w:szCs w:val="8"/>
                <w:color w:val="auto"/>
                <w:w w:val="88"/>
              </w:rPr>
              <w:t>$</w:t>
            </w:r>
          </w:p>
        </w:tc>
        <w:tc>
          <w:tcPr>
            <w:tcW w:w="400" w:type="dxa"/>
            <w:vAlign w:val="bottom"/>
          </w:tcPr>
          <w:p>
            <w:pPr>
              <w:jc w:val="right"/>
              <w:spacing w:after="0"/>
              <w:rPr>
                <w:sz w:val="20"/>
                <w:szCs w:val="20"/>
                <w:color w:val="auto"/>
              </w:rPr>
            </w:pPr>
            <w:r>
              <w:rPr>
                <w:rFonts w:ascii="Arial" w:cs="Arial" w:eastAsia="Arial" w:hAnsi="Arial"/>
                <w:sz w:val="8"/>
                <w:szCs w:val="8"/>
                <w:color w:val="auto"/>
              </w:rPr>
              <w:t>337,954</w:t>
            </w:r>
          </w:p>
        </w:tc>
        <w:tc>
          <w:tcPr>
            <w:tcW w:w="140" w:type="dxa"/>
            <w:vAlign w:val="bottom"/>
          </w:tcPr>
          <w:p>
            <w:pPr>
              <w:ind w:left="80"/>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ind w:right="38"/>
              <w:spacing w:after="0"/>
              <w:rPr>
                <w:sz w:val="20"/>
                <w:szCs w:val="20"/>
                <w:color w:val="auto"/>
              </w:rPr>
            </w:pPr>
            <w:r>
              <w:rPr>
                <w:rFonts w:ascii="Arial" w:cs="Arial" w:eastAsia="Arial" w:hAnsi="Arial"/>
                <w:sz w:val="8"/>
                <w:szCs w:val="8"/>
                <w:color w:val="auto"/>
              </w:rPr>
              <w:t>285,577</w:t>
            </w:r>
          </w:p>
        </w:tc>
        <w:tc>
          <w:tcPr>
            <w:tcW w:w="140" w:type="dxa"/>
            <w:vAlign w:val="bottom"/>
          </w:tcPr>
          <w:p>
            <w:pPr>
              <w:ind w:left="80"/>
              <w:spacing w:after="0"/>
              <w:rPr>
                <w:sz w:val="20"/>
                <w:szCs w:val="20"/>
                <w:color w:val="auto"/>
              </w:rPr>
            </w:pPr>
            <w:r>
              <w:rPr>
                <w:rFonts w:ascii="Arial" w:cs="Arial" w:eastAsia="Arial" w:hAnsi="Arial"/>
                <w:sz w:val="8"/>
                <w:szCs w:val="8"/>
                <w:color w:val="auto"/>
                <w:w w:val="88"/>
              </w:rPr>
              <w:t>$</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0</w:t>
            </w:r>
          </w:p>
        </w:tc>
        <w:tc>
          <w:tcPr>
            <w:tcW w:w="160" w:type="dxa"/>
            <w:vAlign w:val="bottom"/>
          </w:tcPr>
          <w:p>
            <w:pPr>
              <w:jc w:val="right"/>
              <w:spacing w:after="0"/>
              <w:rPr>
                <w:sz w:val="20"/>
                <w:szCs w:val="20"/>
                <w:color w:val="auto"/>
              </w:rPr>
            </w:pPr>
            <w:r>
              <w:rPr>
                <w:rFonts w:ascii="Arial" w:cs="Arial" w:eastAsia="Arial" w:hAnsi="Arial"/>
                <w:sz w:val="8"/>
                <w:szCs w:val="8"/>
                <w:color w:val="auto"/>
              </w:rPr>
              <w:t>$</w:t>
            </w:r>
          </w:p>
        </w:tc>
        <w:tc>
          <w:tcPr>
            <w:tcW w:w="440" w:type="dxa"/>
            <w:vAlign w:val="bottom"/>
          </w:tcPr>
          <w:p>
            <w:pPr>
              <w:jc w:val="right"/>
              <w:ind w:right="58"/>
              <w:spacing w:after="0"/>
              <w:rPr>
                <w:sz w:val="20"/>
                <w:szCs w:val="20"/>
                <w:color w:val="auto"/>
              </w:rPr>
            </w:pPr>
            <w:r>
              <w:rPr>
                <w:rFonts w:ascii="Arial" w:cs="Arial" w:eastAsia="Arial" w:hAnsi="Arial"/>
                <w:sz w:val="8"/>
                <w:szCs w:val="8"/>
                <w:color w:val="auto"/>
              </w:rPr>
              <w:t>19,857</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spacing w:after="0"/>
              <w:rPr>
                <w:sz w:val="20"/>
                <w:szCs w:val="20"/>
                <w:color w:val="auto"/>
              </w:rPr>
            </w:pPr>
            <w:r>
              <w:rPr>
                <w:rFonts w:ascii="Arial" w:cs="Arial" w:eastAsia="Arial" w:hAnsi="Arial"/>
                <w:sz w:val="8"/>
                <w:szCs w:val="8"/>
                <w:color w:val="auto"/>
              </w:rPr>
              <w:t>6,551,294</w:t>
            </w:r>
          </w:p>
        </w:tc>
      </w:tr>
      <w:tr>
        <w:trPr>
          <w:trHeight w:val="90"/>
        </w:trPr>
        <w:tc>
          <w:tcPr>
            <w:tcW w:w="2560" w:type="dxa"/>
            <w:vAlign w:val="bottom"/>
          </w:tcPr>
          <w:p>
            <w:pPr>
              <w:ind w:left="40"/>
              <w:spacing w:after="0" w:line="90" w:lineRule="exact"/>
              <w:rPr>
                <w:sz w:val="20"/>
                <w:szCs w:val="20"/>
                <w:color w:val="auto"/>
              </w:rPr>
            </w:pPr>
            <w:r>
              <w:rPr>
                <w:rFonts w:ascii="Arial" w:cs="Arial" w:eastAsia="Arial" w:hAnsi="Arial"/>
                <w:sz w:val="8"/>
                <w:szCs w:val="8"/>
                <w:color w:val="auto"/>
              </w:rPr>
              <w:t>President and Chief Operating Officer, Wizards of the Coast and</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r>
      <w:tr>
        <w:trPr>
          <w:trHeight w:val="100"/>
        </w:trPr>
        <w:tc>
          <w:tcPr>
            <w:tcW w:w="2560" w:type="dxa"/>
            <w:vAlign w:val="bottom"/>
          </w:tcPr>
          <w:p>
            <w:pPr>
              <w:ind w:left="40"/>
              <w:spacing w:after="0"/>
              <w:rPr>
                <w:sz w:val="20"/>
                <w:szCs w:val="20"/>
                <w:color w:val="auto"/>
              </w:rPr>
            </w:pPr>
            <w:r>
              <w:rPr>
                <w:rFonts w:ascii="Arial" w:cs="Arial" w:eastAsia="Arial" w:hAnsi="Arial"/>
                <w:sz w:val="8"/>
                <w:szCs w:val="8"/>
                <w:color w:val="auto"/>
              </w:rPr>
              <w:t>Digital Gaming</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66"/>
        </w:trPr>
        <w:tc>
          <w:tcPr>
            <w:tcW w:w="256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2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2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4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6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r>
      <w:tr>
        <w:trPr>
          <w:trHeight w:val="138"/>
        </w:trPr>
        <w:tc>
          <w:tcPr>
            <w:tcW w:w="2560" w:type="dxa"/>
            <w:vAlign w:val="bottom"/>
          </w:tcPr>
          <w:p>
            <w:pPr>
              <w:ind w:left="40"/>
              <w:spacing w:after="0"/>
              <w:rPr>
                <w:sz w:val="20"/>
                <w:szCs w:val="20"/>
                <w:color w:val="auto"/>
              </w:rPr>
            </w:pPr>
            <w:r>
              <w:rPr>
                <w:rFonts w:ascii="Arial" w:cs="Arial" w:eastAsia="Arial" w:hAnsi="Arial"/>
                <w:sz w:val="8"/>
                <w:szCs w:val="8"/>
                <w:b w:val="1"/>
                <w:bCs w:val="1"/>
                <w:color w:val="auto"/>
              </w:rPr>
              <w:t>Eric Nyman</w:t>
            </w:r>
          </w:p>
        </w:tc>
        <w:tc>
          <w:tcPr>
            <w:tcW w:w="280" w:type="dxa"/>
            <w:vAlign w:val="bottom"/>
          </w:tcPr>
          <w:p>
            <w:pPr>
              <w:jc w:val="center"/>
              <w:spacing w:after="0"/>
              <w:rPr>
                <w:sz w:val="20"/>
                <w:szCs w:val="20"/>
                <w:color w:val="auto"/>
              </w:rPr>
            </w:pPr>
            <w:r>
              <w:rPr>
                <w:rFonts w:ascii="Arial" w:cs="Arial" w:eastAsia="Arial" w:hAnsi="Arial"/>
                <w:sz w:val="8"/>
                <w:szCs w:val="8"/>
                <w:color w:val="auto"/>
              </w:rPr>
              <w:t>2022</w:t>
            </w:r>
          </w:p>
        </w:tc>
        <w:tc>
          <w:tcPr>
            <w:tcW w:w="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1,032,308</w:t>
            </w:r>
          </w:p>
        </w:tc>
        <w:tc>
          <w:tcPr>
            <w:tcW w:w="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0</w:t>
            </w:r>
          </w:p>
        </w:tc>
        <w:tc>
          <w:tcPr>
            <w:tcW w:w="100" w:type="dxa"/>
            <w:vAlign w:val="bottom"/>
          </w:tcPr>
          <w:p>
            <w:pPr>
              <w:jc w:val="right"/>
              <w:spacing w:after="0"/>
              <w:rPr>
                <w:sz w:val="20"/>
                <w:szCs w:val="20"/>
                <w:color w:val="auto"/>
              </w:rPr>
            </w:pPr>
            <w:r>
              <w:rPr>
                <w:rFonts w:ascii="Arial" w:cs="Arial" w:eastAsia="Arial" w:hAnsi="Arial"/>
                <w:sz w:val="8"/>
                <w:szCs w:val="8"/>
                <w:color w:val="auto"/>
              </w:rPr>
              <w:t>$</w:t>
            </w:r>
          </w:p>
        </w:tc>
        <w:tc>
          <w:tcPr>
            <w:tcW w:w="460" w:type="dxa"/>
            <w:vAlign w:val="bottom"/>
          </w:tcPr>
          <w:p>
            <w:pPr>
              <w:jc w:val="right"/>
              <w:spacing w:after="0"/>
              <w:rPr>
                <w:sz w:val="20"/>
                <w:szCs w:val="20"/>
                <w:color w:val="auto"/>
              </w:rPr>
            </w:pPr>
            <w:r>
              <w:rPr>
                <w:rFonts w:ascii="Arial" w:cs="Arial" w:eastAsia="Arial" w:hAnsi="Arial"/>
                <w:sz w:val="8"/>
                <w:szCs w:val="8"/>
                <w:color w:val="auto"/>
              </w:rPr>
              <w:t>4,050,095</w:t>
            </w:r>
          </w:p>
        </w:tc>
        <w:tc>
          <w:tcPr>
            <w:tcW w:w="100" w:type="dxa"/>
            <w:vAlign w:val="bottom"/>
          </w:tcPr>
          <w:p>
            <w:pPr>
              <w:ind w:left="40"/>
              <w:spacing w:after="0"/>
              <w:rPr>
                <w:sz w:val="20"/>
                <w:szCs w:val="20"/>
                <w:color w:val="auto"/>
              </w:rPr>
            </w:pPr>
            <w:r>
              <w:rPr>
                <w:rFonts w:ascii="Arial" w:cs="Arial" w:eastAsia="Arial" w:hAnsi="Arial"/>
                <w:sz w:val="8"/>
                <w:szCs w:val="8"/>
                <w:color w:val="auto"/>
                <w:w w:val="88"/>
              </w:rPr>
              <w:t>$</w:t>
            </w:r>
          </w:p>
        </w:tc>
        <w:tc>
          <w:tcPr>
            <w:tcW w:w="400" w:type="dxa"/>
            <w:vAlign w:val="bottom"/>
          </w:tcPr>
          <w:p>
            <w:pPr>
              <w:jc w:val="right"/>
              <w:spacing w:after="0"/>
              <w:rPr>
                <w:sz w:val="20"/>
                <w:szCs w:val="20"/>
                <w:color w:val="auto"/>
              </w:rPr>
            </w:pPr>
            <w:r>
              <w:rPr>
                <w:rFonts w:ascii="Arial" w:cs="Arial" w:eastAsia="Arial" w:hAnsi="Arial"/>
                <w:sz w:val="8"/>
                <w:szCs w:val="8"/>
                <w:color w:val="auto"/>
              </w:rPr>
              <w:t>1,239,228</w:t>
            </w:r>
          </w:p>
        </w:tc>
        <w:tc>
          <w:tcPr>
            <w:tcW w:w="140" w:type="dxa"/>
            <w:vAlign w:val="bottom"/>
          </w:tcPr>
          <w:p>
            <w:pPr>
              <w:ind w:left="80"/>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ind w:right="38"/>
              <w:spacing w:after="0"/>
              <w:rPr>
                <w:sz w:val="20"/>
                <w:szCs w:val="20"/>
                <w:color w:val="auto"/>
              </w:rPr>
            </w:pPr>
            <w:r>
              <w:rPr>
                <w:rFonts w:ascii="Arial" w:cs="Arial" w:eastAsia="Arial" w:hAnsi="Arial"/>
                <w:sz w:val="8"/>
                <w:szCs w:val="8"/>
                <w:color w:val="auto"/>
              </w:rPr>
              <w:t>0</w:t>
            </w:r>
          </w:p>
        </w:tc>
        <w:tc>
          <w:tcPr>
            <w:tcW w:w="140" w:type="dxa"/>
            <w:vAlign w:val="bottom"/>
          </w:tcPr>
          <w:p>
            <w:pPr>
              <w:ind w:left="80"/>
              <w:spacing w:after="0"/>
              <w:rPr>
                <w:sz w:val="20"/>
                <w:szCs w:val="20"/>
                <w:color w:val="auto"/>
              </w:rPr>
            </w:pPr>
            <w:r>
              <w:rPr>
                <w:rFonts w:ascii="Arial" w:cs="Arial" w:eastAsia="Arial" w:hAnsi="Arial"/>
                <w:sz w:val="8"/>
                <w:szCs w:val="8"/>
                <w:color w:val="auto"/>
                <w:w w:val="88"/>
              </w:rPr>
              <w:t>$</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2,340</w:t>
            </w:r>
          </w:p>
        </w:tc>
        <w:tc>
          <w:tcPr>
            <w:tcW w:w="160" w:type="dxa"/>
            <w:vAlign w:val="bottom"/>
          </w:tcPr>
          <w:p>
            <w:pPr>
              <w:jc w:val="right"/>
              <w:spacing w:after="0"/>
              <w:rPr>
                <w:sz w:val="20"/>
                <w:szCs w:val="20"/>
                <w:color w:val="auto"/>
              </w:rPr>
            </w:pPr>
            <w:r>
              <w:rPr>
                <w:rFonts w:ascii="Arial" w:cs="Arial" w:eastAsia="Arial" w:hAnsi="Arial"/>
                <w:sz w:val="8"/>
                <w:szCs w:val="8"/>
                <w:color w:val="auto"/>
              </w:rPr>
              <w:t>$</w:t>
            </w:r>
          </w:p>
        </w:tc>
        <w:tc>
          <w:tcPr>
            <w:tcW w:w="440" w:type="dxa"/>
            <w:vAlign w:val="bottom"/>
          </w:tcPr>
          <w:p>
            <w:pPr>
              <w:jc w:val="right"/>
              <w:ind w:right="58"/>
              <w:spacing w:after="0"/>
              <w:rPr>
                <w:sz w:val="20"/>
                <w:szCs w:val="20"/>
                <w:color w:val="auto"/>
              </w:rPr>
            </w:pPr>
            <w:r>
              <w:rPr>
                <w:rFonts w:ascii="Arial" w:cs="Arial" w:eastAsia="Arial" w:hAnsi="Arial"/>
                <w:sz w:val="8"/>
                <w:szCs w:val="8"/>
                <w:color w:val="auto"/>
              </w:rPr>
              <w:t>39,311</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spacing w:after="0"/>
              <w:rPr>
                <w:sz w:val="20"/>
                <w:szCs w:val="20"/>
                <w:color w:val="auto"/>
              </w:rPr>
            </w:pPr>
            <w:r>
              <w:rPr>
                <w:rFonts w:ascii="Arial" w:cs="Arial" w:eastAsia="Arial" w:hAnsi="Arial"/>
                <w:sz w:val="8"/>
                <w:szCs w:val="8"/>
                <w:color w:val="auto"/>
              </w:rPr>
              <w:t>6,363,282</w:t>
            </w:r>
          </w:p>
        </w:tc>
      </w:tr>
      <w:tr>
        <w:trPr>
          <w:trHeight w:val="100"/>
        </w:trPr>
        <w:tc>
          <w:tcPr>
            <w:tcW w:w="2560" w:type="dxa"/>
            <w:vAlign w:val="bottom"/>
          </w:tcPr>
          <w:p>
            <w:pPr>
              <w:ind w:left="40"/>
              <w:spacing w:after="0"/>
              <w:rPr>
                <w:sz w:val="20"/>
                <w:szCs w:val="20"/>
                <w:color w:val="auto"/>
              </w:rPr>
            </w:pPr>
            <w:r>
              <w:rPr>
                <w:rFonts w:ascii="Arial" w:cs="Arial" w:eastAsia="Arial" w:hAnsi="Arial"/>
                <w:sz w:val="8"/>
                <w:szCs w:val="8"/>
                <w:color w:val="auto"/>
              </w:rPr>
              <w:t>Former President &amp; Chief Operating Officer</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66"/>
        </w:trPr>
        <w:tc>
          <w:tcPr>
            <w:tcW w:w="256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2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2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4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6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r>
      <w:tr>
        <w:trPr>
          <w:trHeight w:val="138"/>
        </w:trPr>
        <w:tc>
          <w:tcPr>
            <w:tcW w:w="2560" w:type="dxa"/>
            <w:vAlign w:val="bottom"/>
          </w:tcPr>
          <w:p>
            <w:pPr>
              <w:ind w:left="40"/>
              <w:spacing w:after="0"/>
              <w:rPr>
                <w:sz w:val="20"/>
                <w:szCs w:val="20"/>
                <w:color w:val="auto"/>
              </w:rPr>
            </w:pPr>
            <w:r>
              <w:rPr>
                <w:rFonts w:ascii="Arial" w:cs="Arial" w:eastAsia="Arial" w:hAnsi="Arial"/>
                <w:sz w:val="8"/>
                <w:szCs w:val="8"/>
                <w:b w:val="1"/>
                <w:bCs w:val="1"/>
                <w:color w:val="auto"/>
              </w:rPr>
              <w:t>Darren Throop</w:t>
            </w:r>
          </w:p>
        </w:tc>
        <w:tc>
          <w:tcPr>
            <w:tcW w:w="280" w:type="dxa"/>
            <w:vAlign w:val="bottom"/>
          </w:tcPr>
          <w:p>
            <w:pPr>
              <w:jc w:val="center"/>
              <w:spacing w:after="0"/>
              <w:rPr>
                <w:sz w:val="20"/>
                <w:szCs w:val="20"/>
                <w:color w:val="auto"/>
              </w:rPr>
            </w:pPr>
            <w:r>
              <w:rPr>
                <w:rFonts w:ascii="Arial" w:cs="Arial" w:eastAsia="Arial" w:hAnsi="Arial"/>
                <w:sz w:val="8"/>
                <w:szCs w:val="8"/>
                <w:color w:val="auto"/>
              </w:rPr>
              <w:t>2022</w:t>
            </w:r>
          </w:p>
        </w:tc>
        <w:tc>
          <w:tcPr>
            <w:tcW w:w="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1,500,000</w:t>
            </w:r>
          </w:p>
        </w:tc>
        <w:tc>
          <w:tcPr>
            <w:tcW w:w="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1,500,000</w:t>
            </w:r>
          </w:p>
        </w:tc>
        <w:tc>
          <w:tcPr>
            <w:tcW w:w="100" w:type="dxa"/>
            <w:vAlign w:val="bottom"/>
          </w:tcPr>
          <w:p>
            <w:pPr>
              <w:jc w:val="right"/>
              <w:spacing w:after="0"/>
              <w:rPr>
                <w:sz w:val="20"/>
                <w:szCs w:val="20"/>
                <w:color w:val="auto"/>
              </w:rPr>
            </w:pPr>
            <w:r>
              <w:rPr>
                <w:rFonts w:ascii="Arial" w:cs="Arial" w:eastAsia="Arial" w:hAnsi="Arial"/>
                <w:sz w:val="8"/>
                <w:szCs w:val="8"/>
                <w:color w:val="auto"/>
              </w:rPr>
              <w:t>$</w:t>
            </w:r>
          </w:p>
        </w:tc>
        <w:tc>
          <w:tcPr>
            <w:tcW w:w="460" w:type="dxa"/>
            <w:vAlign w:val="bottom"/>
          </w:tcPr>
          <w:p>
            <w:pPr>
              <w:jc w:val="right"/>
              <w:spacing w:after="0"/>
              <w:rPr>
                <w:sz w:val="20"/>
                <w:szCs w:val="20"/>
                <w:color w:val="auto"/>
              </w:rPr>
            </w:pPr>
            <w:r>
              <w:rPr>
                <w:rFonts w:ascii="Arial" w:cs="Arial" w:eastAsia="Arial" w:hAnsi="Arial"/>
                <w:sz w:val="8"/>
                <w:szCs w:val="8"/>
                <w:color w:val="auto"/>
              </w:rPr>
              <w:t>4,500,063</w:t>
            </w:r>
          </w:p>
        </w:tc>
        <w:tc>
          <w:tcPr>
            <w:tcW w:w="100" w:type="dxa"/>
            <w:vAlign w:val="bottom"/>
          </w:tcPr>
          <w:p>
            <w:pPr>
              <w:ind w:left="40"/>
              <w:spacing w:after="0"/>
              <w:rPr>
                <w:sz w:val="20"/>
                <w:szCs w:val="20"/>
                <w:color w:val="auto"/>
              </w:rPr>
            </w:pPr>
            <w:r>
              <w:rPr>
                <w:rFonts w:ascii="Arial" w:cs="Arial" w:eastAsia="Arial" w:hAnsi="Arial"/>
                <w:sz w:val="8"/>
                <w:szCs w:val="8"/>
                <w:color w:val="auto"/>
                <w:w w:val="88"/>
              </w:rPr>
              <w:t>$</w:t>
            </w:r>
          </w:p>
        </w:tc>
        <w:tc>
          <w:tcPr>
            <w:tcW w:w="400" w:type="dxa"/>
            <w:vAlign w:val="bottom"/>
          </w:tcPr>
          <w:p>
            <w:pPr>
              <w:jc w:val="right"/>
              <w:spacing w:after="0"/>
              <w:rPr>
                <w:sz w:val="20"/>
                <w:szCs w:val="20"/>
                <w:color w:val="auto"/>
              </w:rPr>
            </w:pPr>
            <w:r>
              <w:rPr>
                <w:rFonts w:ascii="Arial" w:cs="Arial" w:eastAsia="Arial" w:hAnsi="Arial"/>
                <w:sz w:val="8"/>
                <w:szCs w:val="8"/>
                <w:color w:val="auto"/>
              </w:rPr>
              <w:t>1,797,347</w:t>
            </w:r>
          </w:p>
        </w:tc>
        <w:tc>
          <w:tcPr>
            <w:tcW w:w="140" w:type="dxa"/>
            <w:vAlign w:val="bottom"/>
          </w:tcPr>
          <w:p>
            <w:pPr>
              <w:ind w:left="80"/>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ind w:right="38"/>
              <w:spacing w:after="0"/>
              <w:rPr>
                <w:sz w:val="20"/>
                <w:szCs w:val="20"/>
                <w:color w:val="auto"/>
              </w:rPr>
            </w:pPr>
            <w:r>
              <w:rPr>
                <w:rFonts w:ascii="Arial" w:cs="Arial" w:eastAsia="Arial" w:hAnsi="Arial"/>
                <w:sz w:val="8"/>
                <w:szCs w:val="8"/>
                <w:color w:val="auto"/>
              </w:rPr>
              <w:t>1,213,500</w:t>
            </w:r>
          </w:p>
        </w:tc>
        <w:tc>
          <w:tcPr>
            <w:tcW w:w="140" w:type="dxa"/>
            <w:vAlign w:val="bottom"/>
          </w:tcPr>
          <w:p>
            <w:pPr>
              <w:ind w:left="80"/>
              <w:spacing w:after="0"/>
              <w:rPr>
                <w:sz w:val="20"/>
                <w:szCs w:val="20"/>
                <w:color w:val="auto"/>
              </w:rPr>
            </w:pPr>
            <w:r>
              <w:rPr>
                <w:rFonts w:ascii="Arial" w:cs="Arial" w:eastAsia="Arial" w:hAnsi="Arial"/>
                <w:sz w:val="8"/>
                <w:szCs w:val="8"/>
                <w:color w:val="auto"/>
                <w:w w:val="88"/>
              </w:rPr>
              <w:t>$</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0</w:t>
            </w:r>
          </w:p>
        </w:tc>
        <w:tc>
          <w:tcPr>
            <w:tcW w:w="160" w:type="dxa"/>
            <w:vAlign w:val="bottom"/>
          </w:tcPr>
          <w:p>
            <w:pPr>
              <w:jc w:val="right"/>
              <w:spacing w:after="0"/>
              <w:rPr>
                <w:sz w:val="20"/>
                <w:szCs w:val="20"/>
                <w:color w:val="auto"/>
              </w:rPr>
            </w:pPr>
            <w:r>
              <w:rPr>
                <w:rFonts w:ascii="Arial" w:cs="Arial" w:eastAsia="Arial" w:hAnsi="Arial"/>
                <w:sz w:val="8"/>
                <w:szCs w:val="8"/>
                <w:color w:val="auto"/>
              </w:rPr>
              <w:t>$</w:t>
            </w:r>
          </w:p>
        </w:tc>
        <w:tc>
          <w:tcPr>
            <w:tcW w:w="440" w:type="dxa"/>
            <w:vAlign w:val="bottom"/>
          </w:tcPr>
          <w:p>
            <w:pPr>
              <w:jc w:val="right"/>
              <w:ind w:right="58"/>
              <w:spacing w:after="0"/>
              <w:rPr>
                <w:sz w:val="20"/>
                <w:szCs w:val="20"/>
                <w:color w:val="auto"/>
              </w:rPr>
            </w:pPr>
            <w:r>
              <w:rPr>
                <w:rFonts w:ascii="Arial" w:cs="Arial" w:eastAsia="Arial" w:hAnsi="Arial"/>
                <w:sz w:val="8"/>
                <w:szCs w:val="8"/>
                <w:color w:val="auto"/>
              </w:rPr>
              <w:t>294,006</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spacing w:after="0"/>
              <w:rPr>
                <w:sz w:val="20"/>
                <w:szCs w:val="20"/>
                <w:color w:val="auto"/>
              </w:rPr>
            </w:pPr>
            <w:r>
              <w:rPr>
                <w:rFonts w:ascii="Arial" w:cs="Arial" w:eastAsia="Arial" w:hAnsi="Arial"/>
                <w:sz w:val="8"/>
                <w:szCs w:val="8"/>
                <w:color w:val="auto"/>
                <w:w w:val="99"/>
              </w:rPr>
              <w:t>10,804,916</w:t>
            </w:r>
          </w:p>
        </w:tc>
      </w:tr>
      <w:tr>
        <w:trPr>
          <w:trHeight w:val="90"/>
        </w:trPr>
        <w:tc>
          <w:tcPr>
            <w:tcW w:w="2560" w:type="dxa"/>
            <w:vAlign w:val="bottom"/>
          </w:tcPr>
          <w:p>
            <w:pPr>
              <w:ind w:left="40"/>
              <w:spacing w:after="0" w:line="90" w:lineRule="exact"/>
              <w:rPr>
                <w:sz w:val="20"/>
                <w:szCs w:val="20"/>
                <w:color w:val="auto"/>
              </w:rPr>
            </w:pPr>
            <w:r>
              <w:rPr>
                <w:rFonts w:ascii="Arial" w:cs="Arial" w:eastAsia="Arial" w:hAnsi="Arial"/>
                <w:sz w:val="8"/>
                <w:szCs w:val="8"/>
                <w:color w:val="auto"/>
              </w:rPr>
              <w:t>Former Chief Executive Officer, eOne</w:t>
            </w:r>
          </w:p>
        </w:tc>
        <w:tc>
          <w:tcPr>
            <w:tcW w:w="280" w:type="dxa"/>
            <w:vAlign w:val="bottom"/>
          </w:tcPr>
          <w:p>
            <w:pPr>
              <w:jc w:val="center"/>
              <w:spacing w:after="0" w:line="90" w:lineRule="exact"/>
              <w:rPr>
                <w:sz w:val="20"/>
                <w:szCs w:val="20"/>
                <w:color w:val="auto"/>
              </w:rPr>
            </w:pPr>
            <w:r>
              <w:rPr>
                <w:rFonts w:ascii="Arial" w:cs="Arial" w:eastAsia="Arial" w:hAnsi="Arial"/>
                <w:sz w:val="8"/>
                <w:szCs w:val="8"/>
                <w:color w:val="auto"/>
              </w:rPr>
              <w:t>2021</w:t>
            </w:r>
          </w:p>
        </w:tc>
        <w:tc>
          <w:tcPr>
            <w:tcW w:w="8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420" w:type="dxa"/>
            <w:vAlign w:val="bottom"/>
          </w:tcPr>
          <w:p>
            <w:pPr>
              <w:jc w:val="right"/>
              <w:spacing w:after="0" w:line="90" w:lineRule="exact"/>
              <w:rPr>
                <w:sz w:val="20"/>
                <w:szCs w:val="20"/>
                <w:color w:val="auto"/>
              </w:rPr>
            </w:pPr>
            <w:r>
              <w:rPr>
                <w:rFonts w:ascii="Arial" w:cs="Arial" w:eastAsia="Arial" w:hAnsi="Arial"/>
                <w:sz w:val="8"/>
                <w:szCs w:val="8"/>
                <w:color w:val="auto"/>
              </w:rPr>
              <w:t>1,500,000</w:t>
            </w:r>
          </w:p>
        </w:tc>
        <w:tc>
          <w:tcPr>
            <w:tcW w:w="8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420" w:type="dxa"/>
            <w:vAlign w:val="bottom"/>
          </w:tcPr>
          <w:p>
            <w:pPr>
              <w:jc w:val="right"/>
              <w:spacing w:after="0" w:line="90" w:lineRule="exact"/>
              <w:rPr>
                <w:sz w:val="20"/>
                <w:szCs w:val="20"/>
                <w:color w:val="auto"/>
              </w:rPr>
            </w:pPr>
            <w:r>
              <w:rPr>
                <w:rFonts w:ascii="Arial" w:cs="Arial" w:eastAsia="Arial" w:hAnsi="Arial"/>
                <w:sz w:val="8"/>
                <w:szCs w:val="8"/>
                <w:color w:val="auto"/>
              </w:rPr>
              <w:t>0</w:t>
            </w:r>
          </w:p>
        </w:tc>
        <w:tc>
          <w:tcPr>
            <w:tcW w:w="10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460" w:type="dxa"/>
            <w:vAlign w:val="bottom"/>
          </w:tcPr>
          <w:p>
            <w:pPr>
              <w:jc w:val="right"/>
              <w:spacing w:after="0" w:line="90" w:lineRule="exact"/>
              <w:rPr>
                <w:sz w:val="20"/>
                <w:szCs w:val="20"/>
                <w:color w:val="auto"/>
              </w:rPr>
            </w:pPr>
            <w:r>
              <w:rPr>
                <w:rFonts w:ascii="Arial" w:cs="Arial" w:eastAsia="Arial" w:hAnsi="Arial"/>
                <w:sz w:val="8"/>
                <w:szCs w:val="8"/>
                <w:color w:val="auto"/>
              </w:rPr>
              <w:t>4,500,091</w:t>
            </w:r>
          </w:p>
        </w:tc>
        <w:tc>
          <w:tcPr>
            <w:tcW w:w="100" w:type="dxa"/>
            <w:vAlign w:val="bottom"/>
          </w:tcPr>
          <w:p>
            <w:pPr>
              <w:ind w:left="40"/>
              <w:spacing w:after="0" w:line="90" w:lineRule="exact"/>
              <w:rPr>
                <w:sz w:val="20"/>
                <w:szCs w:val="20"/>
                <w:color w:val="auto"/>
              </w:rPr>
            </w:pPr>
            <w:r>
              <w:rPr>
                <w:rFonts w:ascii="Arial" w:cs="Arial" w:eastAsia="Arial" w:hAnsi="Arial"/>
                <w:sz w:val="8"/>
                <w:szCs w:val="8"/>
                <w:color w:val="auto"/>
                <w:w w:val="88"/>
              </w:rPr>
              <w:t>$</w:t>
            </w:r>
          </w:p>
        </w:tc>
        <w:tc>
          <w:tcPr>
            <w:tcW w:w="400" w:type="dxa"/>
            <w:vAlign w:val="bottom"/>
          </w:tcPr>
          <w:p>
            <w:pPr>
              <w:jc w:val="right"/>
              <w:spacing w:after="0" w:line="90" w:lineRule="exact"/>
              <w:rPr>
                <w:sz w:val="20"/>
                <w:szCs w:val="20"/>
                <w:color w:val="auto"/>
              </w:rPr>
            </w:pPr>
            <w:r>
              <w:rPr>
                <w:rFonts w:ascii="Arial" w:cs="Arial" w:eastAsia="Arial" w:hAnsi="Arial"/>
                <w:sz w:val="8"/>
                <w:szCs w:val="8"/>
                <w:color w:val="auto"/>
              </w:rPr>
              <w:t>1,787,259</w:t>
            </w:r>
          </w:p>
        </w:tc>
        <w:tc>
          <w:tcPr>
            <w:tcW w:w="140" w:type="dxa"/>
            <w:vAlign w:val="bottom"/>
          </w:tcPr>
          <w:p>
            <w:pPr>
              <w:ind w:left="80"/>
              <w:spacing w:after="0" w:line="90" w:lineRule="exact"/>
              <w:rPr>
                <w:sz w:val="20"/>
                <w:szCs w:val="20"/>
                <w:color w:val="auto"/>
              </w:rPr>
            </w:pPr>
            <w:r>
              <w:rPr>
                <w:rFonts w:ascii="Arial" w:cs="Arial" w:eastAsia="Arial" w:hAnsi="Arial"/>
                <w:sz w:val="8"/>
                <w:szCs w:val="8"/>
                <w:color w:val="auto"/>
                <w:w w:val="88"/>
              </w:rPr>
              <w:t>$</w:t>
            </w:r>
          </w:p>
        </w:tc>
        <w:tc>
          <w:tcPr>
            <w:tcW w:w="460" w:type="dxa"/>
            <w:vAlign w:val="bottom"/>
          </w:tcPr>
          <w:p>
            <w:pPr>
              <w:jc w:val="right"/>
              <w:ind w:right="38"/>
              <w:spacing w:after="0" w:line="90" w:lineRule="exact"/>
              <w:rPr>
                <w:sz w:val="20"/>
                <w:szCs w:val="20"/>
                <w:color w:val="auto"/>
              </w:rPr>
            </w:pPr>
            <w:r>
              <w:rPr>
                <w:rFonts w:ascii="Arial" w:cs="Arial" w:eastAsia="Arial" w:hAnsi="Arial"/>
                <w:sz w:val="8"/>
                <w:szCs w:val="8"/>
                <w:color w:val="auto"/>
              </w:rPr>
              <w:t>3,000,000</w:t>
            </w:r>
          </w:p>
        </w:tc>
        <w:tc>
          <w:tcPr>
            <w:tcW w:w="140" w:type="dxa"/>
            <w:vAlign w:val="bottom"/>
          </w:tcPr>
          <w:p>
            <w:pPr>
              <w:ind w:left="80"/>
              <w:spacing w:after="0" w:line="90" w:lineRule="exact"/>
              <w:rPr>
                <w:sz w:val="20"/>
                <w:szCs w:val="20"/>
                <w:color w:val="auto"/>
              </w:rPr>
            </w:pPr>
            <w:r>
              <w:rPr>
                <w:rFonts w:ascii="Arial" w:cs="Arial" w:eastAsia="Arial" w:hAnsi="Arial"/>
                <w:sz w:val="8"/>
                <w:szCs w:val="8"/>
                <w:color w:val="auto"/>
                <w:w w:val="88"/>
              </w:rPr>
              <w:t>$</w:t>
            </w:r>
          </w:p>
        </w:tc>
        <w:tc>
          <w:tcPr>
            <w:tcW w:w="560" w:type="dxa"/>
            <w:vAlign w:val="bottom"/>
          </w:tcPr>
          <w:p>
            <w:pPr>
              <w:jc w:val="right"/>
              <w:ind w:right="38"/>
              <w:spacing w:after="0" w:line="90" w:lineRule="exact"/>
              <w:rPr>
                <w:sz w:val="20"/>
                <w:szCs w:val="20"/>
                <w:color w:val="auto"/>
              </w:rPr>
            </w:pPr>
            <w:r>
              <w:rPr>
                <w:rFonts w:ascii="Arial" w:cs="Arial" w:eastAsia="Arial" w:hAnsi="Arial"/>
                <w:sz w:val="8"/>
                <w:szCs w:val="8"/>
                <w:color w:val="auto"/>
              </w:rPr>
              <w:t>0</w:t>
            </w:r>
          </w:p>
        </w:tc>
        <w:tc>
          <w:tcPr>
            <w:tcW w:w="16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440" w:type="dxa"/>
            <w:vAlign w:val="bottom"/>
          </w:tcPr>
          <w:p>
            <w:pPr>
              <w:jc w:val="right"/>
              <w:ind w:right="58"/>
              <w:spacing w:after="0" w:line="90" w:lineRule="exact"/>
              <w:rPr>
                <w:sz w:val="20"/>
                <w:szCs w:val="20"/>
                <w:color w:val="auto"/>
              </w:rPr>
            </w:pPr>
            <w:r>
              <w:rPr>
                <w:rFonts w:ascii="Arial" w:cs="Arial" w:eastAsia="Arial" w:hAnsi="Arial"/>
                <w:sz w:val="8"/>
                <w:szCs w:val="8"/>
                <w:color w:val="auto"/>
              </w:rPr>
              <w:t>332,577</w:t>
            </w:r>
          </w:p>
        </w:tc>
        <w:tc>
          <w:tcPr>
            <w:tcW w:w="80" w:type="dxa"/>
            <w:vAlign w:val="bottom"/>
          </w:tcPr>
          <w:p>
            <w:pPr>
              <w:jc w:val="right"/>
              <w:spacing w:after="0" w:line="90" w:lineRule="exact"/>
              <w:rPr>
                <w:sz w:val="20"/>
                <w:szCs w:val="20"/>
                <w:color w:val="auto"/>
              </w:rPr>
            </w:pPr>
            <w:r>
              <w:rPr>
                <w:rFonts w:ascii="Arial" w:cs="Arial" w:eastAsia="Arial" w:hAnsi="Arial"/>
                <w:sz w:val="8"/>
                <w:szCs w:val="8"/>
                <w:color w:val="auto"/>
                <w:w w:val="88"/>
              </w:rPr>
              <w:t>$</w:t>
            </w:r>
          </w:p>
        </w:tc>
        <w:tc>
          <w:tcPr>
            <w:tcW w:w="460" w:type="dxa"/>
            <w:vAlign w:val="bottom"/>
          </w:tcPr>
          <w:p>
            <w:pPr>
              <w:jc w:val="right"/>
              <w:spacing w:after="0" w:line="90" w:lineRule="exact"/>
              <w:rPr>
                <w:sz w:val="20"/>
                <w:szCs w:val="20"/>
                <w:color w:val="auto"/>
              </w:rPr>
            </w:pPr>
            <w:r>
              <w:rPr>
                <w:rFonts w:ascii="Arial" w:cs="Arial" w:eastAsia="Arial" w:hAnsi="Arial"/>
                <w:sz w:val="8"/>
                <w:szCs w:val="8"/>
                <w:color w:val="auto"/>
                <w:w w:val="99"/>
              </w:rPr>
              <w:t>11,119,927</w:t>
            </w:r>
          </w:p>
        </w:tc>
      </w:tr>
      <w:tr>
        <w:trPr>
          <w:trHeight w:val="100"/>
        </w:trPr>
        <w:tc>
          <w:tcPr>
            <w:tcW w:w="2560" w:type="dxa"/>
            <w:vAlign w:val="bottom"/>
          </w:tcPr>
          <w:p>
            <w:pPr>
              <w:spacing w:after="0"/>
              <w:rPr>
                <w:sz w:val="8"/>
                <w:szCs w:val="8"/>
                <w:color w:val="auto"/>
              </w:rPr>
            </w:pPr>
          </w:p>
        </w:tc>
        <w:tc>
          <w:tcPr>
            <w:tcW w:w="280" w:type="dxa"/>
            <w:vAlign w:val="bottom"/>
          </w:tcPr>
          <w:p>
            <w:pPr>
              <w:jc w:val="center"/>
              <w:spacing w:after="0"/>
              <w:rPr>
                <w:sz w:val="20"/>
                <w:szCs w:val="20"/>
                <w:color w:val="auto"/>
              </w:rPr>
            </w:pPr>
            <w:r>
              <w:rPr>
                <w:rFonts w:ascii="Arial" w:cs="Arial" w:eastAsia="Arial" w:hAnsi="Arial"/>
                <w:sz w:val="8"/>
                <w:szCs w:val="8"/>
                <w:color w:val="auto"/>
              </w:rPr>
              <w:t>2020</w:t>
            </w:r>
          </w:p>
        </w:tc>
        <w:tc>
          <w:tcPr>
            <w:tcW w:w="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1,500,000</w:t>
            </w:r>
          </w:p>
        </w:tc>
        <w:tc>
          <w:tcPr>
            <w:tcW w:w="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2,523,500</w:t>
            </w:r>
          </w:p>
        </w:tc>
        <w:tc>
          <w:tcPr>
            <w:tcW w:w="100" w:type="dxa"/>
            <w:vAlign w:val="bottom"/>
          </w:tcPr>
          <w:p>
            <w:pPr>
              <w:jc w:val="right"/>
              <w:spacing w:after="0"/>
              <w:rPr>
                <w:sz w:val="20"/>
                <w:szCs w:val="20"/>
                <w:color w:val="auto"/>
              </w:rPr>
            </w:pPr>
            <w:r>
              <w:rPr>
                <w:rFonts w:ascii="Arial" w:cs="Arial" w:eastAsia="Arial" w:hAnsi="Arial"/>
                <w:sz w:val="8"/>
                <w:szCs w:val="8"/>
                <w:color w:val="auto"/>
              </w:rPr>
              <w:t>$</w:t>
            </w:r>
          </w:p>
        </w:tc>
        <w:tc>
          <w:tcPr>
            <w:tcW w:w="460" w:type="dxa"/>
            <w:vAlign w:val="bottom"/>
          </w:tcPr>
          <w:p>
            <w:pPr>
              <w:jc w:val="right"/>
              <w:spacing w:after="0"/>
              <w:rPr>
                <w:sz w:val="20"/>
                <w:szCs w:val="20"/>
                <w:color w:val="auto"/>
              </w:rPr>
            </w:pPr>
            <w:r>
              <w:rPr>
                <w:rFonts w:ascii="Arial" w:cs="Arial" w:eastAsia="Arial" w:hAnsi="Arial"/>
                <w:sz w:val="8"/>
                <w:szCs w:val="8"/>
                <w:color w:val="auto"/>
                <w:w w:val="99"/>
              </w:rPr>
              <w:t>15,250,983</w:t>
            </w:r>
          </w:p>
        </w:tc>
        <w:tc>
          <w:tcPr>
            <w:tcW w:w="100" w:type="dxa"/>
            <w:vAlign w:val="bottom"/>
          </w:tcPr>
          <w:p>
            <w:pPr>
              <w:ind w:left="40"/>
              <w:spacing w:after="0"/>
              <w:rPr>
                <w:sz w:val="20"/>
                <w:szCs w:val="20"/>
                <w:color w:val="auto"/>
              </w:rPr>
            </w:pPr>
            <w:r>
              <w:rPr>
                <w:rFonts w:ascii="Arial" w:cs="Arial" w:eastAsia="Arial" w:hAnsi="Arial"/>
                <w:sz w:val="8"/>
                <w:szCs w:val="8"/>
                <w:color w:val="auto"/>
                <w:w w:val="88"/>
              </w:rPr>
              <w:t>$</w:t>
            </w:r>
          </w:p>
        </w:tc>
        <w:tc>
          <w:tcPr>
            <w:tcW w:w="400" w:type="dxa"/>
            <w:vAlign w:val="bottom"/>
          </w:tcPr>
          <w:p>
            <w:pPr>
              <w:jc w:val="right"/>
              <w:spacing w:after="0"/>
              <w:rPr>
                <w:sz w:val="20"/>
                <w:szCs w:val="20"/>
                <w:color w:val="auto"/>
              </w:rPr>
            </w:pPr>
            <w:r>
              <w:rPr>
                <w:rFonts w:ascii="Arial" w:cs="Arial" w:eastAsia="Arial" w:hAnsi="Arial"/>
                <w:sz w:val="8"/>
                <w:szCs w:val="8"/>
                <w:color w:val="auto"/>
              </w:rPr>
              <w:t>1,475,372</w:t>
            </w:r>
          </w:p>
        </w:tc>
        <w:tc>
          <w:tcPr>
            <w:tcW w:w="140" w:type="dxa"/>
            <w:vAlign w:val="bottom"/>
          </w:tcPr>
          <w:p>
            <w:pPr>
              <w:ind w:left="80"/>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ind w:right="38"/>
              <w:spacing w:after="0"/>
              <w:rPr>
                <w:sz w:val="20"/>
                <w:szCs w:val="20"/>
                <w:color w:val="auto"/>
              </w:rPr>
            </w:pPr>
            <w:r>
              <w:rPr>
                <w:rFonts w:ascii="Arial" w:cs="Arial" w:eastAsia="Arial" w:hAnsi="Arial"/>
                <w:sz w:val="8"/>
                <w:szCs w:val="8"/>
                <w:color w:val="auto"/>
              </w:rPr>
              <w:t>2,521,163</w:t>
            </w:r>
          </w:p>
        </w:tc>
        <w:tc>
          <w:tcPr>
            <w:tcW w:w="140" w:type="dxa"/>
            <w:vAlign w:val="bottom"/>
          </w:tcPr>
          <w:p>
            <w:pPr>
              <w:ind w:left="80"/>
              <w:spacing w:after="0"/>
              <w:rPr>
                <w:sz w:val="20"/>
                <w:szCs w:val="20"/>
                <w:color w:val="auto"/>
              </w:rPr>
            </w:pPr>
            <w:r>
              <w:rPr>
                <w:rFonts w:ascii="Arial" w:cs="Arial" w:eastAsia="Arial" w:hAnsi="Arial"/>
                <w:sz w:val="8"/>
                <w:szCs w:val="8"/>
                <w:color w:val="auto"/>
                <w:w w:val="88"/>
              </w:rPr>
              <w:t>$</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0</w:t>
            </w:r>
          </w:p>
        </w:tc>
        <w:tc>
          <w:tcPr>
            <w:tcW w:w="160" w:type="dxa"/>
            <w:vAlign w:val="bottom"/>
          </w:tcPr>
          <w:p>
            <w:pPr>
              <w:jc w:val="right"/>
              <w:spacing w:after="0"/>
              <w:rPr>
                <w:sz w:val="20"/>
                <w:szCs w:val="20"/>
                <w:color w:val="auto"/>
              </w:rPr>
            </w:pPr>
            <w:r>
              <w:rPr>
                <w:rFonts w:ascii="Arial" w:cs="Arial" w:eastAsia="Arial" w:hAnsi="Arial"/>
                <w:sz w:val="8"/>
                <w:szCs w:val="8"/>
                <w:color w:val="auto"/>
              </w:rPr>
              <w:t>$</w:t>
            </w:r>
          </w:p>
        </w:tc>
        <w:tc>
          <w:tcPr>
            <w:tcW w:w="440" w:type="dxa"/>
            <w:vAlign w:val="bottom"/>
          </w:tcPr>
          <w:p>
            <w:pPr>
              <w:jc w:val="right"/>
              <w:ind w:right="58"/>
              <w:spacing w:after="0"/>
              <w:rPr>
                <w:sz w:val="20"/>
                <w:szCs w:val="20"/>
                <w:color w:val="auto"/>
              </w:rPr>
            </w:pPr>
            <w:r>
              <w:rPr>
                <w:rFonts w:ascii="Arial" w:cs="Arial" w:eastAsia="Arial" w:hAnsi="Arial"/>
                <w:sz w:val="8"/>
                <w:szCs w:val="8"/>
                <w:color w:val="auto"/>
              </w:rPr>
              <w:t>275,315</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spacing w:after="0"/>
              <w:rPr>
                <w:sz w:val="20"/>
                <w:szCs w:val="20"/>
                <w:color w:val="auto"/>
              </w:rPr>
            </w:pPr>
            <w:r>
              <w:rPr>
                <w:rFonts w:ascii="Arial" w:cs="Arial" w:eastAsia="Arial" w:hAnsi="Arial"/>
                <w:sz w:val="8"/>
                <w:szCs w:val="8"/>
                <w:color w:val="auto"/>
                <w:w w:val="99"/>
              </w:rPr>
              <w:t>23,546,333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36195</wp:posOffset>
            </wp:positionV>
            <wp:extent cx="4663440" cy="571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03" w:lineRule="exact"/>
        <w:rPr>
          <w:sz w:val="20"/>
          <w:szCs w:val="20"/>
          <w:color w:val="auto"/>
        </w:rPr>
      </w:pPr>
    </w:p>
    <w:p>
      <w:pPr>
        <w:ind w:left="2260" w:hanging="288"/>
        <w:spacing w:after="0"/>
        <w:tabs>
          <w:tab w:leader="none" w:pos="22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For all NEOs except Mr. Stoddart and Mr. Throop, includes amounts deferred pursuant to the Company’s 401(k) Plan and Deferred Compensation Plan.</w:t>
      </w:r>
    </w:p>
    <w:p>
      <w:pPr>
        <w:spacing w:after="0" w:line="47" w:lineRule="exact"/>
        <w:rPr>
          <w:rFonts w:ascii="Arial" w:cs="Arial" w:eastAsia="Arial" w:hAnsi="Arial"/>
          <w:sz w:val="10"/>
          <w:szCs w:val="10"/>
          <w:color w:val="auto"/>
        </w:rPr>
      </w:pPr>
    </w:p>
    <w:p>
      <w:pPr>
        <w:ind w:left="2260" w:right="999" w:hanging="288"/>
        <w:spacing w:after="0" w:line="230" w:lineRule="auto"/>
        <w:tabs>
          <w:tab w:leader="none" w:pos="22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For Mr. Throop, reflects the value of retention bonuses paid in fiscal 2020 and 2022 pursuant to a retention program implemented by eOne prior to the date Hasbro acquired the eOne business. For Ms. Williams, reflects the first payment of a sign-on bonus; the remaining portion of the award will be paid on the one year anniversary of the start of her employment at Hasbro.</w:t>
      </w:r>
    </w:p>
    <w:p>
      <w:pPr>
        <w:spacing w:after="0" w:line="47" w:lineRule="exact"/>
        <w:rPr>
          <w:rFonts w:ascii="Arial" w:cs="Arial" w:eastAsia="Arial" w:hAnsi="Arial"/>
          <w:sz w:val="10"/>
          <w:szCs w:val="10"/>
          <w:color w:val="auto"/>
        </w:rPr>
      </w:pPr>
    </w:p>
    <w:p>
      <w:pPr>
        <w:ind w:left="2260" w:right="939" w:hanging="288"/>
        <w:spacing w:after="0" w:line="228" w:lineRule="auto"/>
        <w:tabs>
          <w:tab w:leader="none" w:pos="22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Reflects the grant date fair value for stock and option awards to the Named Executive Officers. Please see note 15 to the financial statements included in the Company’s Annual Report on Form 10-K for the year ended December 25, 2022, for a detailed discussion of assumptions used in valuing options and stock awards generally and see footnote (g) to the following Grants of Plan-Based Awards table for a discussion of certain assumptions used in valuing equity awards made to the Named Executive Officers.</w:t>
      </w:r>
    </w:p>
    <w:p>
      <w:pPr>
        <w:spacing w:after="0" w:line="49" w:lineRule="exact"/>
        <w:rPr>
          <w:rFonts w:ascii="Arial" w:cs="Arial" w:eastAsia="Arial" w:hAnsi="Arial"/>
          <w:sz w:val="10"/>
          <w:szCs w:val="10"/>
          <w:color w:val="auto"/>
        </w:rPr>
      </w:pPr>
    </w:p>
    <w:p>
      <w:pPr>
        <w:ind w:left="2260" w:right="859"/>
        <w:spacing w:after="0" w:line="232" w:lineRule="auto"/>
        <w:rPr>
          <w:rFonts w:ascii="Arial" w:cs="Arial" w:eastAsia="Arial" w:hAnsi="Arial"/>
          <w:sz w:val="10"/>
          <w:szCs w:val="10"/>
          <w:color w:val="auto"/>
        </w:rPr>
      </w:pPr>
      <w:r>
        <w:rPr>
          <w:rFonts w:ascii="Arial" w:cs="Arial" w:eastAsia="Arial" w:hAnsi="Arial"/>
          <w:sz w:val="10"/>
          <w:szCs w:val="10"/>
          <w:color w:val="auto"/>
        </w:rPr>
        <w:t>In each of the years shown, executives other than Mr. Stoddart were granted non-qualified stock options and contingent stock performance awards. These executives, were also granted restricted stock awards in each of the years shown.</w:t>
      </w:r>
    </w:p>
    <w:p>
      <w:pPr>
        <w:spacing w:after="0" w:line="47" w:lineRule="exact"/>
        <w:rPr>
          <w:rFonts w:ascii="Arial" w:cs="Arial" w:eastAsia="Arial" w:hAnsi="Arial"/>
          <w:sz w:val="10"/>
          <w:szCs w:val="10"/>
          <w:color w:val="auto"/>
        </w:rPr>
      </w:pPr>
    </w:p>
    <w:p>
      <w:pPr>
        <w:ind w:left="2260" w:right="979"/>
        <w:spacing w:after="0" w:line="296" w:lineRule="auto"/>
        <w:rPr>
          <w:rFonts w:ascii="Arial" w:cs="Arial" w:eastAsia="Arial" w:hAnsi="Arial"/>
          <w:sz w:val="10"/>
          <w:szCs w:val="10"/>
          <w:color w:val="auto"/>
        </w:rPr>
      </w:pPr>
      <w:r>
        <w:rPr>
          <w:rFonts w:ascii="Arial" w:cs="Arial" w:eastAsia="Arial" w:hAnsi="Arial"/>
          <w:sz w:val="8"/>
          <w:szCs w:val="8"/>
          <w:color w:val="auto"/>
        </w:rPr>
        <w:t>The grant date fair values included in the table for the PSA awards have been calculated based on the probable outcomes under such awards (assumed to be realization of the target values of such awards). If it were assumed that the maximum amount payable under each of the PSA awards were paid, which maximum is 200% of the target value, then the grant date fair values included under the stock award column for each of the named executive officers for performance shares would have been as follows: Mr. Cocks — $7,500,106; Ms. Thomas — $4,600,077; Ms. Williams — $1,200,169; Mr. Nyman — $4,400,049; and Mr. Throop — $6,000,084. This is in addition to the grant date fair value of the annual grant of restricted stock units for each Named Executive Officer other than Mr. Stoddart.</w:t>
      </w:r>
    </w:p>
    <w:p>
      <w:pPr>
        <w:spacing w:after="0" w:line="26" w:lineRule="exact"/>
        <w:rPr>
          <w:rFonts w:ascii="Arial" w:cs="Arial" w:eastAsia="Arial" w:hAnsi="Arial"/>
          <w:sz w:val="10"/>
          <w:szCs w:val="10"/>
          <w:color w:val="auto"/>
        </w:rPr>
      </w:pPr>
    </w:p>
    <w:p>
      <w:pPr>
        <w:ind w:left="2260" w:right="879" w:hanging="288"/>
        <w:spacing w:after="0" w:line="232" w:lineRule="auto"/>
        <w:tabs>
          <w:tab w:leader="none" w:pos="22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These amounts consist entirely of the management incentive awards earned by such executives under the Company’s Senior Management Annual Performance Plan for the applicable year, with the exception of the amount listed for Mr. Throop for fiscal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56515</wp:posOffset>
            </wp:positionV>
            <wp:extent cx="3971925" cy="21717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27"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52</w:t>
      </w:r>
    </w:p>
    <w:p>
      <w:pPr>
        <w:sectPr>
          <w:pgSz w:w="11900" w:h="16838" w:orient="portrait"/>
          <w:cols w:equalWidth="0" w:num="1">
            <w:col w:w="10159"/>
          </w:cols>
          <w:pgMar w:left="300" w:top="372" w:right="1440" w:bottom="1440" w:gutter="0" w:footer="0" w:header="0"/>
        </w:sectPr>
      </w:pPr>
    </w:p>
    <w:bookmarkStart w:id="74" w:name="page75"/>
    <w:bookmarkEnd w:id="7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8" w:lineRule="exact"/>
        <w:rPr>
          <w:sz w:val="20"/>
          <w:szCs w:val="20"/>
          <w:color w:val="auto"/>
        </w:rPr>
      </w:pPr>
    </w:p>
    <w:p>
      <w:pPr>
        <w:ind w:left="2260" w:right="919"/>
        <w:spacing w:after="0" w:line="230" w:lineRule="auto"/>
        <w:rPr>
          <w:sz w:val="20"/>
          <w:szCs w:val="20"/>
          <w:color w:val="auto"/>
        </w:rPr>
      </w:pPr>
      <w:r>
        <w:rPr>
          <w:rFonts w:ascii="Arial" w:cs="Arial" w:eastAsia="Arial" w:hAnsi="Arial"/>
          <w:sz w:val="10"/>
          <w:szCs w:val="10"/>
          <w:color w:val="auto"/>
        </w:rPr>
        <w:t>year 2020, which consists of the management incentive award earned by him under the Company’s Senior Management Annual Performance Plan ($1,700,000) and the bonus payable to him under a bonus plan sponsored by eOne for the performance period from April 1, 2019 through December 31, 2019 ($821,163), with such period being prior to the date Hasbro acquired the eOne business.</w:t>
      </w:r>
    </w:p>
    <w:p>
      <w:pPr>
        <w:spacing w:after="0" w:line="47" w:lineRule="exact"/>
        <w:rPr>
          <w:sz w:val="20"/>
          <w:szCs w:val="20"/>
          <w:color w:val="auto"/>
        </w:rPr>
      </w:pPr>
    </w:p>
    <w:p>
      <w:pPr>
        <w:ind w:left="2260" w:right="859" w:hanging="288"/>
        <w:spacing w:after="0" w:line="230" w:lineRule="auto"/>
        <w:tabs>
          <w:tab w:leader="none" w:pos="2260" w:val="left"/>
        </w:tabs>
        <w:numPr>
          <w:ilvl w:val="0"/>
          <w:numId w:val="48"/>
        </w:numPr>
        <w:rPr>
          <w:rFonts w:ascii="Arial" w:cs="Arial" w:eastAsia="Arial" w:hAnsi="Arial"/>
          <w:sz w:val="10"/>
          <w:szCs w:val="10"/>
          <w:color w:val="auto"/>
        </w:rPr>
      </w:pPr>
      <w:r>
        <w:rPr>
          <w:rFonts w:ascii="Arial" w:cs="Arial" w:eastAsia="Arial" w:hAnsi="Arial"/>
          <w:sz w:val="10"/>
          <w:szCs w:val="10"/>
          <w:color w:val="auto"/>
        </w:rPr>
        <w:t>The amounts reflected in this column include the change in pension value during fiscal 2022, 2021, and 2020. The change in pension value in 2022 was a decrease of $35,477 for Ms. Thomas, and a decrease of $373 for Mr. Nyman. The change in pension value in 2021 was an increase of $8,395 for Ms. Thomas. The change in pension value in 2020 was an increase of $28,728 for Ms. Thomas.</w:t>
      </w:r>
    </w:p>
    <w:p>
      <w:pPr>
        <w:spacing w:after="0" w:line="47" w:lineRule="exact"/>
        <w:rPr>
          <w:rFonts w:ascii="Arial" w:cs="Arial" w:eastAsia="Arial" w:hAnsi="Arial"/>
          <w:sz w:val="10"/>
          <w:szCs w:val="10"/>
          <w:color w:val="auto"/>
        </w:rPr>
      </w:pPr>
    </w:p>
    <w:p>
      <w:pPr>
        <w:ind w:left="2260" w:right="1179"/>
        <w:spacing w:after="0" w:line="232" w:lineRule="auto"/>
        <w:rPr>
          <w:rFonts w:ascii="Arial" w:cs="Arial" w:eastAsia="Arial" w:hAnsi="Arial"/>
          <w:sz w:val="10"/>
          <w:szCs w:val="10"/>
          <w:color w:val="auto"/>
        </w:rPr>
      </w:pPr>
      <w:r>
        <w:rPr>
          <w:rFonts w:ascii="Arial" w:cs="Arial" w:eastAsia="Arial" w:hAnsi="Arial"/>
          <w:sz w:val="10"/>
          <w:szCs w:val="10"/>
          <w:color w:val="auto"/>
        </w:rPr>
        <w:t>The amounts reflected in this table also include the following amounts which were earned on balances under the Supplemental Plan and are considered above market, as the Company paid interest on account balances at a rate of 3.5%, when 120% of the applicable long-term rate was 2.18%.</w:t>
      </w:r>
    </w:p>
    <w:p>
      <w:pPr>
        <w:spacing w:after="0" w:line="153" w:lineRule="exact"/>
        <w:rPr>
          <w:sz w:val="20"/>
          <w:szCs w:val="20"/>
          <w:color w:val="auto"/>
        </w:rPr>
      </w:pPr>
    </w:p>
    <w:tbl>
      <w:tblPr>
        <w:tblLayout w:type="fixed"/>
        <w:tblInd w:w="2260" w:type="dxa"/>
        <w:tblCellMar>
          <w:top w:w="0" w:type="dxa"/>
          <w:left w:w="0" w:type="dxa"/>
          <w:bottom w:w="0" w:type="dxa"/>
          <w:right w:w="0" w:type="dxa"/>
        </w:tblCellMar>
      </w:tblPr>
      <w:tr>
        <w:trPr>
          <w:trHeight w:val="212"/>
        </w:trPr>
        <w:tc>
          <w:tcPr>
            <w:tcW w:w="6180" w:type="dxa"/>
            <w:vAlign w:val="bottom"/>
            <w:tcBorders>
              <w:bottom w:val="single" w:sz="8" w:color="CCEBF8"/>
            </w:tcBorders>
            <w:shd w:val="clear" w:color="auto" w:fill="CCEBF8"/>
          </w:tcPr>
          <w:p>
            <w:pPr>
              <w:ind w:left="60"/>
              <w:spacing w:after="0"/>
              <w:rPr>
                <w:sz w:val="20"/>
                <w:szCs w:val="20"/>
                <w:color w:val="auto"/>
              </w:rPr>
            </w:pPr>
            <w:r>
              <w:rPr>
                <w:rFonts w:ascii="Arial" w:cs="Arial" w:eastAsia="Arial" w:hAnsi="Arial"/>
                <w:sz w:val="10"/>
                <w:szCs w:val="10"/>
                <w:b w:val="1"/>
                <w:bCs w:val="1"/>
                <w:color w:val="009BDE"/>
              </w:rPr>
              <w:t>Above-Market Earnings on Supplemental Plan Balances</w:t>
            </w:r>
          </w:p>
        </w:tc>
        <w:tc>
          <w:tcPr>
            <w:tcW w:w="580" w:type="dxa"/>
            <w:vAlign w:val="bottom"/>
            <w:tcBorders>
              <w:bottom w:val="single" w:sz="8" w:color="CCEBF8"/>
            </w:tcBorders>
            <w:shd w:val="clear" w:color="auto" w:fill="CCEBF8"/>
          </w:tcPr>
          <w:p>
            <w:pPr>
              <w:jc w:val="right"/>
              <w:ind w:right="51"/>
              <w:spacing w:after="0"/>
              <w:rPr>
                <w:sz w:val="20"/>
                <w:szCs w:val="20"/>
                <w:color w:val="auto"/>
              </w:rPr>
            </w:pPr>
            <w:r>
              <w:rPr>
                <w:rFonts w:ascii="Arial" w:cs="Arial" w:eastAsia="Arial" w:hAnsi="Arial"/>
                <w:sz w:val="11"/>
                <w:szCs w:val="11"/>
                <w:b w:val="1"/>
                <w:bCs w:val="1"/>
                <w:color w:val="009BDE"/>
                <w:shd w:val="clear" w:color="auto" w:fill="CCEBF8"/>
              </w:rPr>
              <w:t>2022</w:t>
            </w:r>
          </w:p>
        </w:tc>
      </w:tr>
      <w:tr>
        <w:trPr>
          <w:trHeight w:val="152"/>
        </w:trPr>
        <w:tc>
          <w:tcPr>
            <w:tcW w:w="6180" w:type="dxa"/>
            <w:vAlign w:val="bottom"/>
            <w:tcBorders>
              <w:top w:val="single" w:sz="8" w:color="009BDE"/>
            </w:tcBorders>
          </w:tcPr>
          <w:p>
            <w:pPr>
              <w:ind w:left="60"/>
              <w:spacing w:after="0"/>
              <w:rPr>
                <w:sz w:val="20"/>
                <w:szCs w:val="20"/>
                <w:color w:val="auto"/>
              </w:rPr>
            </w:pPr>
            <w:r>
              <w:rPr>
                <w:rFonts w:ascii="Arial" w:cs="Arial" w:eastAsia="Arial" w:hAnsi="Arial"/>
                <w:sz w:val="10"/>
                <w:szCs w:val="10"/>
                <w:color w:val="auto"/>
              </w:rPr>
              <w:t>Richard Stoddart</w:t>
            </w:r>
          </w:p>
        </w:tc>
        <w:tc>
          <w:tcPr>
            <w:tcW w:w="580" w:type="dxa"/>
            <w:vAlign w:val="bottom"/>
            <w:tcBorders>
              <w:top w:val="single" w:sz="8" w:color="009BDE"/>
            </w:tcBorders>
          </w:tcPr>
          <w:p>
            <w:pPr>
              <w:jc w:val="right"/>
              <w:ind w:right="11"/>
              <w:spacing w:after="0"/>
              <w:rPr>
                <w:sz w:val="20"/>
                <w:szCs w:val="20"/>
                <w:color w:val="auto"/>
              </w:rPr>
            </w:pPr>
            <w:r>
              <w:rPr>
                <w:rFonts w:ascii="Arial" w:cs="Arial" w:eastAsia="Arial" w:hAnsi="Arial"/>
                <w:sz w:val="10"/>
                <w:szCs w:val="10"/>
                <w:color w:val="auto"/>
              </w:rPr>
              <w:t>—</w:t>
            </w:r>
          </w:p>
        </w:tc>
      </w:tr>
      <w:tr>
        <w:trPr>
          <w:trHeight w:val="44"/>
        </w:trPr>
        <w:tc>
          <w:tcPr>
            <w:tcW w:w="6180" w:type="dxa"/>
            <w:vAlign w:val="bottom"/>
            <w:tcBorders>
              <w:bottom w:val="single" w:sz="8" w:color="009BDE"/>
            </w:tcBorders>
          </w:tcPr>
          <w:p>
            <w:pPr>
              <w:spacing w:after="0"/>
              <w:rPr>
                <w:sz w:val="3"/>
                <w:szCs w:val="3"/>
                <w:color w:val="auto"/>
              </w:rPr>
            </w:pPr>
          </w:p>
        </w:tc>
        <w:tc>
          <w:tcPr>
            <w:tcW w:w="580" w:type="dxa"/>
            <w:vAlign w:val="bottom"/>
            <w:tcBorders>
              <w:bottom w:val="single" w:sz="8" w:color="009BDE"/>
            </w:tcBorders>
          </w:tcPr>
          <w:p>
            <w:pPr>
              <w:spacing w:after="0"/>
              <w:rPr>
                <w:sz w:val="3"/>
                <w:szCs w:val="3"/>
                <w:color w:val="auto"/>
              </w:rPr>
            </w:pPr>
          </w:p>
        </w:tc>
      </w:tr>
      <w:tr>
        <w:trPr>
          <w:trHeight w:val="152"/>
        </w:trPr>
        <w:tc>
          <w:tcPr>
            <w:tcW w:w="6180" w:type="dxa"/>
            <w:vAlign w:val="bottom"/>
          </w:tcPr>
          <w:p>
            <w:pPr>
              <w:ind w:left="60"/>
              <w:spacing w:after="0"/>
              <w:rPr>
                <w:sz w:val="20"/>
                <w:szCs w:val="20"/>
                <w:color w:val="auto"/>
              </w:rPr>
            </w:pPr>
            <w:r>
              <w:rPr>
                <w:rFonts w:ascii="Arial" w:cs="Arial" w:eastAsia="Arial" w:hAnsi="Arial"/>
                <w:sz w:val="10"/>
                <w:szCs w:val="10"/>
                <w:color w:val="auto"/>
              </w:rPr>
              <w:t>Chris Cocks</w:t>
            </w: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$1,121</w:t>
            </w:r>
          </w:p>
        </w:tc>
      </w:tr>
      <w:tr>
        <w:trPr>
          <w:trHeight w:val="44"/>
        </w:trPr>
        <w:tc>
          <w:tcPr>
            <w:tcW w:w="6180" w:type="dxa"/>
            <w:vAlign w:val="bottom"/>
            <w:tcBorders>
              <w:bottom w:val="single" w:sz="8" w:color="009BDE"/>
            </w:tcBorders>
          </w:tcPr>
          <w:p>
            <w:pPr>
              <w:spacing w:after="0"/>
              <w:rPr>
                <w:sz w:val="3"/>
                <w:szCs w:val="3"/>
                <w:color w:val="auto"/>
              </w:rPr>
            </w:pPr>
          </w:p>
        </w:tc>
        <w:tc>
          <w:tcPr>
            <w:tcW w:w="580" w:type="dxa"/>
            <w:vAlign w:val="bottom"/>
            <w:tcBorders>
              <w:bottom w:val="single" w:sz="8" w:color="009BDE"/>
            </w:tcBorders>
          </w:tcPr>
          <w:p>
            <w:pPr>
              <w:spacing w:after="0"/>
              <w:rPr>
                <w:sz w:val="3"/>
                <w:szCs w:val="3"/>
                <w:color w:val="auto"/>
              </w:rPr>
            </w:pPr>
          </w:p>
        </w:tc>
      </w:tr>
      <w:tr>
        <w:trPr>
          <w:trHeight w:val="170"/>
        </w:trPr>
        <w:tc>
          <w:tcPr>
            <w:tcW w:w="6180" w:type="dxa"/>
            <w:vAlign w:val="bottom"/>
          </w:tcPr>
          <w:p>
            <w:pPr>
              <w:ind w:left="60"/>
              <w:spacing w:after="0"/>
              <w:rPr>
                <w:sz w:val="20"/>
                <w:szCs w:val="20"/>
                <w:color w:val="auto"/>
              </w:rPr>
            </w:pPr>
            <w:r>
              <w:rPr>
                <w:rFonts w:ascii="Arial" w:cs="Arial" w:eastAsia="Arial" w:hAnsi="Arial"/>
                <w:sz w:val="10"/>
                <w:szCs w:val="10"/>
                <w:color w:val="auto"/>
              </w:rPr>
              <w:t>Deborah Thomas</w:t>
            </w: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$7,236</w:t>
            </w:r>
          </w:p>
        </w:tc>
      </w:tr>
      <w:tr>
        <w:trPr>
          <w:trHeight w:val="62"/>
        </w:trPr>
        <w:tc>
          <w:tcPr>
            <w:tcW w:w="618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r>
      <w:tr>
        <w:trPr>
          <w:trHeight w:val="152"/>
        </w:trPr>
        <w:tc>
          <w:tcPr>
            <w:tcW w:w="6180" w:type="dxa"/>
            <w:vAlign w:val="bottom"/>
          </w:tcPr>
          <w:p>
            <w:pPr>
              <w:ind w:left="60"/>
              <w:spacing w:after="0"/>
              <w:rPr>
                <w:sz w:val="20"/>
                <w:szCs w:val="20"/>
                <w:color w:val="auto"/>
              </w:rPr>
            </w:pPr>
            <w:r>
              <w:rPr>
                <w:rFonts w:ascii="Arial" w:cs="Arial" w:eastAsia="Arial" w:hAnsi="Arial"/>
                <w:sz w:val="10"/>
                <w:szCs w:val="10"/>
                <w:color w:val="auto"/>
              </w:rPr>
              <w:t>Cynthia Williams</w:t>
            </w: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44"/>
        </w:trPr>
        <w:tc>
          <w:tcPr>
            <w:tcW w:w="6180" w:type="dxa"/>
            <w:vAlign w:val="bottom"/>
            <w:tcBorders>
              <w:bottom w:val="single" w:sz="8" w:color="009BDE"/>
            </w:tcBorders>
          </w:tcPr>
          <w:p>
            <w:pPr>
              <w:spacing w:after="0"/>
              <w:rPr>
                <w:sz w:val="3"/>
                <w:szCs w:val="3"/>
                <w:color w:val="auto"/>
              </w:rPr>
            </w:pPr>
          </w:p>
        </w:tc>
        <w:tc>
          <w:tcPr>
            <w:tcW w:w="580" w:type="dxa"/>
            <w:vAlign w:val="bottom"/>
            <w:tcBorders>
              <w:bottom w:val="single" w:sz="8" w:color="009BDE"/>
            </w:tcBorders>
          </w:tcPr>
          <w:p>
            <w:pPr>
              <w:spacing w:after="0"/>
              <w:rPr>
                <w:sz w:val="3"/>
                <w:szCs w:val="3"/>
                <w:color w:val="auto"/>
              </w:rPr>
            </w:pPr>
          </w:p>
        </w:tc>
      </w:tr>
      <w:tr>
        <w:trPr>
          <w:trHeight w:val="152"/>
        </w:trPr>
        <w:tc>
          <w:tcPr>
            <w:tcW w:w="6180" w:type="dxa"/>
            <w:vAlign w:val="bottom"/>
          </w:tcPr>
          <w:p>
            <w:pPr>
              <w:ind w:left="60"/>
              <w:spacing w:after="0"/>
              <w:rPr>
                <w:sz w:val="20"/>
                <w:szCs w:val="20"/>
                <w:color w:val="auto"/>
              </w:rPr>
            </w:pPr>
            <w:r>
              <w:rPr>
                <w:rFonts w:ascii="Arial" w:cs="Arial" w:eastAsia="Arial" w:hAnsi="Arial"/>
                <w:sz w:val="10"/>
                <w:szCs w:val="10"/>
                <w:color w:val="auto"/>
              </w:rPr>
              <w:t>Eric Nyman</w:t>
            </w: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$2,340</w:t>
            </w:r>
          </w:p>
        </w:tc>
      </w:tr>
      <w:tr>
        <w:trPr>
          <w:trHeight w:val="44"/>
        </w:trPr>
        <w:tc>
          <w:tcPr>
            <w:tcW w:w="6180" w:type="dxa"/>
            <w:vAlign w:val="bottom"/>
            <w:tcBorders>
              <w:bottom w:val="single" w:sz="8" w:color="009BDE"/>
            </w:tcBorders>
          </w:tcPr>
          <w:p>
            <w:pPr>
              <w:spacing w:after="0"/>
              <w:rPr>
                <w:sz w:val="3"/>
                <w:szCs w:val="3"/>
                <w:color w:val="auto"/>
              </w:rPr>
            </w:pPr>
          </w:p>
        </w:tc>
        <w:tc>
          <w:tcPr>
            <w:tcW w:w="580" w:type="dxa"/>
            <w:vAlign w:val="bottom"/>
            <w:tcBorders>
              <w:bottom w:val="single" w:sz="8" w:color="009BDE"/>
            </w:tcBorders>
          </w:tcPr>
          <w:p>
            <w:pPr>
              <w:spacing w:after="0"/>
              <w:rPr>
                <w:sz w:val="3"/>
                <w:szCs w:val="3"/>
                <w:color w:val="auto"/>
              </w:rPr>
            </w:pPr>
          </w:p>
        </w:tc>
      </w:tr>
      <w:tr>
        <w:trPr>
          <w:trHeight w:val="152"/>
        </w:trPr>
        <w:tc>
          <w:tcPr>
            <w:tcW w:w="6180" w:type="dxa"/>
            <w:vAlign w:val="bottom"/>
          </w:tcPr>
          <w:p>
            <w:pPr>
              <w:ind w:left="60"/>
              <w:spacing w:after="0"/>
              <w:rPr>
                <w:sz w:val="20"/>
                <w:szCs w:val="20"/>
                <w:color w:val="auto"/>
              </w:rPr>
            </w:pPr>
            <w:r>
              <w:rPr>
                <w:rFonts w:ascii="Arial" w:cs="Arial" w:eastAsia="Arial" w:hAnsi="Arial"/>
                <w:sz w:val="10"/>
                <w:szCs w:val="10"/>
                <w:color w:val="auto"/>
              </w:rPr>
              <w:t>Darren Throop</w:t>
            </w: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44"/>
        </w:trPr>
        <w:tc>
          <w:tcPr>
            <w:tcW w:w="6180" w:type="dxa"/>
            <w:vAlign w:val="bottom"/>
            <w:tcBorders>
              <w:bottom w:val="single" w:sz="8" w:color="009BDE"/>
            </w:tcBorders>
          </w:tcPr>
          <w:p>
            <w:pPr>
              <w:spacing w:after="0"/>
              <w:rPr>
                <w:sz w:val="3"/>
                <w:szCs w:val="3"/>
                <w:color w:val="auto"/>
              </w:rPr>
            </w:pPr>
          </w:p>
        </w:tc>
        <w:tc>
          <w:tcPr>
            <w:tcW w:w="580" w:type="dxa"/>
            <w:vAlign w:val="bottom"/>
            <w:tcBorders>
              <w:bottom w:val="single" w:sz="8" w:color="009BDE"/>
            </w:tcBorders>
          </w:tcPr>
          <w:p>
            <w:pPr>
              <w:spacing w:after="0"/>
              <w:rPr>
                <w:sz w:val="3"/>
                <w:szCs w:val="3"/>
                <w:color w:val="auto"/>
              </w:rPr>
            </w:pPr>
          </w:p>
        </w:tc>
      </w:tr>
    </w:tbl>
    <w:p>
      <w:pPr>
        <w:spacing w:after="0" w:line="95"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Does not include the following aggregate amounts, in fiscal 2022, 2021 and 2020, respectively, which were earned by the executives on the balance of</w:t>
      </w:r>
    </w:p>
    <w:p>
      <w:pPr>
        <w:ind w:left="2260" w:right="1119"/>
        <w:spacing w:after="0" w:line="232" w:lineRule="auto"/>
        <w:tabs>
          <w:tab w:leader="none" w:pos="2372" w:val="left"/>
        </w:tabs>
        <w:numPr>
          <w:ilvl w:val="0"/>
          <w:numId w:val="49"/>
        </w:numPr>
        <w:rPr>
          <w:rFonts w:ascii="Arial" w:cs="Arial" w:eastAsia="Arial" w:hAnsi="Arial"/>
          <w:sz w:val="10"/>
          <w:szCs w:val="10"/>
          <w:color w:val="auto"/>
        </w:rPr>
      </w:pPr>
      <w:r>
        <w:rPr>
          <w:rFonts w:ascii="Arial" w:cs="Arial" w:eastAsia="Arial" w:hAnsi="Arial"/>
          <w:sz w:val="10"/>
          <w:szCs w:val="10"/>
          <w:color w:val="auto"/>
        </w:rPr>
        <w:t>compensation previously deferred by them under the Deferred Compensation Plan and (ii) amounts previously contributed by the Company to the executive’s account under the Supplemental Plan (401(k)):</w:t>
      </w:r>
    </w:p>
    <w:p>
      <w:pPr>
        <w:spacing w:after="0" w:line="153" w:lineRule="exact"/>
        <w:rPr>
          <w:sz w:val="20"/>
          <w:szCs w:val="20"/>
          <w:color w:val="auto"/>
        </w:rPr>
      </w:pPr>
    </w:p>
    <w:tbl>
      <w:tblPr>
        <w:tblLayout w:type="fixed"/>
        <w:tblInd w:w="2260" w:type="dxa"/>
        <w:tblCellMar>
          <w:top w:w="0" w:type="dxa"/>
          <w:left w:w="0" w:type="dxa"/>
          <w:bottom w:w="0" w:type="dxa"/>
          <w:right w:w="0" w:type="dxa"/>
        </w:tblCellMar>
      </w:tblPr>
      <w:tr>
        <w:trPr>
          <w:trHeight w:val="144"/>
        </w:trPr>
        <w:tc>
          <w:tcPr>
            <w:tcW w:w="5060" w:type="dxa"/>
            <w:vAlign w:val="bottom"/>
            <w:shd w:val="clear" w:color="auto" w:fill="CCEBF8"/>
          </w:tcPr>
          <w:p>
            <w:pPr>
              <w:ind w:left="60"/>
              <w:spacing w:after="0"/>
              <w:rPr>
                <w:sz w:val="20"/>
                <w:szCs w:val="20"/>
                <w:color w:val="auto"/>
              </w:rPr>
            </w:pPr>
            <w:r>
              <w:rPr>
                <w:rFonts w:ascii="Arial" w:cs="Arial" w:eastAsia="Arial" w:hAnsi="Arial"/>
                <w:sz w:val="10"/>
                <w:szCs w:val="10"/>
                <w:b w:val="1"/>
                <w:bCs w:val="1"/>
                <w:color w:val="009BDE"/>
              </w:rPr>
              <w:t>Earnings on Deferred Compensation under Deferred Compensation Plan and</w:t>
            </w:r>
          </w:p>
        </w:tc>
        <w:tc>
          <w:tcPr>
            <w:tcW w:w="120" w:type="dxa"/>
            <w:vAlign w:val="bottom"/>
            <w:shd w:val="clear" w:color="auto" w:fill="CCEBF8"/>
          </w:tcPr>
          <w:p>
            <w:pPr>
              <w:spacing w:after="0"/>
              <w:rPr>
                <w:sz w:val="12"/>
                <w:szCs w:val="12"/>
                <w:color w:val="auto"/>
              </w:rPr>
            </w:pPr>
          </w:p>
        </w:tc>
        <w:tc>
          <w:tcPr>
            <w:tcW w:w="480" w:type="dxa"/>
            <w:vAlign w:val="bottom"/>
            <w:shd w:val="clear" w:color="auto" w:fill="CCEBF8"/>
          </w:tcPr>
          <w:p>
            <w:pPr>
              <w:spacing w:after="0"/>
              <w:rPr>
                <w:sz w:val="12"/>
                <w:szCs w:val="12"/>
                <w:color w:val="auto"/>
              </w:rPr>
            </w:pPr>
          </w:p>
        </w:tc>
        <w:tc>
          <w:tcPr>
            <w:tcW w:w="120" w:type="dxa"/>
            <w:vAlign w:val="bottom"/>
            <w:shd w:val="clear" w:color="auto" w:fill="CCEBF8"/>
          </w:tcPr>
          <w:p>
            <w:pPr>
              <w:spacing w:after="0"/>
              <w:rPr>
                <w:sz w:val="12"/>
                <w:szCs w:val="12"/>
                <w:color w:val="auto"/>
              </w:rPr>
            </w:pPr>
          </w:p>
        </w:tc>
        <w:tc>
          <w:tcPr>
            <w:tcW w:w="420" w:type="dxa"/>
            <w:vAlign w:val="bottom"/>
            <w:shd w:val="clear" w:color="auto" w:fill="CCEBF8"/>
          </w:tcPr>
          <w:p>
            <w:pPr>
              <w:spacing w:after="0"/>
              <w:rPr>
                <w:sz w:val="12"/>
                <w:szCs w:val="12"/>
                <w:color w:val="auto"/>
              </w:rPr>
            </w:pPr>
          </w:p>
        </w:tc>
        <w:tc>
          <w:tcPr>
            <w:tcW w:w="560" w:type="dxa"/>
            <w:vAlign w:val="bottom"/>
            <w:shd w:val="clear" w:color="auto" w:fill="CCEBF8"/>
          </w:tcPr>
          <w:p>
            <w:pPr>
              <w:spacing w:after="0"/>
              <w:rPr>
                <w:sz w:val="12"/>
                <w:szCs w:val="12"/>
                <w:color w:val="auto"/>
              </w:rPr>
            </w:pPr>
          </w:p>
        </w:tc>
      </w:tr>
      <w:tr>
        <w:trPr>
          <w:trHeight w:val="167"/>
        </w:trPr>
        <w:tc>
          <w:tcPr>
            <w:tcW w:w="5060" w:type="dxa"/>
            <w:vAlign w:val="bottom"/>
            <w:tcBorders>
              <w:bottom w:val="single" w:sz="8" w:color="CCEBF8"/>
            </w:tcBorders>
            <w:shd w:val="clear" w:color="auto" w:fill="CCEBF8"/>
          </w:tcPr>
          <w:p>
            <w:pPr>
              <w:ind w:left="60"/>
              <w:spacing w:after="0"/>
              <w:rPr>
                <w:sz w:val="20"/>
                <w:szCs w:val="20"/>
                <w:color w:val="auto"/>
              </w:rPr>
            </w:pPr>
            <w:r>
              <w:rPr>
                <w:rFonts w:ascii="Arial" w:cs="Arial" w:eastAsia="Arial" w:hAnsi="Arial"/>
                <w:sz w:val="10"/>
                <w:szCs w:val="10"/>
                <w:b w:val="1"/>
                <w:bCs w:val="1"/>
                <w:color w:val="009BDE"/>
              </w:rPr>
              <w:t>Amounts contributed under Supplemental Plan</w:t>
            </w:r>
          </w:p>
        </w:tc>
        <w:tc>
          <w:tcPr>
            <w:tcW w:w="120" w:type="dxa"/>
            <w:vAlign w:val="bottom"/>
            <w:tcBorders>
              <w:bottom w:val="single" w:sz="8" w:color="CCEBF8"/>
            </w:tcBorders>
            <w:shd w:val="clear" w:color="auto" w:fill="CCEBF8"/>
          </w:tcPr>
          <w:p>
            <w:pPr>
              <w:spacing w:after="0"/>
              <w:rPr>
                <w:sz w:val="14"/>
                <w:szCs w:val="14"/>
                <w:color w:val="auto"/>
              </w:rPr>
            </w:pPr>
          </w:p>
        </w:tc>
        <w:tc>
          <w:tcPr>
            <w:tcW w:w="480" w:type="dxa"/>
            <w:vAlign w:val="bottom"/>
            <w:tcBorders>
              <w:bottom w:val="single" w:sz="8" w:color="CCEBF8"/>
            </w:tcBorders>
            <w:shd w:val="clear" w:color="auto" w:fill="CCEBF8"/>
          </w:tcPr>
          <w:p>
            <w:pPr>
              <w:jc w:val="right"/>
              <w:ind w:right="152"/>
              <w:spacing w:after="0"/>
              <w:rPr>
                <w:sz w:val="20"/>
                <w:szCs w:val="20"/>
                <w:color w:val="auto"/>
              </w:rPr>
            </w:pPr>
            <w:r>
              <w:rPr>
                <w:rFonts w:ascii="Arial" w:cs="Arial" w:eastAsia="Arial" w:hAnsi="Arial"/>
                <w:sz w:val="10"/>
                <w:szCs w:val="10"/>
                <w:b w:val="1"/>
                <w:bCs w:val="1"/>
                <w:color w:val="009BDE"/>
              </w:rPr>
              <w:t>2022</w:t>
            </w:r>
          </w:p>
        </w:tc>
        <w:tc>
          <w:tcPr>
            <w:tcW w:w="120" w:type="dxa"/>
            <w:vAlign w:val="bottom"/>
            <w:tcBorders>
              <w:bottom w:val="single" w:sz="8" w:color="CCEBF8"/>
            </w:tcBorders>
            <w:shd w:val="clear" w:color="auto" w:fill="CCEBF8"/>
          </w:tcPr>
          <w:p>
            <w:pPr>
              <w:spacing w:after="0"/>
              <w:rPr>
                <w:sz w:val="14"/>
                <w:szCs w:val="14"/>
                <w:color w:val="auto"/>
              </w:rPr>
            </w:pPr>
          </w:p>
        </w:tc>
        <w:tc>
          <w:tcPr>
            <w:tcW w:w="420" w:type="dxa"/>
            <w:vAlign w:val="bottom"/>
            <w:tcBorders>
              <w:bottom w:val="single" w:sz="8" w:color="CCEBF8"/>
            </w:tcBorders>
            <w:shd w:val="clear" w:color="auto" w:fill="CCEBF8"/>
          </w:tcPr>
          <w:p>
            <w:pPr>
              <w:jc w:val="right"/>
              <w:ind w:right="112"/>
              <w:spacing w:after="0"/>
              <w:rPr>
                <w:sz w:val="20"/>
                <w:szCs w:val="20"/>
                <w:color w:val="auto"/>
              </w:rPr>
            </w:pPr>
            <w:r>
              <w:rPr>
                <w:rFonts w:ascii="Arial" w:cs="Arial" w:eastAsia="Arial" w:hAnsi="Arial"/>
                <w:sz w:val="10"/>
                <w:szCs w:val="10"/>
                <w:b w:val="1"/>
                <w:bCs w:val="1"/>
                <w:color w:val="009BDE"/>
              </w:rPr>
              <w:t>2021</w:t>
            </w:r>
          </w:p>
        </w:tc>
        <w:tc>
          <w:tcPr>
            <w:tcW w:w="560" w:type="dxa"/>
            <w:vAlign w:val="bottom"/>
            <w:tcBorders>
              <w:bottom w:val="single" w:sz="8" w:color="CCEBF8"/>
            </w:tcBorders>
            <w:shd w:val="clear" w:color="auto" w:fill="CCEBF8"/>
          </w:tcPr>
          <w:p>
            <w:pPr>
              <w:jc w:val="right"/>
              <w:ind w:right="132"/>
              <w:spacing w:after="0"/>
              <w:rPr>
                <w:sz w:val="20"/>
                <w:szCs w:val="20"/>
                <w:color w:val="auto"/>
              </w:rPr>
            </w:pPr>
            <w:r>
              <w:rPr>
                <w:rFonts w:ascii="Arial" w:cs="Arial" w:eastAsia="Arial" w:hAnsi="Arial"/>
                <w:sz w:val="10"/>
                <w:szCs w:val="10"/>
                <w:b w:val="1"/>
                <w:bCs w:val="1"/>
                <w:color w:val="009BDE"/>
              </w:rPr>
              <w:t>2020</w:t>
            </w:r>
          </w:p>
        </w:tc>
      </w:tr>
      <w:tr>
        <w:trPr>
          <w:trHeight w:val="152"/>
        </w:trPr>
        <w:tc>
          <w:tcPr>
            <w:tcW w:w="5060" w:type="dxa"/>
            <w:vAlign w:val="bottom"/>
            <w:tcBorders>
              <w:top w:val="single" w:sz="8" w:color="009BDE"/>
            </w:tcBorders>
          </w:tcPr>
          <w:p>
            <w:pPr>
              <w:ind w:left="60"/>
              <w:spacing w:after="0"/>
              <w:rPr>
                <w:sz w:val="20"/>
                <w:szCs w:val="20"/>
                <w:color w:val="auto"/>
              </w:rPr>
            </w:pPr>
            <w:r>
              <w:rPr>
                <w:rFonts w:ascii="Arial" w:cs="Arial" w:eastAsia="Arial" w:hAnsi="Arial"/>
                <w:sz w:val="10"/>
                <w:szCs w:val="10"/>
                <w:color w:val="auto"/>
              </w:rPr>
              <w:t>Richard Stoddart</w:t>
            </w:r>
          </w:p>
        </w:tc>
        <w:tc>
          <w:tcPr>
            <w:tcW w:w="120" w:type="dxa"/>
            <w:vAlign w:val="bottom"/>
            <w:tcBorders>
              <w:top w:val="single" w:sz="8" w:color="009BDE"/>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009BDE"/>
            </w:tcBorders>
          </w:tcPr>
          <w:p>
            <w:pPr>
              <w:jc w:val="right"/>
              <w:ind w:right="32"/>
              <w:spacing w:after="0"/>
              <w:rPr>
                <w:sz w:val="20"/>
                <w:szCs w:val="20"/>
                <w:color w:val="auto"/>
              </w:rPr>
            </w:pPr>
            <w:r>
              <w:rPr>
                <w:rFonts w:ascii="Arial" w:cs="Arial" w:eastAsia="Arial" w:hAnsi="Arial"/>
                <w:sz w:val="10"/>
                <w:szCs w:val="10"/>
                <w:color w:val="auto"/>
              </w:rPr>
              <w:t>5</w:t>
            </w:r>
          </w:p>
        </w:tc>
        <w:tc>
          <w:tcPr>
            <w:tcW w:w="120" w:type="dxa"/>
            <w:vAlign w:val="bottom"/>
            <w:tcBorders>
              <w:top w:val="single" w:sz="8" w:color="009BDE"/>
            </w:tcBorders>
          </w:tcPr>
          <w:p>
            <w:pPr>
              <w:spacing w:after="0"/>
              <w:rPr>
                <w:sz w:val="13"/>
                <w:szCs w:val="13"/>
                <w:color w:val="auto"/>
              </w:rPr>
            </w:pPr>
          </w:p>
        </w:tc>
        <w:tc>
          <w:tcPr>
            <w:tcW w:w="420" w:type="dxa"/>
            <w:vAlign w:val="bottom"/>
            <w:tcBorders>
              <w:top w:val="single" w:sz="8" w:color="009BDE"/>
            </w:tcBorders>
          </w:tcPr>
          <w:p>
            <w:pPr>
              <w:jc w:val="right"/>
              <w:ind w:right="32"/>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009BDE"/>
            </w:tcBorders>
          </w:tcPr>
          <w:p>
            <w:pPr>
              <w:jc w:val="right"/>
              <w:ind w:right="32"/>
              <w:spacing w:after="0"/>
              <w:rPr>
                <w:sz w:val="20"/>
                <w:szCs w:val="20"/>
                <w:color w:val="auto"/>
              </w:rPr>
            </w:pPr>
            <w:r>
              <w:rPr>
                <w:rFonts w:ascii="Arial" w:cs="Arial" w:eastAsia="Arial" w:hAnsi="Arial"/>
                <w:sz w:val="10"/>
                <w:szCs w:val="10"/>
                <w:color w:val="auto"/>
              </w:rPr>
              <w:t>—</w:t>
            </w:r>
          </w:p>
        </w:tc>
      </w:tr>
      <w:tr>
        <w:trPr>
          <w:trHeight w:val="44"/>
        </w:trPr>
        <w:tc>
          <w:tcPr>
            <w:tcW w:w="5060" w:type="dxa"/>
            <w:vAlign w:val="bottom"/>
            <w:tcBorders>
              <w:bottom w:val="single" w:sz="8" w:color="009BDE"/>
            </w:tcBorders>
          </w:tcPr>
          <w:p>
            <w:pPr>
              <w:spacing w:after="0"/>
              <w:rPr>
                <w:sz w:val="3"/>
                <w:szCs w:val="3"/>
                <w:color w:val="auto"/>
              </w:rPr>
            </w:pPr>
          </w:p>
        </w:tc>
        <w:tc>
          <w:tcPr>
            <w:tcW w:w="120" w:type="dxa"/>
            <w:vAlign w:val="bottom"/>
            <w:tcBorders>
              <w:bottom w:val="single" w:sz="8" w:color="009BDE"/>
            </w:tcBorders>
          </w:tcPr>
          <w:p>
            <w:pPr>
              <w:spacing w:after="0"/>
              <w:rPr>
                <w:sz w:val="3"/>
                <w:szCs w:val="3"/>
                <w:color w:val="auto"/>
              </w:rPr>
            </w:pPr>
          </w:p>
        </w:tc>
        <w:tc>
          <w:tcPr>
            <w:tcW w:w="480" w:type="dxa"/>
            <w:vAlign w:val="bottom"/>
            <w:tcBorders>
              <w:bottom w:val="single" w:sz="8" w:color="009BDE"/>
            </w:tcBorders>
          </w:tcPr>
          <w:p>
            <w:pPr>
              <w:spacing w:after="0"/>
              <w:rPr>
                <w:sz w:val="3"/>
                <w:szCs w:val="3"/>
                <w:color w:val="auto"/>
              </w:rPr>
            </w:pPr>
          </w:p>
        </w:tc>
        <w:tc>
          <w:tcPr>
            <w:tcW w:w="120" w:type="dxa"/>
            <w:vAlign w:val="bottom"/>
            <w:tcBorders>
              <w:bottom w:val="single" w:sz="8" w:color="009BDE"/>
            </w:tcBorders>
          </w:tcPr>
          <w:p>
            <w:pPr>
              <w:spacing w:after="0"/>
              <w:rPr>
                <w:sz w:val="3"/>
                <w:szCs w:val="3"/>
                <w:color w:val="auto"/>
              </w:rPr>
            </w:pPr>
          </w:p>
        </w:tc>
        <w:tc>
          <w:tcPr>
            <w:tcW w:w="420" w:type="dxa"/>
            <w:vAlign w:val="bottom"/>
            <w:tcBorders>
              <w:bottom w:val="single" w:sz="8" w:color="009BDE"/>
            </w:tcBorders>
          </w:tcPr>
          <w:p>
            <w:pPr>
              <w:spacing w:after="0"/>
              <w:rPr>
                <w:sz w:val="3"/>
                <w:szCs w:val="3"/>
                <w:color w:val="auto"/>
              </w:rPr>
            </w:pPr>
          </w:p>
        </w:tc>
        <w:tc>
          <w:tcPr>
            <w:tcW w:w="560" w:type="dxa"/>
            <w:vAlign w:val="bottom"/>
            <w:tcBorders>
              <w:bottom w:val="single" w:sz="8" w:color="009BDE"/>
            </w:tcBorders>
          </w:tcPr>
          <w:p>
            <w:pPr>
              <w:spacing w:after="0"/>
              <w:rPr>
                <w:sz w:val="3"/>
                <w:szCs w:val="3"/>
                <w:color w:val="auto"/>
              </w:rPr>
            </w:pPr>
          </w:p>
        </w:tc>
      </w:tr>
      <w:tr>
        <w:trPr>
          <w:trHeight w:val="152"/>
        </w:trPr>
        <w:tc>
          <w:tcPr>
            <w:tcW w:w="5060" w:type="dxa"/>
            <w:vAlign w:val="bottom"/>
          </w:tcPr>
          <w:p>
            <w:pPr>
              <w:ind w:left="60"/>
              <w:spacing w:after="0"/>
              <w:rPr>
                <w:sz w:val="20"/>
                <w:szCs w:val="20"/>
                <w:color w:val="auto"/>
              </w:rPr>
            </w:pPr>
            <w:r>
              <w:rPr>
                <w:rFonts w:ascii="Arial" w:cs="Arial" w:eastAsia="Arial" w:hAnsi="Arial"/>
                <w:sz w:val="10"/>
                <w:szCs w:val="10"/>
                <w:color w:val="auto"/>
              </w:rPr>
              <w:t>Chris Cocks</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w w:val="93"/>
              </w:rPr>
              <w:t>(101,587)</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68,625</w:t>
            </w:r>
          </w:p>
        </w:tc>
        <w:tc>
          <w:tcPr>
            <w:tcW w:w="560" w:type="dxa"/>
            <w:vAlign w:val="bottom"/>
          </w:tcPr>
          <w:p>
            <w:pPr>
              <w:jc w:val="right"/>
              <w:ind w:right="32"/>
              <w:spacing w:after="0"/>
              <w:rPr>
                <w:sz w:val="20"/>
                <w:szCs w:val="20"/>
                <w:color w:val="auto"/>
              </w:rPr>
            </w:pPr>
            <w:r>
              <w:rPr>
                <w:rFonts w:ascii="Arial" w:cs="Arial" w:eastAsia="Arial" w:hAnsi="Arial"/>
                <w:sz w:val="10"/>
                <w:szCs w:val="10"/>
                <w:color w:val="auto"/>
              </w:rPr>
              <w:t>—</w:t>
            </w:r>
          </w:p>
        </w:tc>
      </w:tr>
      <w:tr>
        <w:trPr>
          <w:trHeight w:val="44"/>
        </w:trPr>
        <w:tc>
          <w:tcPr>
            <w:tcW w:w="5060" w:type="dxa"/>
            <w:vAlign w:val="bottom"/>
            <w:tcBorders>
              <w:bottom w:val="single" w:sz="8" w:color="009BDE"/>
            </w:tcBorders>
          </w:tcPr>
          <w:p>
            <w:pPr>
              <w:spacing w:after="0"/>
              <w:rPr>
                <w:sz w:val="3"/>
                <w:szCs w:val="3"/>
                <w:color w:val="auto"/>
              </w:rPr>
            </w:pPr>
          </w:p>
        </w:tc>
        <w:tc>
          <w:tcPr>
            <w:tcW w:w="120" w:type="dxa"/>
            <w:vAlign w:val="bottom"/>
            <w:tcBorders>
              <w:bottom w:val="single" w:sz="8" w:color="009BDE"/>
            </w:tcBorders>
          </w:tcPr>
          <w:p>
            <w:pPr>
              <w:spacing w:after="0"/>
              <w:rPr>
                <w:sz w:val="3"/>
                <w:szCs w:val="3"/>
                <w:color w:val="auto"/>
              </w:rPr>
            </w:pPr>
          </w:p>
        </w:tc>
        <w:tc>
          <w:tcPr>
            <w:tcW w:w="480" w:type="dxa"/>
            <w:vAlign w:val="bottom"/>
            <w:tcBorders>
              <w:bottom w:val="single" w:sz="8" w:color="009BDE"/>
            </w:tcBorders>
          </w:tcPr>
          <w:p>
            <w:pPr>
              <w:spacing w:after="0"/>
              <w:rPr>
                <w:sz w:val="3"/>
                <w:szCs w:val="3"/>
                <w:color w:val="auto"/>
              </w:rPr>
            </w:pPr>
          </w:p>
        </w:tc>
        <w:tc>
          <w:tcPr>
            <w:tcW w:w="120" w:type="dxa"/>
            <w:vAlign w:val="bottom"/>
            <w:tcBorders>
              <w:bottom w:val="single" w:sz="8" w:color="009BDE"/>
            </w:tcBorders>
          </w:tcPr>
          <w:p>
            <w:pPr>
              <w:spacing w:after="0"/>
              <w:rPr>
                <w:sz w:val="3"/>
                <w:szCs w:val="3"/>
                <w:color w:val="auto"/>
              </w:rPr>
            </w:pPr>
          </w:p>
        </w:tc>
        <w:tc>
          <w:tcPr>
            <w:tcW w:w="420" w:type="dxa"/>
            <w:vAlign w:val="bottom"/>
            <w:tcBorders>
              <w:bottom w:val="single" w:sz="8" w:color="009BDE"/>
            </w:tcBorders>
          </w:tcPr>
          <w:p>
            <w:pPr>
              <w:spacing w:after="0"/>
              <w:rPr>
                <w:sz w:val="3"/>
                <w:szCs w:val="3"/>
                <w:color w:val="auto"/>
              </w:rPr>
            </w:pPr>
          </w:p>
        </w:tc>
        <w:tc>
          <w:tcPr>
            <w:tcW w:w="560" w:type="dxa"/>
            <w:vAlign w:val="bottom"/>
            <w:tcBorders>
              <w:bottom w:val="single" w:sz="8" w:color="009BDE"/>
            </w:tcBorders>
          </w:tcPr>
          <w:p>
            <w:pPr>
              <w:spacing w:after="0"/>
              <w:rPr>
                <w:sz w:val="3"/>
                <w:szCs w:val="3"/>
                <w:color w:val="auto"/>
              </w:rPr>
            </w:pPr>
          </w:p>
        </w:tc>
      </w:tr>
      <w:tr>
        <w:trPr>
          <w:trHeight w:val="170"/>
        </w:trPr>
        <w:tc>
          <w:tcPr>
            <w:tcW w:w="5060" w:type="dxa"/>
            <w:vAlign w:val="bottom"/>
          </w:tcPr>
          <w:p>
            <w:pPr>
              <w:ind w:left="60"/>
              <w:spacing w:after="0"/>
              <w:rPr>
                <w:sz w:val="20"/>
                <w:szCs w:val="20"/>
                <w:color w:val="auto"/>
              </w:rPr>
            </w:pPr>
            <w:r>
              <w:rPr>
                <w:rFonts w:ascii="Arial" w:cs="Arial" w:eastAsia="Arial" w:hAnsi="Arial"/>
                <w:sz w:val="10"/>
                <w:szCs w:val="10"/>
                <w:color w:val="auto"/>
              </w:rPr>
              <w:t>Deborah Thomas</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w w:val="93"/>
              </w:rPr>
              <w:t>(137,530)</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32"/>
              <w:spacing w:after="0"/>
              <w:rPr>
                <w:sz w:val="20"/>
                <w:szCs w:val="20"/>
                <w:color w:val="auto"/>
              </w:rPr>
            </w:pPr>
            <w:r>
              <w:rPr>
                <w:rFonts w:ascii="Arial" w:cs="Arial" w:eastAsia="Arial" w:hAnsi="Arial"/>
                <w:sz w:val="10"/>
                <w:szCs w:val="10"/>
                <w:color w:val="auto"/>
                <w:w w:val="88"/>
              </w:rPr>
              <w:t>195,347</w:t>
            </w:r>
          </w:p>
        </w:tc>
        <w:tc>
          <w:tcPr>
            <w:tcW w:w="560" w:type="dxa"/>
            <w:vAlign w:val="bottom"/>
          </w:tcPr>
          <w:p>
            <w:pPr>
              <w:jc w:val="right"/>
              <w:ind w:right="32"/>
              <w:spacing w:after="0"/>
              <w:rPr>
                <w:sz w:val="20"/>
                <w:szCs w:val="20"/>
                <w:color w:val="auto"/>
              </w:rPr>
            </w:pPr>
            <w:r>
              <w:rPr>
                <w:rFonts w:ascii="Arial" w:cs="Arial" w:eastAsia="Arial" w:hAnsi="Arial"/>
                <w:sz w:val="10"/>
                <w:szCs w:val="10"/>
                <w:color w:val="auto"/>
              </w:rPr>
              <w:t>$164,300</w:t>
            </w:r>
          </w:p>
        </w:tc>
      </w:tr>
      <w:tr>
        <w:trPr>
          <w:trHeight w:val="62"/>
        </w:trPr>
        <w:tc>
          <w:tcPr>
            <w:tcW w:w="5060" w:type="dxa"/>
            <w:vAlign w:val="bottom"/>
            <w:tcBorders>
              <w:bottom w:val="single" w:sz="8" w:color="009BDE"/>
            </w:tcBorders>
          </w:tcPr>
          <w:p>
            <w:pPr>
              <w:spacing w:after="0"/>
              <w:rPr>
                <w:sz w:val="5"/>
                <w:szCs w:val="5"/>
                <w:color w:val="auto"/>
              </w:rPr>
            </w:pPr>
          </w:p>
        </w:tc>
        <w:tc>
          <w:tcPr>
            <w:tcW w:w="12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120" w:type="dxa"/>
            <w:vAlign w:val="bottom"/>
            <w:tcBorders>
              <w:bottom w:val="single" w:sz="8" w:color="009BDE"/>
            </w:tcBorders>
          </w:tcPr>
          <w:p>
            <w:pPr>
              <w:spacing w:after="0"/>
              <w:rPr>
                <w:sz w:val="5"/>
                <w:szCs w:val="5"/>
                <w:color w:val="auto"/>
              </w:rPr>
            </w:pPr>
          </w:p>
        </w:tc>
        <w:tc>
          <w:tcPr>
            <w:tcW w:w="420" w:type="dxa"/>
            <w:vAlign w:val="bottom"/>
            <w:tcBorders>
              <w:bottom w:val="single" w:sz="8" w:color="009BDE"/>
            </w:tcBorders>
          </w:tcPr>
          <w:p>
            <w:pPr>
              <w:spacing w:after="0"/>
              <w:rPr>
                <w:sz w:val="5"/>
                <w:szCs w:val="5"/>
                <w:color w:val="auto"/>
              </w:rPr>
            </w:pPr>
          </w:p>
        </w:tc>
        <w:tc>
          <w:tcPr>
            <w:tcW w:w="560" w:type="dxa"/>
            <w:vAlign w:val="bottom"/>
            <w:tcBorders>
              <w:bottom w:val="single" w:sz="8" w:color="009BDE"/>
            </w:tcBorders>
          </w:tcPr>
          <w:p>
            <w:pPr>
              <w:spacing w:after="0"/>
              <w:rPr>
                <w:sz w:val="5"/>
                <w:szCs w:val="5"/>
                <w:color w:val="auto"/>
              </w:rPr>
            </w:pPr>
          </w:p>
        </w:tc>
      </w:tr>
      <w:tr>
        <w:trPr>
          <w:trHeight w:val="152"/>
        </w:trPr>
        <w:tc>
          <w:tcPr>
            <w:tcW w:w="5060" w:type="dxa"/>
            <w:vAlign w:val="bottom"/>
          </w:tcPr>
          <w:p>
            <w:pPr>
              <w:ind w:left="60"/>
              <w:spacing w:after="0"/>
              <w:rPr>
                <w:sz w:val="20"/>
                <w:szCs w:val="20"/>
                <w:color w:val="auto"/>
              </w:rPr>
            </w:pPr>
            <w:r>
              <w:rPr>
                <w:rFonts w:ascii="Arial" w:cs="Arial" w:eastAsia="Arial" w:hAnsi="Arial"/>
                <w:sz w:val="10"/>
                <w:szCs w:val="10"/>
                <w:color w:val="auto"/>
              </w:rPr>
              <w:t>Cynthia Williams</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rPr>
              <w:t>(7,521)</w:t>
            </w:r>
          </w:p>
        </w:tc>
        <w:tc>
          <w:tcPr>
            <w:tcW w:w="120" w:type="dxa"/>
            <w:vAlign w:val="bottom"/>
          </w:tcPr>
          <w:p>
            <w:pPr>
              <w:spacing w:after="0"/>
              <w:rPr>
                <w:sz w:val="13"/>
                <w:szCs w:val="13"/>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32"/>
              <w:spacing w:after="0"/>
              <w:rPr>
                <w:sz w:val="20"/>
                <w:szCs w:val="20"/>
                <w:color w:val="auto"/>
              </w:rPr>
            </w:pPr>
            <w:r>
              <w:rPr>
                <w:rFonts w:ascii="Arial" w:cs="Arial" w:eastAsia="Arial" w:hAnsi="Arial"/>
                <w:sz w:val="10"/>
                <w:szCs w:val="10"/>
                <w:color w:val="auto"/>
              </w:rPr>
              <w:t>—</w:t>
            </w:r>
          </w:p>
        </w:tc>
      </w:tr>
      <w:tr>
        <w:trPr>
          <w:trHeight w:val="44"/>
        </w:trPr>
        <w:tc>
          <w:tcPr>
            <w:tcW w:w="5060" w:type="dxa"/>
            <w:vAlign w:val="bottom"/>
            <w:tcBorders>
              <w:bottom w:val="single" w:sz="8" w:color="009BDE"/>
            </w:tcBorders>
          </w:tcPr>
          <w:p>
            <w:pPr>
              <w:spacing w:after="0"/>
              <w:rPr>
                <w:sz w:val="3"/>
                <w:szCs w:val="3"/>
                <w:color w:val="auto"/>
              </w:rPr>
            </w:pPr>
          </w:p>
        </w:tc>
        <w:tc>
          <w:tcPr>
            <w:tcW w:w="120" w:type="dxa"/>
            <w:vAlign w:val="bottom"/>
            <w:tcBorders>
              <w:bottom w:val="single" w:sz="8" w:color="009BDE"/>
            </w:tcBorders>
          </w:tcPr>
          <w:p>
            <w:pPr>
              <w:spacing w:after="0"/>
              <w:rPr>
                <w:sz w:val="3"/>
                <w:szCs w:val="3"/>
                <w:color w:val="auto"/>
              </w:rPr>
            </w:pPr>
          </w:p>
        </w:tc>
        <w:tc>
          <w:tcPr>
            <w:tcW w:w="480" w:type="dxa"/>
            <w:vAlign w:val="bottom"/>
            <w:tcBorders>
              <w:bottom w:val="single" w:sz="8" w:color="009BDE"/>
            </w:tcBorders>
          </w:tcPr>
          <w:p>
            <w:pPr>
              <w:spacing w:after="0"/>
              <w:rPr>
                <w:sz w:val="3"/>
                <w:szCs w:val="3"/>
                <w:color w:val="auto"/>
              </w:rPr>
            </w:pPr>
          </w:p>
        </w:tc>
        <w:tc>
          <w:tcPr>
            <w:tcW w:w="120" w:type="dxa"/>
            <w:vAlign w:val="bottom"/>
            <w:tcBorders>
              <w:bottom w:val="single" w:sz="8" w:color="009BDE"/>
            </w:tcBorders>
          </w:tcPr>
          <w:p>
            <w:pPr>
              <w:spacing w:after="0"/>
              <w:rPr>
                <w:sz w:val="3"/>
                <w:szCs w:val="3"/>
                <w:color w:val="auto"/>
              </w:rPr>
            </w:pPr>
          </w:p>
        </w:tc>
        <w:tc>
          <w:tcPr>
            <w:tcW w:w="420" w:type="dxa"/>
            <w:vAlign w:val="bottom"/>
            <w:tcBorders>
              <w:bottom w:val="single" w:sz="8" w:color="009BDE"/>
            </w:tcBorders>
          </w:tcPr>
          <w:p>
            <w:pPr>
              <w:spacing w:after="0"/>
              <w:rPr>
                <w:sz w:val="3"/>
                <w:szCs w:val="3"/>
                <w:color w:val="auto"/>
              </w:rPr>
            </w:pPr>
          </w:p>
        </w:tc>
        <w:tc>
          <w:tcPr>
            <w:tcW w:w="560" w:type="dxa"/>
            <w:vAlign w:val="bottom"/>
            <w:tcBorders>
              <w:bottom w:val="single" w:sz="8" w:color="009BDE"/>
            </w:tcBorders>
          </w:tcPr>
          <w:p>
            <w:pPr>
              <w:spacing w:after="0"/>
              <w:rPr>
                <w:sz w:val="3"/>
                <w:szCs w:val="3"/>
                <w:color w:val="auto"/>
              </w:rPr>
            </w:pPr>
          </w:p>
        </w:tc>
      </w:tr>
      <w:tr>
        <w:trPr>
          <w:trHeight w:val="152"/>
        </w:trPr>
        <w:tc>
          <w:tcPr>
            <w:tcW w:w="5060" w:type="dxa"/>
            <w:vAlign w:val="bottom"/>
          </w:tcPr>
          <w:p>
            <w:pPr>
              <w:ind w:left="60"/>
              <w:spacing w:after="0"/>
              <w:rPr>
                <w:sz w:val="20"/>
                <w:szCs w:val="20"/>
                <w:color w:val="auto"/>
              </w:rPr>
            </w:pPr>
            <w:r>
              <w:rPr>
                <w:rFonts w:ascii="Arial" w:cs="Arial" w:eastAsia="Arial" w:hAnsi="Arial"/>
                <w:sz w:val="10"/>
                <w:szCs w:val="10"/>
                <w:color w:val="auto"/>
              </w:rPr>
              <w:t>Eric Nyman</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32"/>
              <w:spacing w:after="0"/>
              <w:rPr>
                <w:sz w:val="20"/>
                <w:szCs w:val="20"/>
                <w:color w:val="auto"/>
              </w:rPr>
            </w:pPr>
            <w:r>
              <w:rPr>
                <w:rFonts w:ascii="Arial" w:cs="Arial" w:eastAsia="Arial" w:hAnsi="Arial"/>
                <w:sz w:val="10"/>
                <w:szCs w:val="10"/>
                <w:color w:val="auto"/>
              </w:rPr>
              <w:t>13,884</w:t>
            </w:r>
          </w:p>
        </w:tc>
        <w:tc>
          <w:tcPr>
            <w:tcW w:w="120" w:type="dxa"/>
            <w:vAlign w:val="bottom"/>
          </w:tcPr>
          <w:p>
            <w:pPr>
              <w:spacing w:after="0"/>
              <w:rPr>
                <w:sz w:val="13"/>
                <w:szCs w:val="13"/>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32"/>
              <w:spacing w:after="0"/>
              <w:rPr>
                <w:sz w:val="20"/>
                <w:szCs w:val="20"/>
                <w:color w:val="auto"/>
              </w:rPr>
            </w:pPr>
            <w:r>
              <w:rPr>
                <w:rFonts w:ascii="Arial" w:cs="Arial" w:eastAsia="Arial" w:hAnsi="Arial"/>
                <w:sz w:val="10"/>
                <w:szCs w:val="10"/>
                <w:color w:val="auto"/>
              </w:rPr>
              <w:t>—</w:t>
            </w:r>
          </w:p>
        </w:tc>
      </w:tr>
      <w:tr>
        <w:trPr>
          <w:trHeight w:val="44"/>
        </w:trPr>
        <w:tc>
          <w:tcPr>
            <w:tcW w:w="5060" w:type="dxa"/>
            <w:vAlign w:val="bottom"/>
            <w:tcBorders>
              <w:bottom w:val="single" w:sz="8" w:color="009BDE"/>
            </w:tcBorders>
          </w:tcPr>
          <w:p>
            <w:pPr>
              <w:spacing w:after="0"/>
              <w:rPr>
                <w:sz w:val="3"/>
                <w:szCs w:val="3"/>
                <w:color w:val="auto"/>
              </w:rPr>
            </w:pPr>
          </w:p>
        </w:tc>
        <w:tc>
          <w:tcPr>
            <w:tcW w:w="120" w:type="dxa"/>
            <w:vAlign w:val="bottom"/>
            <w:tcBorders>
              <w:bottom w:val="single" w:sz="8" w:color="009BDE"/>
            </w:tcBorders>
          </w:tcPr>
          <w:p>
            <w:pPr>
              <w:spacing w:after="0"/>
              <w:rPr>
                <w:sz w:val="3"/>
                <w:szCs w:val="3"/>
                <w:color w:val="auto"/>
              </w:rPr>
            </w:pPr>
          </w:p>
        </w:tc>
        <w:tc>
          <w:tcPr>
            <w:tcW w:w="480" w:type="dxa"/>
            <w:vAlign w:val="bottom"/>
            <w:tcBorders>
              <w:bottom w:val="single" w:sz="8" w:color="009BDE"/>
            </w:tcBorders>
          </w:tcPr>
          <w:p>
            <w:pPr>
              <w:spacing w:after="0"/>
              <w:rPr>
                <w:sz w:val="3"/>
                <w:szCs w:val="3"/>
                <w:color w:val="auto"/>
              </w:rPr>
            </w:pPr>
          </w:p>
        </w:tc>
        <w:tc>
          <w:tcPr>
            <w:tcW w:w="120" w:type="dxa"/>
            <w:vAlign w:val="bottom"/>
            <w:tcBorders>
              <w:bottom w:val="single" w:sz="8" w:color="009BDE"/>
            </w:tcBorders>
          </w:tcPr>
          <w:p>
            <w:pPr>
              <w:spacing w:after="0"/>
              <w:rPr>
                <w:sz w:val="3"/>
                <w:szCs w:val="3"/>
                <w:color w:val="auto"/>
              </w:rPr>
            </w:pPr>
          </w:p>
        </w:tc>
        <w:tc>
          <w:tcPr>
            <w:tcW w:w="420" w:type="dxa"/>
            <w:vAlign w:val="bottom"/>
            <w:tcBorders>
              <w:bottom w:val="single" w:sz="8" w:color="009BDE"/>
            </w:tcBorders>
          </w:tcPr>
          <w:p>
            <w:pPr>
              <w:spacing w:after="0"/>
              <w:rPr>
                <w:sz w:val="3"/>
                <w:szCs w:val="3"/>
                <w:color w:val="auto"/>
              </w:rPr>
            </w:pPr>
          </w:p>
        </w:tc>
        <w:tc>
          <w:tcPr>
            <w:tcW w:w="560" w:type="dxa"/>
            <w:vAlign w:val="bottom"/>
            <w:tcBorders>
              <w:bottom w:val="single" w:sz="8" w:color="009BDE"/>
            </w:tcBorders>
          </w:tcPr>
          <w:p>
            <w:pPr>
              <w:spacing w:after="0"/>
              <w:rPr>
                <w:sz w:val="3"/>
                <w:szCs w:val="3"/>
                <w:color w:val="auto"/>
              </w:rPr>
            </w:pPr>
          </w:p>
        </w:tc>
      </w:tr>
      <w:tr>
        <w:trPr>
          <w:trHeight w:val="152"/>
        </w:trPr>
        <w:tc>
          <w:tcPr>
            <w:tcW w:w="5060" w:type="dxa"/>
            <w:vAlign w:val="bottom"/>
          </w:tcPr>
          <w:p>
            <w:pPr>
              <w:ind w:left="60"/>
              <w:spacing w:after="0"/>
              <w:rPr>
                <w:sz w:val="20"/>
                <w:szCs w:val="20"/>
                <w:color w:val="auto"/>
              </w:rPr>
            </w:pPr>
            <w:r>
              <w:rPr>
                <w:rFonts w:ascii="Arial" w:cs="Arial" w:eastAsia="Arial" w:hAnsi="Arial"/>
                <w:sz w:val="10"/>
                <w:szCs w:val="10"/>
                <w:color w:val="auto"/>
              </w:rPr>
              <w:t>Darren Throop</w:t>
            </w:r>
          </w:p>
        </w:tc>
        <w:tc>
          <w:tcPr>
            <w:tcW w:w="120" w:type="dxa"/>
            <w:vAlign w:val="bottom"/>
          </w:tcPr>
          <w:p>
            <w:pPr>
              <w:spacing w:after="0"/>
              <w:rPr>
                <w:sz w:val="13"/>
                <w:szCs w:val="13"/>
                <w:color w:val="auto"/>
              </w:rPr>
            </w:pPr>
          </w:p>
        </w:tc>
        <w:tc>
          <w:tcPr>
            <w:tcW w:w="48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32"/>
              <w:spacing w:after="0"/>
              <w:rPr>
                <w:sz w:val="20"/>
                <w:szCs w:val="20"/>
                <w:color w:val="auto"/>
              </w:rPr>
            </w:pPr>
            <w:r>
              <w:rPr>
                <w:rFonts w:ascii="Arial" w:cs="Arial" w:eastAsia="Arial" w:hAnsi="Arial"/>
                <w:sz w:val="10"/>
                <w:szCs w:val="10"/>
                <w:color w:val="auto"/>
              </w:rPr>
              <w:t>—</w:t>
            </w:r>
          </w:p>
        </w:tc>
      </w:tr>
      <w:tr>
        <w:trPr>
          <w:trHeight w:val="44"/>
        </w:trPr>
        <w:tc>
          <w:tcPr>
            <w:tcW w:w="5060" w:type="dxa"/>
            <w:vAlign w:val="bottom"/>
            <w:tcBorders>
              <w:bottom w:val="single" w:sz="8" w:color="009BDE"/>
            </w:tcBorders>
          </w:tcPr>
          <w:p>
            <w:pPr>
              <w:spacing w:after="0"/>
              <w:rPr>
                <w:sz w:val="3"/>
                <w:szCs w:val="3"/>
                <w:color w:val="auto"/>
              </w:rPr>
            </w:pPr>
          </w:p>
        </w:tc>
        <w:tc>
          <w:tcPr>
            <w:tcW w:w="120" w:type="dxa"/>
            <w:vAlign w:val="bottom"/>
            <w:tcBorders>
              <w:bottom w:val="single" w:sz="8" w:color="009BDE"/>
            </w:tcBorders>
          </w:tcPr>
          <w:p>
            <w:pPr>
              <w:spacing w:after="0"/>
              <w:rPr>
                <w:sz w:val="3"/>
                <w:szCs w:val="3"/>
                <w:color w:val="auto"/>
              </w:rPr>
            </w:pPr>
          </w:p>
        </w:tc>
        <w:tc>
          <w:tcPr>
            <w:tcW w:w="480" w:type="dxa"/>
            <w:vAlign w:val="bottom"/>
            <w:tcBorders>
              <w:bottom w:val="single" w:sz="8" w:color="009BDE"/>
            </w:tcBorders>
          </w:tcPr>
          <w:p>
            <w:pPr>
              <w:spacing w:after="0"/>
              <w:rPr>
                <w:sz w:val="3"/>
                <w:szCs w:val="3"/>
                <w:color w:val="auto"/>
              </w:rPr>
            </w:pPr>
          </w:p>
        </w:tc>
        <w:tc>
          <w:tcPr>
            <w:tcW w:w="120" w:type="dxa"/>
            <w:vAlign w:val="bottom"/>
            <w:tcBorders>
              <w:bottom w:val="single" w:sz="8" w:color="009BDE"/>
            </w:tcBorders>
          </w:tcPr>
          <w:p>
            <w:pPr>
              <w:spacing w:after="0"/>
              <w:rPr>
                <w:sz w:val="3"/>
                <w:szCs w:val="3"/>
                <w:color w:val="auto"/>
              </w:rPr>
            </w:pPr>
          </w:p>
        </w:tc>
        <w:tc>
          <w:tcPr>
            <w:tcW w:w="420" w:type="dxa"/>
            <w:vAlign w:val="bottom"/>
            <w:tcBorders>
              <w:bottom w:val="single" w:sz="8" w:color="009BDE"/>
            </w:tcBorders>
          </w:tcPr>
          <w:p>
            <w:pPr>
              <w:spacing w:after="0"/>
              <w:rPr>
                <w:sz w:val="3"/>
                <w:szCs w:val="3"/>
                <w:color w:val="auto"/>
              </w:rPr>
            </w:pPr>
          </w:p>
        </w:tc>
        <w:tc>
          <w:tcPr>
            <w:tcW w:w="560" w:type="dxa"/>
            <w:vAlign w:val="bottom"/>
            <w:tcBorders>
              <w:bottom w:val="single" w:sz="8" w:color="009BDE"/>
            </w:tcBorders>
          </w:tcPr>
          <w:p>
            <w:pPr>
              <w:spacing w:after="0"/>
              <w:rPr>
                <w:sz w:val="3"/>
                <w:szCs w:val="3"/>
                <w:color w:val="auto"/>
              </w:rPr>
            </w:pPr>
          </w:p>
        </w:tc>
      </w:tr>
    </w:tbl>
    <w:p>
      <w:pPr>
        <w:spacing w:after="0" w:line="102" w:lineRule="exact"/>
        <w:rPr>
          <w:sz w:val="20"/>
          <w:szCs w:val="20"/>
          <w:color w:val="auto"/>
        </w:rPr>
      </w:pPr>
    </w:p>
    <w:p>
      <w:pPr>
        <w:ind w:left="2260" w:right="879"/>
        <w:spacing w:after="0" w:line="232" w:lineRule="auto"/>
        <w:rPr>
          <w:sz w:val="20"/>
          <w:szCs w:val="20"/>
          <w:color w:val="auto"/>
        </w:rPr>
      </w:pPr>
      <w:r>
        <w:rPr>
          <w:rFonts w:ascii="Arial" w:cs="Arial" w:eastAsia="Arial" w:hAnsi="Arial"/>
          <w:sz w:val="10"/>
          <w:szCs w:val="10"/>
          <w:color w:val="auto"/>
        </w:rPr>
        <w:t>Earnings on compensation previously deferred by the executive officers and on the Company’s prior contributions to the Supplemental Plan do not exceed the market returns on the relevant investments which are earned by other participants selecting the same investment options.</w:t>
      </w:r>
    </w:p>
    <w:p>
      <w:pPr>
        <w:spacing w:after="0" w:line="48" w:lineRule="exact"/>
        <w:rPr>
          <w:sz w:val="20"/>
          <w:szCs w:val="20"/>
          <w:color w:val="auto"/>
        </w:rPr>
      </w:pPr>
    </w:p>
    <w:p>
      <w:pPr>
        <w:ind w:left="2260" w:right="1039" w:hanging="288"/>
        <w:spacing w:after="0" w:line="232" w:lineRule="auto"/>
        <w:tabs>
          <w:tab w:leader="none" w:pos="2260" w:val="left"/>
        </w:tabs>
        <w:numPr>
          <w:ilvl w:val="0"/>
          <w:numId w:val="50"/>
        </w:numPr>
        <w:rPr>
          <w:rFonts w:ascii="Arial" w:cs="Arial" w:eastAsia="Arial" w:hAnsi="Arial"/>
          <w:sz w:val="10"/>
          <w:szCs w:val="10"/>
          <w:color w:val="auto"/>
        </w:rPr>
      </w:pPr>
      <w:r>
        <w:rPr>
          <w:rFonts w:ascii="Arial" w:cs="Arial" w:eastAsia="Arial" w:hAnsi="Arial"/>
          <w:sz w:val="10"/>
          <w:szCs w:val="10"/>
          <w:color w:val="auto"/>
        </w:rPr>
        <w:t>Includes the following amounts for fiscal 2022, 2021 and 2020, respectively, paid by the Company for each Named Executive Officer in connection with a program whereby certain financial planning, legal and tax preparation services provided to the individual are paid for by the Company:</w:t>
      </w:r>
    </w:p>
    <w:p>
      <w:pPr>
        <w:spacing w:after="0" w:line="153" w:lineRule="exact"/>
        <w:rPr>
          <w:sz w:val="20"/>
          <w:szCs w:val="20"/>
          <w:color w:val="auto"/>
        </w:rPr>
      </w:pPr>
    </w:p>
    <w:tbl>
      <w:tblPr>
        <w:tblLayout w:type="fixed"/>
        <w:tblInd w:w="2260" w:type="dxa"/>
        <w:tblCellMar>
          <w:top w:w="0" w:type="dxa"/>
          <w:left w:w="0" w:type="dxa"/>
          <w:bottom w:w="0" w:type="dxa"/>
          <w:right w:w="0" w:type="dxa"/>
        </w:tblCellMar>
      </w:tblPr>
      <w:tr>
        <w:trPr>
          <w:trHeight w:val="194"/>
        </w:trPr>
        <w:tc>
          <w:tcPr>
            <w:tcW w:w="5480" w:type="dxa"/>
            <w:vAlign w:val="bottom"/>
            <w:tcBorders>
              <w:bottom w:val="single" w:sz="8" w:color="CCEBF8"/>
            </w:tcBorders>
            <w:shd w:val="clear" w:color="auto" w:fill="CCEBF8"/>
          </w:tcPr>
          <w:p>
            <w:pPr>
              <w:ind w:left="60"/>
              <w:spacing w:after="0"/>
              <w:rPr>
                <w:sz w:val="20"/>
                <w:szCs w:val="20"/>
                <w:color w:val="auto"/>
              </w:rPr>
            </w:pPr>
            <w:r>
              <w:rPr>
                <w:rFonts w:ascii="Arial" w:cs="Arial" w:eastAsia="Arial" w:hAnsi="Arial"/>
                <w:sz w:val="10"/>
                <w:szCs w:val="10"/>
                <w:b w:val="1"/>
                <w:bCs w:val="1"/>
                <w:color w:val="009BDE"/>
              </w:rPr>
              <w:t>Financial Planning, Legal and Tax Preparation Services</w:t>
            </w:r>
          </w:p>
        </w:tc>
        <w:tc>
          <w:tcPr>
            <w:tcW w:w="100" w:type="dxa"/>
            <w:vAlign w:val="bottom"/>
            <w:tcBorders>
              <w:bottom w:val="single" w:sz="8" w:color="CCEBF8"/>
            </w:tcBorders>
            <w:shd w:val="clear" w:color="auto" w:fill="CCEBF8"/>
          </w:tcPr>
          <w:p>
            <w:pPr>
              <w:spacing w:after="0"/>
              <w:rPr>
                <w:sz w:val="16"/>
                <w:szCs w:val="16"/>
                <w:color w:val="auto"/>
              </w:rPr>
            </w:pPr>
          </w:p>
        </w:tc>
        <w:tc>
          <w:tcPr>
            <w:tcW w:w="340" w:type="dxa"/>
            <w:vAlign w:val="bottom"/>
            <w:tcBorders>
              <w:bottom w:val="single" w:sz="8" w:color="CCEBF8"/>
            </w:tcBorders>
            <w:shd w:val="clear" w:color="auto" w:fill="CCEBF8"/>
          </w:tcPr>
          <w:p>
            <w:pPr>
              <w:jc w:val="right"/>
              <w:ind w:right="72"/>
              <w:spacing w:after="0"/>
              <w:rPr>
                <w:sz w:val="20"/>
                <w:szCs w:val="20"/>
                <w:color w:val="auto"/>
              </w:rPr>
            </w:pPr>
            <w:r>
              <w:rPr>
                <w:rFonts w:ascii="Arial" w:cs="Arial" w:eastAsia="Arial" w:hAnsi="Arial"/>
                <w:sz w:val="10"/>
                <w:szCs w:val="10"/>
                <w:b w:val="1"/>
                <w:bCs w:val="1"/>
                <w:color w:val="009BDE"/>
                <w:w w:val="89"/>
              </w:rPr>
              <w:t>2022</w:t>
            </w:r>
          </w:p>
        </w:tc>
        <w:tc>
          <w:tcPr>
            <w:tcW w:w="420" w:type="dxa"/>
            <w:vAlign w:val="bottom"/>
            <w:tcBorders>
              <w:bottom w:val="single" w:sz="8" w:color="CCEBF8"/>
            </w:tcBorders>
            <w:shd w:val="clear" w:color="auto" w:fill="CCEBF8"/>
          </w:tcPr>
          <w:p>
            <w:pPr>
              <w:jc w:val="right"/>
              <w:ind w:right="52"/>
              <w:spacing w:after="0"/>
              <w:rPr>
                <w:sz w:val="20"/>
                <w:szCs w:val="20"/>
                <w:color w:val="auto"/>
              </w:rPr>
            </w:pPr>
            <w:r>
              <w:rPr>
                <w:rFonts w:ascii="Arial" w:cs="Arial" w:eastAsia="Arial" w:hAnsi="Arial"/>
                <w:sz w:val="10"/>
                <w:szCs w:val="10"/>
                <w:b w:val="1"/>
                <w:bCs w:val="1"/>
                <w:color w:val="009BDE"/>
              </w:rPr>
              <w:t>2021</w:t>
            </w:r>
          </w:p>
        </w:tc>
        <w:tc>
          <w:tcPr>
            <w:tcW w:w="420" w:type="dxa"/>
            <w:vAlign w:val="bottom"/>
            <w:tcBorders>
              <w:bottom w:val="single" w:sz="8" w:color="CCEBF8"/>
            </w:tcBorders>
            <w:shd w:val="clear" w:color="auto" w:fill="CCEBF8"/>
          </w:tcPr>
          <w:p>
            <w:pPr>
              <w:jc w:val="right"/>
              <w:ind w:right="52"/>
              <w:spacing w:after="0"/>
              <w:rPr>
                <w:sz w:val="20"/>
                <w:szCs w:val="20"/>
                <w:color w:val="auto"/>
              </w:rPr>
            </w:pPr>
            <w:r>
              <w:rPr>
                <w:rFonts w:ascii="Arial" w:cs="Arial" w:eastAsia="Arial" w:hAnsi="Arial"/>
                <w:sz w:val="10"/>
                <w:szCs w:val="10"/>
                <w:b w:val="1"/>
                <w:bCs w:val="1"/>
                <w:color w:val="009BDE"/>
              </w:rPr>
              <w:t>2020</w:t>
            </w:r>
          </w:p>
        </w:tc>
      </w:tr>
      <w:tr>
        <w:trPr>
          <w:trHeight w:val="152"/>
        </w:trPr>
        <w:tc>
          <w:tcPr>
            <w:tcW w:w="5480" w:type="dxa"/>
            <w:vAlign w:val="bottom"/>
            <w:tcBorders>
              <w:top w:val="single" w:sz="8" w:color="009BDE"/>
            </w:tcBorders>
          </w:tcPr>
          <w:p>
            <w:pPr>
              <w:ind w:left="60"/>
              <w:spacing w:after="0"/>
              <w:rPr>
                <w:sz w:val="20"/>
                <w:szCs w:val="20"/>
                <w:color w:val="auto"/>
              </w:rPr>
            </w:pPr>
            <w:r>
              <w:rPr>
                <w:rFonts w:ascii="Arial" w:cs="Arial" w:eastAsia="Arial" w:hAnsi="Arial"/>
                <w:sz w:val="10"/>
                <w:szCs w:val="10"/>
                <w:color w:val="auto"/>
              </w:rPr>
              <w:t>Richard Stoddart</w:t>
            </w:r>
          </w:p>
        </w:tc>
        <w:tc>
          <w:tcPr>
            <w:tcW w:w="100" w:type="dxa"/>
            <w:vAlign w:val="bottom"/>
            <w:tcBorders>
              <w:top w:val="single" w:sz="8" w:color="009BDE"/>
            </w:tcBorders>
          </w:tcPr>
          <w:p>
            <w:pPr>
              <w:spacing w:after="0"/>
              <w:rPr>
                <w:sz w:val="13"/>
                <w:szCs w:val="13"/>
                <w:color w:val="auto"/>
              </w:rPr>
            </w:pPr>
          </w:p>
        </w:tc>
        <w:tc>
          <w:tcPr>
            <w:tcW w:w="340" w:type="dxa"/>
            <w:vAlign w:val="bottom"/>
            <w:tcBorders>
              <w:top w:val="single" w:sz="8" w:color="009BDE"/>
            </w:tcBorders>
          </w:tcPr>
          <w:p>
            <w:pPr>
              <w:jc w:val="right"/>
              <w:ind w:right="12"/>
              <w:spacing w:after="0"/>
              <w:rPr>
                <w:sz w:val="20"/>
                <w:szCs w:val="20"/>
                <w:color w:val="auto"/>
              </w:rPr>
            </w:pPr>
            <w:r>
              <w:rPr>
                <w:rFonts w:ascii="Arial" w:cs="Arial" w:eastAsia="Arial" w:hAnsi="Arial"/>
                <w:sz w:val="10"/>
                <w:szCs w:val="10"/>
                <w:color w:val="auto"/>
              </w:rPr>
              <w:t>—</w:t>
            </w:r>
          </w:p>
        </w:tc>
        <w:tc>
          <w:tcPr>
            <w:tcW w:w="420" w:type="dxa"/>
            <w:vAlign w:val="bottom"/>
            <w:tcBorders>
              <w:top w:val="single" w:sz="8" w:color="009BDE"/>
            </w:tcBorders>
          </w:tcPr>
          <w:p>
            <w:pPr>
              <w:jc w:val="right"/>
              <w:ind w:right="12"/>
              <w:spacing w:after="0"/>
              <w:rPr>
                <w:sz w:val="20"/>
                <w:szCs w:val="20"/>
                <w:color w:val="auto"/>
              </w:rPr>
            </w:pPr>
            <w:r>
              <w:rPr>
                <w:rFonts w:ascii="Arial" w:cs="Arial" w:eastAsia="Arial" w:hAnsi="Arial"/>
                <w:sz w:val="10"/>
                <w:szCs w:val="10"/>
                <w:color w:val="auto"/>
              </w:rPr>
              <w:t>—</w:t>
            </w:r>
          </w:p>
        </w:tc>
        <w:tc>
          <w:tcPr>
            <w:tcW w:w="420" w:type="dxa"/>
            <w:vAlign w:val="bottom"/>
            <w:tcBorders>
              <w:top w:val="single" w:sz="8" w:color="009BDE"/>
            </w:tcBorders>
          </w:tcPr>
          <w:p>
            <w:pPr>
              <w:jc w:val="right"/>
              <w:ind w:right="12"/>
              <w:spacing w:after="0"/>
              <w:rPr>
                <w:sz w:val="20"/>
                <w:szCs w:val="20"/>
                <w:color w:val="auto"/>
              </w:rPr>
            </w:pPr>
            <w:r>
              <w:rPr>
                <w:rFonts w:ascii="Arial" w:cs="Arial" w:eastAsia="Arial" w:hAnsi="Arial"/>
                <w:sz w:val="10"/>
                <w:szCs w:val="10"/>
                <w:color w:val="auto"/>
              </w:rPr>
              <w:t>—</w:t>
            </w:r>
          </w:p>
        </w:tc>
      </w:tr>
      <w:tr>
        <w:trPr>
          <w:trHeight w:val="44"/>
        </w:trPr>
        <w:tc>
          <w:tcPr>
            <w:tcW w:w="5480" w:type="dxa"/>
            <w:vAlign w:val="bottom"/>
            <w:tcBorders>
              <w:bottom w:val="single" w:sz="8" w:color="009BDE"/>
            </w:tcBorders>
          </w:tcPr>
          <w:p>
            <w:pPr>
              <w:spacing w:after="0"/>
              <w:rPr>
                <w:sz w:val="3"/>
                <w:szCs w:val="3"/>
                <w:color w:val="auto"/>
              </w:rPr>
            </w:pPr>
          </w:p>
        </w:tc>
        <w:tc>
          <w:tcPr>
            <w:tcW w:w="100" w:type="dxa"/>
            <w:vAlign w:val="bottom"/>
            <w:tcBorders>
              <w:bottom w:val="single" w:sz="8" w:color="009BDE"/>
            </w:tcBorders>
          </w:tcPr>
          <w:p>
            <w:pPr>
              <w:spacing w:after="0"/>
              <w:rPr>
                <w:sz w:val="3"/>
                <w:szCs w:val="3"/>
                <w:color w:val="auto"/>
              </w:rPr>
            </w:pPr>
          </w:p>
        </w:tc>
        <w:tc>
          <w:tcPr>
            <w:tcW w:w="340" w:type="dxa"/>
            <w:vAlign w:val="bottom"/>
            <w:tcBorders>
              <w:bottom w:val="single" w:sz="8" w:color="009BDE"/>
            </w:tcBorders>
          </w:tcPr>
          <w:p>
            <w:pPr>
              <w:spacing w:after="0"/>
              <w:rPr>
                <w:sz w:val="3"/>
                <w:szCs w:val="3"/>
                <w:color w:val="auto"/>
              </w:rPr>
            </w:pPr>
          </w:p>
        </w:tc>
        <w:tc>
          <w:tcPr>
            <w:tcW w:w="420" w:type="dxa"/>
            <w:vAlign w:val="bottom"/>
            <w:tcBorders>
              <w:bottom w:val="single" w:sz="8" w:color="009BDE"/>
            </w:tcBorders>
          </w:tcPr>
          <w:p>
            <w:pPr>
              <w:spacing w:after="0"/>
              <w:rPr>
                <w:sz w:val="3"/>
                <w:szCs w:val="3"/>
                <w:color w:val="auto"/>
              </w:rPr>
            </w:pPr>
          </w:p>
        </w:tc>
        <w:tc>
          <w:tcPr>
            <w:tcW w:w="420" w:type="dxa"/>
            <w:vAlign w:val="bottom"/>
            <w:tcBorders>
              <w:bottom w:val="single" w:sz="8" w:color="009BDE"/>
            </w:tcBorders>
          </w:tcPr>
          <w:p>
            <w:pPr>
              <w:spacing w:after="0"/>
              <w:rPr>
                <w:sz w:val="3"/>
                <w:szCs w:val="3"/>
                <w:color w:val="auto"/>
              </w:rPr>
            </w:pPr>
          </w:p>
        </w:tc>
      </w:tr>
      <w:tr>
        <w:trPr>
          <w:trHeight w:val="152"/>
        </w:trPr>
        <w:tc>
          <w:tcPr>
            <w:tcW w:w="5480" w:type="dxa"/>
            <w:vAlign w:val="bottom"/>
          </w:tcPr>
          <w:p>
            <w:pPr>
              <w:ind w:left="60"/>
              <w:spacing w:after="0"/>
              <w:rPr>
                <w:sz w:val="20"/>
                <w:szCs w:val="20"/>
                <w:color w:val="auto"/>
              </w:rPr>
            </w:pPr>
            <w:r>
              <w:rPr>
                <w:rFonts w:ascii="Arial" w:cs="Arial" w:eastAsia="Arial" w:hAnsi="Arial"/>
                <w:sz w:val="10"/>
                <w:szCs w:val="10"/>
                <w:color w:val="auto"/>
              </w:rPr>
              <w:t>Chris Cocks</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tcPr>
          <w:p>
            <w:pPr>
              <w:jc w:val="right"/>
              <w:ind w:right="12"/>
              <w:spacing w:after="0"/>
              <w:rPr>
                <w:sz w:val="20"/>
                <w:szCs w:val="20"/>
                <w:color w:val="auto"/>
              </w:rPr>
            </w:pPr>
            <w:r>
              <w:rPr>
                <w:rFonts w:ascii="Arial" w:cs="Arial" w:eastAsia="Arial" w:hAnsi="Arial"/>
                <w:sz w:val="10"/>
                <w:szCs w:val="10"/>
                <w:color w:val="auto"/>
              </w:rPr>
              <w:t>1,235</w:t>
            </w: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$1,235</w:t>
            </w: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w:t>
            </w:r>
          </w:p>
        </w:tc>
      </w:tr>
      <w:tr>
        <w:trPr>
          <w:trHeight w:val="44"/>
        </w:trPr>
        <w:tc>
          <w:tcPr>
            <w:tcW w:w="5480" w:type="dxa"/>
            <w:vAlign w:val="bottom"/>
            <w:tcBorders>
              <w:bottom w:val="single" w:sz="8" w:color="009BDE"/>
            </w:tcBorders>
          </w:tcPr>
          <w:p>
            <w:pPr>
              <w:spacing w:after="0"/>
              <w:rPr>
                <w:sz w:val="3"/>
                <w:szCs w:val="3"/>
                <w:color w:val="auto"/>
              </w:rPr>
            </w:pPr>
          </w:p>
        </w:tc>
        <w:tc>
          <w:tcPr>
            <w:tcW w:w="100" w:type="dxa"/>
            <w:vAlign w:val="bottom"/>
            <w:tcBorders>
              <w:bottom w:val="single" w:sz="8" w:color="009BDE"/>
            </w:tcBorders>
          </w:tcPr>
          <w:p>
            <w:pPr>
              <w:spacing w:after="0"/>
              <w:rPr>
                <w:sz w:val="3"/>
                <w:szCs w:val="3"/>
                <w:color w:val="auto"/>
              </w:rPr>
            </w:pPr>
          </w:p>
        </w:tc>
        <w:tc>
          <w:tcPr>
            <w:tcW w:w="340" w:type="dxa"/>
            <w:vAlign w:val="bottom"/>
            <w:tcBorders>
              <w:bottom w:val="single" w:sz="8" w:color="009BDE"/>
            </w:tcBorders>
          </w:tcPr>
          <w:p>
            <w:pPr>
              <w:spacing w:after="0"/>
              <w:rPr>
                <w:sz w:val="3"/>
                <w:szCs w:val="3"/>
                <w:color w:val="auto"/>
              </w:rPr>
            </w:pPr>
          </w:p>
        </w:tc>
        <w:tc>
          <w:tcPr>
            <w:tcW w:w="420" w:type="dxa"/>
            <w:vAlign w:val="bottom"/>
            <w:tcBorders>
              <w:bottom w:val="single" w:sz="8" w:color="009BDE"/>
            </w:tcBorders>
          </w:tcPr>
          <w:p>
            <w:pPr>
              <w:spacing w:after="0"/>
              <w:rPr>
                <w:sz w:val="3"/>
                <w:szCs w:val="3"/>
                <w:color w:val="auto"/>
              </w:rPr>
            </w:pPr>
          </w:p>
        </w:tc>
        <w:tc>
          <w:tcPr>
            <w:tcW w:w="420" w:type="dxa"/>
            <w:vAlign w:val="bottom"/>
            <w:tcBorders>
              <w:bottom w:val="single" w:sz="8" w:color="009BDE"/>
            </w:tcBorders>
          </w:tcPr>
          <w:p>
            <w:pPr>
              <w:spacing w:after="0"/>
              <w:rPr>
                <w:sz w:val="3"/>
                <w:szCs w:val="3"/>
                <w:color w:val="auto"/>
              </w:rPr>
            </w:pPr>
          </w:p>
        </w:tc>
      </w:tr>
      <w:tr>
        <w:trPr>
          <w:trHeight w:val="170"/>
        </w:trPr>
        <w:tc>
          <w:tcPr>
            <w:tcW w:w="5480" w:type="dxa"/>
            <w:vAlign w:val="bottom"/>
          </w:tcPr>
          <w:p>
            <w:pPr>
              <w:ind w:left="60"/>
              <w:spacing w:after="0"/>
              <w:rPr>
                <w:sz w:val="20"/>
                <w:szCs w:val="20"/>
                <w:color w:val="auto"/>
              </w:rPr>
            </w:pPr>
            <w:r>
              <w:rPr>
                <w:rFonts w:ascii="Arial" w:cs="Arial" w:eastAsia="Arial" w:hAnsi="Arial"/>
                <w:sz w:val="10"/>
                <w:szCs w:val="10"/>
                <w:color w:val="auto"/>
              </w:rPr>
              <w:t>Deborah Thomas</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tcPr>
          <w:p>
            <w:pPr>
              <w:jc w:val="right"/>
              <w:ind w:right="12"/>
              <w:spacing w:after="0"/>
              <w:rPr>
                <w:sz w:val="20"/>
                <w:szCs w:val="20"/>
                <w:color w:val="auto"/>
              </w:rPr>
            </w:pPr>
            <w:r>
              <w:rPr>
                <w:rFonts w:ascii="Arial" w:cs="Arial" w:eastAsia="Arial" w:hAnsi="Arial"/>
                <w:sz w:val="10"/>
                <w:szCs w:val="10"/>
                <w:color w:val="auto"/>
              </w:rPr>
              <w:t>5,000</w:t>
            </w: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$1,875</w:t>
            </w: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$1,600</w:t>
            </w:r>
          </w:p>
        </w:tc>
      </w:tr>
      <w:tr>
        <w:trPr>
          <w:trHeight w:val="62"/>
        </w:trPr>
        <w:tc>
          <w:tcPr>
            <w:tcW w:w="548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420" w:type="dxa"/>
            <w:vAlign w:val="bottom"/>
            <w:tcBorders>
              <w:bottom w:val="single" w:sz="8" w:color="009BDE"/>
            </w:tcBorders>
          </w:tcPr>
          <w:p>
            <w:pPr>
              <w:spacing w:after="0"/>
              <w:rPr>
                <w:sz w:val="5"/>
                <w:szCs w:val="5"/>
                <w:color w:val="auto"/>
              </w:rPr>
            </w:pPr>
          </w:p>
        </w:tc>
        <w:tc>
          <w:tcPr>
            <w:tcW w:w="420" w:type="dxa"/>
            <w:vAlign w:val="bottom"/>
            <w:tcBorders>
              <w:bottom w:val="single" w:sz="8" w:color="009BDE"/>
            </w:tcBorders>
          </w:tcPr>
          <w:p>
            <w:pPr>
              <w:spacing w:after="0"/>
              <w:rPr>
                <w:sz w:val="5"/>
                <w:szCs w:val="5"/>
                <w:color w:val="auto"/>
              </w:rPr>
            </w:pPr>
          </w:p>
        </w:tc>
      </w:tr>
      <w:tr>
        <w:trPr>
          <w:trHeight w:val="152"/>
        </w:trPr>
        <w:tc>
          <w:tcPr>
            <w:tcW w:w="5480" w:type="dxa"/>
            <w:vAlign w:val="bottom"/>
          </w:tcPr>
          <w:p>
            <w:pPr>
              <w:ind w:left="60"/>
              <w:spacing w:after="0"/>
              <w:rPr>
                <w:sz w:val="20"/>
                <w:szCs w:val="20"/>
                <w:color w:val="auto"/>
              </w:rPr>
            </w:pPr>
            <w:r>
              <w:rPr>
                <w:rFonts w:ascii="Arial" w:cs="Arial" w:eastAsia="Arial" w:hAnsi="Arial"/>
                <w:sz w:val="10"/>
                <w:szCs w:val="10"/>
                <w:color w:val="auto"/>
              </w:rPr>
              <w:t>Cynthia Williams</w:t>
            </w:r>
          </w:p>
        </w:tc>
        <w:tc>
          <w:tcPr>
            <w:tcW w:w="100" w:type="dxa"/>
            <w:vAlign w:val="bottom"/>
          </w:tcPr>
          <w:p>
            <w:pPr>
              <w:spacing w:after="0"/>
              <w:rPr>
                <w:sz w:val="13"/>
                <w:szCs w:val="13"/>
                <w:color w:val="auto"/>
              </w:rPr>
            </w:pPr>
          </w:p>
        </w:tc>
        <w:tc>
          <w:tcPr>
            <w:tcW w:w="3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w:t>
            </w:r>
          </w:p>
        </w:tc>
      </w:tr>
      <w:tr>
        <w:trPr>
          <w:trHeight w:val="44"/>
        </w:trPr>
        <w:tc>
          <w:tcPr>
            <w:tcW w:w="5480" w:type="dxa"/>
            <w:vAlign w:val="bottom"/>
            <w:tcBorders>
              <w:bottom w:val="single" w:sz="8" w:color="009BDE"/>
            </w:tcBorders>
          </w:tcPr>
          <w:p>
            <w:pPr>
              <w:spacing w:after="0"/>
              <w:rPr>
                <w:sz w:val="3"/>
                <w:szCs w:val="3"/>
                <w:color w:val="auto"/>
              </w:rPr>
            </w:pPr>
          </w:p>
        </w:tc>
        <w:tc>
          <w:tcPr>
            <w:tcW w:w="100" w:type="dxa"/>
            <w:vAlign w:val="bottom"/>
            <w:tcBorders>
              <w:bottom w:val="single" w:sz="8" w:color="009BDE"/>
            </w:tcBorders>
          </w:tcPr>
          <w:p>
            <w:pPr>
              <w:spacing w:after="0"/>
              <w:rPr>
                <w:sz w:val="3"/>
                <w:szCs w:val="3"/>
                <w:color w:val="auto"/>
              </w:rPr>
            </w:pPr>
          </w:p>
        </w:tc>
        <w:tc>
          <w:tcPr>
            <w:tcW w:w="340" w:type="dxa"/>
            <w:vAlign w:val="bottom"/>
            <w:tcBorders>
              <w:bottom w:val="single" w:sz="8" w:color="009BDE"/>
            </w:tcBorders>
          </w:tcPr>
          <w:p>
            <w:pPr>
              <w:spacing w:after="0"/>
              <w:rPr>
                <w:sz w:val="3"/>
                <w:szCs w:val="3"/>
                <w:color w:val="auto"/>
              </w:rPr>
            </w:pPr>
          </w:p>
        </w:tc>
        <w:tc>
          <w:tcPr>
            <w:tcW w:w="420" w:type="dxa"/>
            <w:vAlign w:val="bottom"/>
            <w:tcBorders>
              <w:bottom w:val="single" w:sz="8" w:color="009BDE"/>
            </w:tcBorders>
          </w:tcPr>
          <w:p>
            <w:pPr>
              <w:spacing w:after="0"/>
              <w:rPr>
                <w:sz w:val="3"/>
                <w:szCs w:val="3"/>
                <w:color w:val="auto"/>
              </w:rPr>
            </w:pPr>
          </w:p>
        </w:tc>
        <w:tc>
          <w:tcPr>
            <w:tcW w:w="420" w:type="dxa"/>
            <w:vAlign w:val="bottom"/>
            <w:tcBorders>
              <w:bottom w:val="single" w:sz="8" w:color="009BDE"/>
            </w:tcBorders>
          </w:tcPr>
          <w:p>
            <w:pPr>
              <w:spacing w:after="0"/>
              <w:rPr>
                <w:sz w:val="3"/>
                <w:szCs w:val="3"/>
                <w:color w:val="auto"/>
              </w:rPr>
            </w:pPr>
          </w:p>
        </w:tc>
      </w:tr>
      <w:tr>
        <w:trPr>
          <w:trHeight w:val="152"/>
        </w:trPr>
        <w:tc>
          <w:tcPr>
            <w:tcW w:w="5480" w:type="dxa"/>
            <w:vAlign w:val="bottom"/>
          </w:tcPr>
          <w:p>
            <w:pPr>
              <w:ind w:left="60"/>
              <w:spacing w:after="0"/>
              <w:rPr>
                <w:sz w:val="20"/>
                <w:szCs w:val="20"/>
                <w:color w:val="auto"/>
              </w:rPr>
            </w:pPr>
            <w:r>
              <w:rPr>
                <w:rFonts w:ascii="Arial" w:cs="Arial" w:eastAsia="Arial" w:hAnsi="Arial"/>
                <w:sz w:val="10"/>
                <w:szCs w:val="10"/>
                <w:color w:val="auto"/>
              </w:rPr>
              <w:t>Eric Nyman</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tcPr>
          <w:p>
            <w:pPr>
              <w:jc w:val="right"/>
              <w:ind w:right="12"/>
              <w:spacing w:after="0"/>
              <w:rPr>
                <w:sz w:val="20"/>
                <w:szCs w:val="20"/>
                <w:color w:val="auto"/>
              </w:rPr>
            </w:pPr>
            <w:r>
              <w:rPr>
                <w:rFonts w:ascii="Arial" w:cs="Arial" w:eastAsia="Arial" w:hAnsi="Arial"/>
                <w:sz w:val="10"/>
                <w:szCs w:val="10"/>
                <w:color w:val="auto"/>
                <w:w w:val="84"/>
              </w:rPr>
              <w:t>11,861</w:t>
            </w: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w:t>
            </w:r>
          </w:p>
        </w:tc>
      </w:tr>
      <w:tr>
        <w:trPr>
          <w:trHeight w:val="44"/>
        </w:trPr>
        <w:tc>
          <w:tcPr>
            <w:tcW w:w="5480" w:type="dxa"/>
            <w:vAlign w:val="bottom"/>
            <w:tcBorders>
              <w:bottom w:val="single" w:sz="8" w:color="009BDE"/>
            </w:tcBorders>
          </w:tcPr>
          <w:p>
            <w:pPr>
              <w:spacing w:after="0"/>
              <w:rPr>
                <w:sz w:val="3"/>
                <w:szCs w:val="3"/>
                <w:color w:val="auto"/>
              </w:rPr>
            </w:pPr>
          </w:p>
        </w:tc>
        <w:tc>
          <w:tcPr>
            <w:tcW w:w="100" w:type="dxa"/>
            <w:vAlign w:val="bottom"/>
            <w:tcBorders>
              <w:bottom w:val="single" w:sz="8" w:color="009BDE"/>
            </w:tcBorders>
          </w:tcPr>
          <w:p>
            <w:pPr>
              <w:spacing w:after="0"/>
              <w:rPr>
                <w:sz w:val="3"/>
                <w:szCs w:val="3"/>
                <w:color w:val="auto"/>
              </w:rPr>
            </w:pPr>
          </w:p>
        </w:tc>
        <w:tc>
          <w:tcPr>
            <w:tcW w:w="340" w:type="dxa"/>
            <w:vAlign w:val="bottom"/>
            <w:tcBorders>
              <w:bottom w:val="single" w:sz="8" w:color="009BDE"/>
            </w:tcBorders>
          </w:tcPr>
          <w:p>
            <w:pPr>
              <w:spacing w:after="0"/>
              <w:rPr>
                <w:sz w:val="3"/>
                <w:szCs w:val="3"/>
                <w:color w:val="auto"/>
              </w:rPr>
            </w:pPr>
          </w:p>
        </w:tc>
        <w:tc>
          <w:tcPr>
            <w:tcW w:w="420" w:type="dxa"/>
            <w:vAlign w:val="bottom"/>
            <w:tcBorders>
              <w:bottom w:val="single" w:sz="8" w:color="009BDE"/>
            </w:tcBorders>
          </w:tcPr>
          <w:p>
            <w:pPr>
              <w:spacing w:after="0"/>
              <w:rPr>
                <w:sz w:val="3"/>
                <w:szCs w:val="3"/>
                <w:color w:val="auto"/>
              </w:rPr>
            </w:pPr>
          </w:p>
        </w:tc>
        <w:tc>
          <w:tcPr>
            <w:tcW w:w="420" w:type="dxa"/>
            <w:vAlign w:val="bottom"/>
            <w:tcBorders>
              <w:bottom w:val="single" w:sz="8" w:color="009BDE"/>
            </w:tcBorders>
          </w:tcPr>
          <w:p>
            <w:pPr>
              <w:spacing w:after="0"/>
              <w:rPr>
                <w:sz w:val="3"/>
                <w:szCs w:val="3"/>
                <w:color w:val="auto"/>
              </w:rPr>
            </w:pPr>
          </w:p>
        </w:tc>
      </w:tr>
      <w:tr>
        <w:trPr>
          <w:trHeight w:val="152"/>
        </w:trPr>
        <w:tc>
          <w:tcPr>
            <w:tcW w:w="5480" w:type="dxa"/>
            <w:vAlign w:val="bottom"/>
          </w:tcPr>
          <w:p>
            <w:pPr>
              <w:ind w:left="60"/>
              <w:spacing w:after="0"/>
              <w:rPr>
                <w:sz w:val="20"/>
                <w:szCs w:val="20"/>
                <w:color w:val="auto"/>
              </w:rPr>
            </w:pPr>
            <w:r>
              <w:rPr>
                <w:rFonts w:ascii="Arial" w:cs="Arial" w:eastAsia="Arial" w:hAnsi="Arial"/>
                <w:sz w:val="10"/>
                <w:szCs w:val="10"/>
                <w:color w:val="auto"/>
              </w:rPr>
              <w:t>Darren Throop</w:t>
            </w:r>
          </w:p>
        </w:tc>
        <w:tc>
          <w:tcPr>
            <w:tcW w:w="100" w:type="dxa"/>
            <w:vAlign w:val="bottom"/>
          </w:tcPr>
          <w:p>
            <w:pPr>
              <w:spacing w:after="0"/>
              <w:rPr>
                <w:sz w:val="13"/>
                <w:szCs w:val="13"/>
                <w:color w:val="auto"/>
              </w:rPr>
            </w:pPr>
          </w:p>
        </w:tc>
        <w:tc>
          <w:tcPr>
            <w:tcW w:w="3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1440815</wp:posOffset>
            </wp:positionH>
            <wp:positionV relativeFrom="paragraph">
              <wp:posOffset>27940</wp:posOffset>
            </wp:positionV>
            <wp:extent cx="4286250" cy="571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4286250" cy="5715"/>
                    </a:xfrm>
                    <a:prstGeom prst="rect">
                      <a:avLst/>
                    </a:prstGeom>
                    <a:noFill/>
                  </pic:spPr>
                </pic:pic>
              </a:graphicData>
            </a:graphic>
          </wp:anchor>
        </w:drawing>
      </w:r>
    </w:p>
    <w:p>
      <w:pPr>
        <w:spacing w:after="0" w:line="90" w:lineRule="exact"/>
        <w:rPr>
          <w:sz w:val="20"/>
          <w:szCs w:val="20"/>
          <w:color w:val="auto"/>
        </w:rPr>
      </w:pPr>
    </w:p>
    <w:p>
      <w:pPr>
        <w:ind w:left="2260" w:right="959"/>
        <w:spacing w:after="0" w:line="341" w:lineRule="auto"/>
        <w:rPr>
          <w:sz w:val="20"/>
          <w:szCs w:val="20"/>
          <w:color w:val="auto"/>
        </w:rPr>
      </w:pPr>
      <w:r>
        <w:rPr>
          <w:rFonts w:ascii="Arial" w:cs="Arial" w:eastAsia="Arial" w:hAnsi="Arial"/>
          <w:sz w:val="8"/>
          <w:szCs w:val="8"/>
          <w:color w:val="auto"/>
        </w:rPr>
        <w:t>For Mr. Cocks, the amounts in 2022 include $161,242 in payments related to his relocation, as well as $122,539 in additional gross-up payments intended to negate the impact of taxes on the relocation benefits. The amounts in 2021 include matching charitable contributions made in the name of Mr. Cocks for $1,000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66040</wp:posOffset>
            </wp:positionV>
            <wp:extent cx="3971925" cy="21717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5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53</w:t>
      </w:r>
    </w:p>
    <w:p>
      <w:pPr>
        <w:sectPr>
          <w:pgSz w:w="11900" w:h="16838" w:orient="portrait"/>
          <w:cols w:equalWidth="0" w:num="1">
            <w:col w:w="10159"/>
          </w:cols>
          <w:pgMar w:left="300" w:top="372" w:right="1440" w:bottom="1440" w:gutter="0" w:footer="0" w:header="0"/>
        </w:sectPr>
      </w:pPr>
    </w:p>
    <w:bookmarkStart w:id="75" w:name="page76"/>
    <w:bookmarkEnd w:id="7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8" w:lineRule="exact"/>
        <w:rPr>
          <w:sz w:val="20"/>
          <w:szCs w:val="20"/>
          <w:color w:val="auto"/>
        </w:rPr>
      </w:pPr>
    </w:p>
    <w:p>
      <w:pPr>
        <w:ind w:left="2260" w:right="839"/>
        <w:spacing w:after="0" w:line="227" w:lineRule="auto"/>
        <w:rPr>
          <w:sz w:val="20"/>
          <w:szCs w:val="20"/>
          <w:color w:val="auto"/>
        </w:rPr>
      </w:pPr>
      <w:r>
        <w:rPr>
          <w:rFonts w:ascii="Arial" w:cs="Arial" w:eastAsia="Arial" w:hAnsi="Arial"/>
          <w:sz w:val="10"/>
          <w:szCs w:val="10"/>
          <w:color w:val="auto"/>
        </w:rPr>
        <w:t>For Mr. Throop, the amounts in 2022, 2021 and 2020 include $267,280, $203,340 and $204,380, respectively, representing the aggregate amount of lease payments made by the Company on an apartment that the Company made available to Mr. Throop and other Company employees while traveling to the Los Angeles, CA offices, and lease payments on a company provided automobile that were made by the Company on behalf of Mr. Throop in the aggregate amount of $4,263, $14,428, and $45,161 for 2022, 2021 and 2020, respectively. The amounts for 2021 also include the cost of a parking pass provided by the Company for use at the Company’s offices in Toronto, Ontario, the cost of an annual physical paid by the Company on Mr. Throop’s behalf, and unused vacation payout in the amount of $73,543. For Mr. Throop, the amounts in 2020 include the cost of a parking pass provided by the Company for use at the Company’s offices in Toronto, Ontario and the cost of an annual physical paid by the Company on Mr. Throop’s behalf.</w:t>
      </w:r>
    </w:p>
    <w:p>
      <w:pPr>
        <w:spacing w:after="0" w:line="49" w:lineRule="exact"/>
        <w:rPr>
          <w:sz w:val="20"/>
          <w:szCs w:val="20"/>
          <w:color w:val="auto"/>
        </w:rPr>
      </w:pPr>
    </w:p>
    <w:p>
      <w:pPr>
        <w:ind w:left="2260" w:right="859"/>
        <w:spacing w:after="0" w:line="228" w:lineRule="auto"/>
        <w:rPr>
          <w:sz w:val="20"/>
          <w:szCs w:val="20"/>
          <w:color w:val="auto"/>
        </w:rPr>
      </w:pPr>
      <w:r>
        <w:rPr>
          <w:rFonts w:ascii="Arial" w:cs="Arial" w:eastAsia="Arial" w:hAnsi="Arial"/>
          <w:sz w:val="10"/>
          <w:szCs w:val="10"/>
          <w:color w:val="auto"/>
        </w:rPr>
        <w:t>Any payments to Mr. Throop that were made by the Company in Canadian dollars in 2022 have been converted to United States dollars using an average exchange rate over the fiscal year of 1 CAD equals 0.769 USD. Any payments to Mr. Throop that were made by the Company in Canadian dollars in 2021 have been converted to United States dollars using an average exchange rate over the fiscal year of 1 CAD equals 0.798 USD. Payments for the Canadian car lease, parking pass and annual physical were made by the Company in Canadian dollars in 2020 have been converted to United States dollars using an average exchange rate over the fiscal year of 1 CAD equals 0.746 USD.</w:t>
      </w:r>
    </w:p>
    <w:p>
      <w:pPr>
        <w:spacing w:after="0" w:line="48" w:lineRule="exact"/>
        <w:rPr>
          <w:sz w:val="20"/>
          <w:szCs w:val="20"/>
          <w:color w:val="auto"/>
        </w:rPr>
      </w:pPr>
    </w:p>
    <w:p>
      <w:pPr>
        <w:jc w:val="both"/>
        <w:ind w:left="2260" w:right="859"/>
        <w:spacing w:after="0" w:line="230" w:lineRule="auto"/>
        <w:rPr>
          <w:sz w:val="20"/>
          <w:szCs w:val="20"/>
          <w:color w:val="auto"/>
        </w:rPr>
      </w:pPr>
      <w:r>
        <w:rPr>
          <w:rFonts w:ascii="Arial" w:cs="Arial" w:eastAsia="Arial" w:hAnsi="Arial"/>
          <w:sz w:val="10"/>
          <w:szCs w:val="10"/>
          <w:color w:val="auto"/>
        </w:rPr>
        <w:t>For NEOs other than Mr. Throop, the amounts include the Company’s matching contribution to each executive’s savings account and the annual company contribution for each executive under the 401(k) Plan and the Supplemental Plan and, for Mr. Throop, the amounts include the Company’s contribution to his individual RRSP, with such amounts as follows:</w:t>
      </w:r>
    </w:p>
    <w:p>
      <w:pPr>
        <w:spacing w:after="0" w:line="152" w:lineRule="exact"/>
        <w:rPr>
          <w:sz w:val="20"/>
          <w:szCs w:val="20"/>
          <w:color w:val="auto"/>
        </w:rPr>
      </w:pPr>
    </w:p>
    <w:tbl>
      <w:tblPr>
        <w:tblLayout w:type="fixed"/>
        <w:tblInd w:w="2260" w:type="dxa"/>
        <w:tblCellMar>
          <w:top w:w="0" w:type="dxa"/>
          <w:left w:w="0" w:type="dxa"/>
          <w:bottom w:w="0" w:type="dxa"/>
          <w:right w:w="0" w:type="dxa"/>
        </w:tblCellMar>
      </w:tblPr>
      <w:tr>
        <w:trPr>
          <w:trHeight w:val="194"/>
        </w:trPr>
        <w:tc>
          <w:tcPr>
            <w:tcW w:w="5060" w:type="dxa"/>
            <w:vAlign w:val="bottom"/>
            <w:tcBorders>
              <w:bottom w:val="single" w:sz="8" w:color="CCEBF8"/>
            </w:tcBorders>
            <w:shd w:val="clear" w:color="auto" w:fill="CCEBF8"/>
          </w:tcPr>
          <w:p>
            <w:pPr>
              <w:ind w:left="60"/>
              <w:spacing w:after="0"/>
              <w:rPr>
                <w:sz w:val="20"/>
                <w:szCs w:val="20"/>
                <w:color w:val="auto"/>
              </w:rPr>
            </w:pPr>
            <w:r>
              <w:rPr>
                <w:rFonts w:ascii="Arial" w:cs="Arial" w:eastAsia="Arial" w:hAnsi="Arial"/>
                <w:sz w:val="10"/>
                <w:szCs w:val="10"/>
                <w:b w:val="1"/>
                <w:bCs w:val="1"/>
                <w:color w:val="009BDE"/>
              </w:rPr>
              <w:t>Matching Contributions</w:t>
            </w:r>
          </w:p>
        </w:tc>
        <w:tc>
          <w:tcPr>
            <w:tcW w:w="520" w:type="dxa"/>
            <w:vAlign w:val="bottom"/>
            <w:tcBorders>
              <w:bottom w:val="single" w:sz="8" w:color="CCEBF8"/>
            </w:tcBorders>
            <w:shd w:val="clear" w:color="auto" w:fill="CCEBF8"/>
          </w:tcPr>
          <w:p>
            <w:pPr>
              <w:jc w:val="center"/>
              <w:spacing w:after="0"/>
              <w:rPr>
                <w:sz w:val="20"/>
                <w:szCs w:val="20"/>
                <w:color w:val="auto"/>
              </w:rPr>
            </w:pPr>
            <w:r>
              <w:rPr>
                <w:rFonts w:ascii="Arial" w:cs="Arial" w:eastAsia="Arial" w:hAnsi="Arial"/>
                <w:sz w:val="10"/>
                <w:szCs w:val="10"/>
                <w:b w:val="1"/>
                <w:bCs w:val="1"/>
                <w:color w:val="009BDE"/>
                <w:w w:val="98"/>
              </w:rPr>
              <w:t>2022</w:t>
            </w:r>
          </w:p>
        </w:tc>
        <w:tc>
          <w:tcPr>
            <w:tcW w:w="160" w:type="dxa"/>
            <w:vAlign w:val="bottom"/>
            <w:tcBorders>
              <w:bottom w:val="single" w:sz="8" w:color="CCEBF8"/>
            </w:tcBorders>
            <w:shd w:val="clear" w:color="auto" w:fill="CCEBF8"/>
          </w:tcPr>
          <w:p>
            <w:pPr>
              <w:spacing w:after="0"/>
              <w:rPr>
                <w:sz w:val="16"/>
                <w:szCs w:val="16"/>
                <w:color w:val="auto"/>
              </w:rPr>
            </w:pPr>
          </w:p>
        </w:tc>
        <w:tc>
          <w:tcPr>
            <w:tcW w:w="440" w:type="dxa"/>
            <w:vAlign w:val="bottom"/>
            <w:tcBorders>
              <w:bottom w:val="single" w:sz="8" w:color="CCEBF8"/>
            </w:tcBorders>
            <w:shd w:val="clear" w:color="auto" w:fill="CCEBF8"/>
          </w:tcPr>
          <w:p>
            <w:pPr>
              <w:jc w:val="right"/>
              <w:ind w:right="152"/>
              <w:spacing w:after="0"/>
              <w:rPr>
                <w:sz w:val="20"/>
                <w:szCs w:val="20"/>
                <w:color w:val="auto"/>
              </w:rPr>
            </w:pPr>
            <w:r>
              <w:rPr>
                <w:rFonts w:ascii="Arial" w:cs="Arial" w:eastAsia="Arial" w:hAnsi="Arial"/>
                <w:sz w:val="10"/>
                <w:szCs w:val="10"/>
                <w:b w:val="1"/>
                <w:bCs w:val="1"/>
                <w:color w:val="009BDE"/>
                <w:w w:val="98"/>
              </w:rPr>
              <w:t>2021</w:t>
            </w:r>
          </w:p>
        </w:tc>
        <w:tc>
          <w:tcPr>
            <w:tcW w:w="140" w:type="dxa"/>
            <w:vAlign w:val="bottom"/>
            <w:tcBorders>
              <w:bottom w:val="single" w:sz="8" w:color="CCEBF8"/>
            </w:tcBorders>
            <w:shd w:val="clear" w:color="auto" w:fill="CCEBF8"/>
          </w:tcPr>
          <w:p>
            <w:pPr>
              <w:spacing w:after="0"/>
              <w:rPr>
                <w:sz w:val="16"/>
                <w:szCs w:val="16"/>
                <w:color w:val="auto"/>
              </w:rPr>
            </w:pPr>
          </w:p>
        </w:tc>
        <w:tc>
          <w:tcPr>
            <w:tcW w:w="440" w:type="dxa"/>
            <w:vAlign w:val="bottom"/>
            <w:tcBorders>
              <w:bottom w:val="single" w:sz="8" w:color="CCEBF8"/>
            </w:tcBorders>
            <w:shd w:val="clear" w:color="auto" w:fill="CCEBF8"/>
          </w:tcPr>
          <w:p>
            <w:pPr>
              <w:jc w:val="right"/>
              <w:ind w:right="132"/>
              <w:spacing w:after="0"/>
              <w:rPr>
                <w:sz w:val="20"/>
                <w:szCs w:val="20"/>
                <w:color w:val="auto"/>
              </w:rPr>
            </w:pPr>
            <w:r>
              <w:rPr>
                <w:rFonts w:ascii="Arial" w:cs="Arial" w:eastAsia="Arial" w:hAnsi="Arial"/>
                <w:sz w:val="10"/>
                <w:szCs w:val="10"/>
                <w:b w:val="1"/>
                <w:bCs w:val="1"/>
                <w:color w:val="009BDE"/>
              </w:rPr>
              <w:t>2020</w:t>
            </w:r>
          </w:p>
        </w:tc>
      </w:tr>
      <w:tr>
        <w:trPr>
          <w:trHeight w:val="152"/>
        </w:trPr>
        <w:tc>
          <w:tcPr>
            <w:tcW w:w="5060" w:type="dxa"/>
            <w:vAlign w:val="bottom"/>
            <w:tcBorders>
              <w:top w:val="single" w:sz="8" w:color="009BDE"/>
            </w:tcBorders>
          </w:tcPr>
          <w:p>
            <w:pPr>
              <w:ind w:left="60"/>
              <w:spacing w:after="0"/>
              <w:rPr>
                <w:sz w:val="20"/>
                <w:szCs w:val="20"/>
                <w:color w:val="auto"/>
              </w:rPr>
            </w:pPr>
            <w:r>
              <w:rPr>
                <w:rFonts w:ascii="Arial" w:cs="Arial" w:eastAsia="Arial" w:hAnsi="Arial"/>
                <w:sz w:val="10"/>
                <w:szCs w:val="10"/>
                <w:color w:val="auto"/>
              </w:rPr>
              <w:t>Richard Stoddart</w:t>
            </w:r>
          </w:p>
        </w:tc>
        <w:tc>
          <w:tcPr>
            <w:tcW w:w="520" w:type="dxa"/>
            <w:vAlign w:val="bottom"/>
            <w:tcBorders>
              <w:top w:val="single" w:sz="8" w:color="009BDE"/>
            </w:tcBorders>
          </w:tcPr>
          <w:p>
            <w:pPr>
              <w:jc w:val="center"/>
              <w:spacing w:after="0"/>
              <w:rPr>
                <w:sz w:val="20"/>
                <w:szCs w:val="20"/>
                <w:color w:val="auto"/>
              </w:rPr>
            </w:pPr>
            <w:r>
              <w:rPr>
                <w:rFonts w:ascii="Arial" w:cs="Arial" w:eastAsia="Arial" w:hAnsi="Arial"/>
                <w:sz w:val="10"/>
                <w:szCs w:val="10"/>
                <w:color w:val="auto"/>
                <w:w w:val="99"/>
              </w:rPr>
              <w:t>$10,385</w:t>
            </w:r>
          </w:p>
        </w:tc>
        <w:tc>
          <w:tcPr>
            <w:tcW w:w="160" w:type="dxa"/>
            <w:vAlign w:val="bottom"/>
            <w:tcBorders>
              <w:top w:val="single" w:sz="8" w:color="009BDE"/>
            </w:tcBorders>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top w:val="single" w:sz="8" w:color="009BDE"/>
            </w:tcBorders>
          </w:tcPr>
          <w:p>
            <w:pPr>
              <w:jc w:val="right"/>
              <w:ind w:right="52"/>
              <w:spacing w:after="0"/>
              <w:rPr>
                <w:sz w:val="20"/>
                <w:szCs w:val="20"/>
                <w:color w:val="auto"/>
              </w:rPr>
            </w:pPr>
            <w:r>
              <w:rPr>
                <w:rFonts w:ascii="Arial" w:cs="Arial" w:eastAsia="Arial" w:hAnsi="Arial"/>
                <w:sz w:val="10"/>
                <w:szCs w:val="10"/>
                <w:color w:val="auto"/>
              </w:rPr>
              <w:t>19,039</w:t>
            </w:r>
          </w:p>
        </w:tc>
        <w:tc>
          <w:tcPr>
            <w:tcW w:w="140" w:type="dxa"/>
            <w:vAlign w:val="bottom"/>
            <w:tcBorders>
              <w:top w:val="single" w:sz="8" w:color="009BDE"/>
            </w:tcBorders>
          </w:tcPr>
          <w:p>
            <w:pPr>
              <w:spacing w:after="0"/>
              <w:rPr>
                <w:sz w:val="13"/>
                <w:szCs w:val="13"/>
                <w:color w:val="auto"/>
              </w:rPr>
            </w:pPr>
          </w:p>
        </w:tc>
        <w:tc>
          <w:tcPr>
            <w:tcW w:w="440" w:type="dxa"/>
            <w:vAlign w:val="bottom"/>
            <w:tcBorders>
              <w:top w:val="single" w:sz="8" w:color="009BDE"/>
            </w:tcBorders>
          </w:tcPr>
          <w:p>
            <w:pPr>
              <w:jc w:val="right"/>
              <w:ind w:right="52"/>
              <w:spacing w:after="0"/>
              <w:rPr>
                <w:sz w:val="20"/>
                <w:szCs w:val="20"/>
                <w:color w:val="auto"/>
              </w:rPr>
            </w:pPr>
            <w:r>
              <w:rPr>
                <w:rFonts w:ascii="Arial" w:cs="Arial" w:eastAsia="Arial" w:hAnsi="Arial"/>
                <w:sz w:val="10"/>
                <w:szCs w:val="10"/>
                <w:color w:val="auto"/>
              </w:rPr>
              <w:t>—</w:t>
            </w:r>
          </w:p>
        </w:tc>
      </w:tr>
      <w:tr>
        <w:trPr>
          <w:trHeight w:val="44"/>
        </w:trPr>
        <w:tc>
          <w:tcPr>
            <w:tcW w:w="5060" w:type="dxa"/>
            <w:vAlign w:val="bottom"/>
            <w:tcBorders>
              <w:bottom w:val="single" w:sz="8" w:color="009BDE"/>
            </w:tcBorders>
          </w:tcPr>
          <w:p>
            <w:pPr>
              <w:spacing w:after="0"/>
              <w:rPr>
                <w:sz w:val="3"/>
                <w:szCs w:val="3"/>
                <w:color w:val="auto"/>
              </w:rPr>
            </w:pPr>
          </w:p>
        </w:tc>
        <w:tc>
          <w:tcPr>
            <w:tcW w:w="520" w:type="dxa"/>
            <w:vAlign w:val="bottom"/>
            <w:tcBorders>
              <w:bottom w:val="single" w:sz="8" w:color="009BDE"/>
            </w:tcBorders>
          </w:tcPr>
          <w:p>
            <w:pPr>
              <w:spacing w:after="0"/>
              <w:rPr>
                <w:sz w:val="3"/>
                <w:szCs w:val="3"/>
                <w:color w:val="auto"/>
              </w:rPr>
            </w:pPr>
          </w:p>
        </w:tc>
        <w:tc>
          <w:tcPr>
            <w:tcW w:w="160" w:type="dxa"/>
            <w:vAlign w:val="bottom"/>
            <w:tcBorders>
              <w:bottom w:val="single" w:sz="8" w:color="009BDE"/>
            </w:tcBorders>
          </w:tcPr>
          <w:p>
            <w:pPr>
              <w:spacing w:after="0"/>
              <w:rPr>
                <w:sz w:val="3"/>
                <w:szCs w:val="3"/>
                <w:color w:val="auto"/>
              </w:rPr>
            </w:pPr>
          </w:p>
        </w:tc>
        <w:tc>
          <w:tcPr>
            <w:tcW w:w="440" w:type="dxa"/>
            <w:vAlign w:val="bottom"/>
            <w:tcBorders>
              <w:bottom w:val="single" w:sz="8" w:color="009BDE"/>
            </w:tcBorders>
          </w:tcPr>
          <w:p>
            <w:pPr>
              <w:spacing w:after="0"/>
              <w:rPr>
                <w:sz w:val="3"/>
                <w:szCs w:val="3"/>
                <w:color w:val="auto"/>
              </w:rPr>
            </w:pPr>
          </w:p>
        </w:tc>
        <w:tc>
          <w:tcPr>
            <w:tcW w:w="140" w:type="dxa"/>
            <w:vAlign w:val="bottom"/>
            <w:tcBorders>
              <w:bottom w:val="single" w:sz="8" w:color="009BDE"/>
            </w:tcBorders>
          </w:tcPr>
          <w:p>
            <w:pPr>
              <w:spacing w:after="0"/>
              <w:rPr>
                <w:sz w:val="3"/>
                <w:szCs w:val="3"/>
                <w:color w:val="auto"/>
              </w:rPr>
            </w:pPr>
          </w:p>
        </w:tc>
        <w:tc>
          <w:tcPr>
            <w:tcW w:w="440" w:type="dxa"/>
            <w:vAlign w:val="bottom"/>
            <w:tcBorders>
              <w:bottom w:val="single" w:sz="8" w:color="009BDE"/>
            </w:tcBorders>
          </w:tcPr>
          <w:p>
            <w:pPr>
              <w:spacing w:after="0"/>
              <w:rPr>
                <w:sz w:val="3"/>
                <w:szCs w:val="3"/>
                <w:color w:val="auto"/>
              </w:rPr>
            </w:pPr>
          </w:p>
        </w:tc>
      </w:tr>
      <w:tr>
        <w:trPr>
          <w:trHeight w:val="152"/>
        </w:trPr>
        <w:tc>
          <w:tcPr>
            <w:tcW w:w="5060" w:type="dxa"/>
            <w:vAlign w:val="bottom"/>
          </w:tcPr>
          <w:p>
            <w:pPr>
              <w:ind w:left="60"/>
              <w:spacing w:after="0"/>
              <w:rPr>
                <w:sz w:val="20"/>
                <w:szCs w:val="20"/>
                <w:color w:val="auto"/>
              </w:rPr>
            </w:pPr>
            <w:r>
              <w:rPr>
                <w:rFonts w:ascii="Arial" w:cs="Arial" w:eastAsia="Arial" w:hAnsi="Arial"/>
                <w:sz w:val="10"/>
                <w:szCs w:val="10"/>
                <w:color w:val="auto"/>
              </w:rPr>
              <w:t>Chris Cocks</w:t>
            </w:r>
          </w:p>
        </w:tc>
        <w:tc>
          <w:tcPr>
            <w:tcW w:w="520" w:type="dxa"/>
            <w:vAlign w:val="bottom"/>
          </w:tcPr>
          <w:p>
            <w:pPr>
              <w:jc w:val="center"/>
              <w:spacing w:after="0"/>
              <w:rPr>
                <w:sz w:val="20"/>
                <w:szCs w:val="20"/>
                <w:color w:val="auto"/>
              </w:rPr>
            </w:pPr>
            <w:r>
              <w:rPr>
                <w:rFonts w:ascii="Arial" w:cs="Arial" w:eastAsia="Arial" w:hAnsi="Arial"/>
                <w:sz w:val="10"/>
                <w:szCs w:val="10"/>
                <w:color w:val="auto"/>
                <w:w w:val="99"/>
              </w:rPr>
              <w:t>$27,450</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52"/>
              <w:spacing w:after="0"/>
              <w:rPr>
                <w:sz w:val="20"/>
                <w:szCs w:val="20"/>
                <w:color w:val="auto"/>
              </w:rPr>
            </w:pPr>
            <w:r>
              <w:rPr>
                <w:rFonts w:ascii="Arial" w:cs="Arial" w:eastAsia="Arial" w:hAnsi="Arial"/>
                <w:sz w:val="10"/>
                <w:szCs w:val="10"/>
                <w:color w:val="auto"/>
                <w:w w:val="88"/>
              </w:rPr>
              <w:t>135,350</w:t>
            </w:r>
          </w:p>
        </w:tc>
        <w:tc>
          <w:tcPr>
            <w:tcW w:w="140" w:type="dxa"/>
            <w:vAlign w:val="bottom"/>
          </w:tcPr>
          <w:p>
            <w:pPr>
              <w:spacing w:after="0"/>
              <w:rPr>
                <w:sz w:val="13"/>
                <w:szCs w:val="13"/>
                <w:color w:val="auto"/>
              </w:rPr>
            </w:pPr>
          </w:p>
        </w:tc>
        <w:tc>
          <w:tcPr>
            <w:tcW w:w="44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44"/>
        </w:trPr>
        <w:tc>
          <w:tcPr>
            <w:tcW w:w="5060" w:type="dxa"/>
            <w:vAlign w:val="bottom"/>
            <w:tcBorders>
              <w:bottom w:val="single" w:sz="8" w:color="009BDE"/>
            </w:tcBorders>
          </w:tcPr>
          <w:p>
            <w:pPr>
              <w:spacing w:after="0"/>
              <w:rPr>
                <w:sz w:val="3"/>
                <w:szCs w:val="3"/>
                <w:color w:val="auto"/>
              </w:rPr>
            </w:pPr>
          </w:p>
        </w:tc>
        <w:tc>
          <w:tcPr>
            <w:tcW w:w="520" w:type="dxa"/>
            <w:vAlign w:val="bottom"/>
            <w:tcBorders>
              <w:bottom w:val="single" w:sz="8" w:color="009BDE"/>
            </w:tcBorders>
          </w:tcPr>
          <w:p>
            <w:pPr>
              <w:spacing w:after="0"/>
              <w:rPr>
                <w:sz w:val="3"/>
                <w:szCs w:val="3"/>
                <w:color w:val="auto"/>
              </w:rPr>
            </w:pPr>
          </w:p>
        </w:tc>
        <w:tc>
          <w:tcPr>
            <w:tcW w:w="160" w:type="dxa"/>
            <w:vAlign w:val="bottom"/>
            <w:tcBorders>
              <w:bottom w:val="single" w:sz="8" w:color="009BDE"/>
            </w:tcBorders>
          </w:tcPr>
          <w:p>
            <w:pPr>
              <w:spacing w:after="0"/>
              <w:rPr>
                <w:sz w:val="3"/>
                <w:szCs w:val="3"/>
                <w:color w:val="auto"/>
              </w:rPr>
            </w:pPr>
          </w:p>
        </w:tc>
        <w:tc>
          <w:tcPr>
            <w:tcW w:w="440" w:type="dxa"/>
            <w:vAlign w:val="bottom"/>
            <w:tcBorders>
              <w:bottom w:val="single" w:sz="8" w:color="009BDE"/>
            </w:tcBorders>
          </w:tcPr>
          <w:p>
            <w:pPr>
              <w:spacing w:after="0"/>
              <w:rPr>
                <w:sz w:val="3"/>
                <w:szCs w:val="3"/>
                <w:color w:val="auto"/>
              </w:rPr>
            </w:pPr>
          </w:p>
        </w:tc>
        <w:tc>
          <w:tcPr>
            <w:tcW w:w="140" w:type="dxa"/>
            <w:vAlign w:val="bottom"/>
            <w:tcBorders>
              <w:bottom w:val="single" w:sz="8" w:color="009BDE"/>
            </w:tcBorders>
          </w:tcPr>
          <w:p>
            <w:pPr>
              <w:spacing w:after="0"/>
              <w:rPr>
                <w:sz w:val="3"/>
                <w:szCs w:val="3"/>
                <w:color w:val="auto"/>
              </w:rPr>
            </w:pPr>
          </w:p>
        </w:tc>
        <w:tc>
          <w:tcPr>
            <w:tcW w:w="440" w:type="dxa"/>
            <w:vAlign w:val="bottom"/>
            <w:tcBorders>
              <w:bottom w:val="single" w:sz="8" w:color="009BDE"/>
            </w:tcBorders>
          </w:tcPr>
          <w:p>
            <w:pPr>
              <w:spacing w:after="0"/>
              <w:rPr>
                <w:sz w:val="3"/>
                <w:szCs w:val="3"/>
                <w:color w:val="auto"/>
              </w:rPr>
            </w:pPr>
          </w:p>
        </w:tc>
      </w:tr>
      <w:tr>
        <w:trPr>
          <w:trHeight w:val="170"/>
        </w:trPr>
        <w:tc>
          <w:tcPr>
            <w:tcW w:w="5060" w:type="dxa"/>
            <w:vAlign w:val="bottom"/>
          </w:tcPr>
          <w:p>
            <w:pPr>
              <w:ind w:left="60"/>
              <w:spacing w:after="0"/>
              <w:rPr>
                <w:sz w:val="20"/>
                <w:szCs w:val="20"/>
                <w:color w:val="auto"/>
              </w:rPr>
            </w:pPr>
            <w:r>
              <w:rPr>
                <w:rFonts w:ascii="Arial" w:cs="Arial" w:eastAsia="Arial" w:hAnsi="Arial"/>
                <w:sz w:val="10"/>
                <w:szCs w:val="10"/>
                <w:color w:val="auto"/>
              </w:rPr>
              <w:t>Deborah Thomas</w:t>
            </w:r>
          </w:p>
        </w:tc>
        <w:tc>
          <w:tcPr>
            <w:tcW w:w="520" w:type="dxa"/>
            <w:vAlign w:val="bottom"/>
          </w:tcPr>
          <w:p>
            <w:pPr>
              <w:jc w:val="center"/>
              <w:spacing w:after="0"/>
              <w:rPr>
                <w:sz w:val="20"/>
                <w:szCs w:val="20"/>
                <w:color w:val="auto"/>
              </w:rPr>
            </w:pPr>
            <w:r>
              <w:rPr>
                <w:rFonts w:ascii="Arial" w:cs="Arial" w:eastAsia="Arial" w:hAnsi="Arial"/>
                <w:sz w:val="10"/>
                <w:szCs w:val="10"/>
                <w:color w:val="auto"/>
                <w:w w:val="99"/>
              </w:rPr>
              <w:t>$27,450</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52"/>
              <w:spacing w:after="0"/>
              <w:rPr>
                <w:sz w:val="20"/>
                <w:szCs w:val="20"/>
                <w:color w:val="auto"/>
              </w:rPr>
            </w:pPr>
            <w:r>
              <w:rPr>
                <w:rFonts w:ascii="Arial" w:cs="Arial" w:eastAsia="Arial" w:hAnsi="Arial"/>
                <w:sz w:val="10"/>
                <w:szCs w:val="10"/>
                <w:color w:val="auto"/>
                <w:w w:val="88"/>
              </w:rPr>
              <w:t>225,519</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52"/>
              <w:spacing w:after="0"/>
              <w:rPr>
                <w:sz w:val="20"/>
                <w:szCs w:val="20"/>
                <w:color w:val="auto"/>
              </w:rPr>
            </w:pPr>
            <w:r>
              <w:rPr>
                <w:rFonts w:ascii="Arial" w:cs="Arial" w:eastAsia="Arial" w:hAnsi="Arial"/>
                <w:sz w:val="10"/>
                <w:szCs w:val="10"/>
                <w:color w:val="auto"/>
                <w:w w:val="88"/>
              </w:rPr>
              <w:t>198,000</w:t>
            </w:r>
          </w:p>
        </w:tc>
      </w:tr>
      <w:tr>
        <w:trPr>
          <w:trHeight w:val="62"/>
        </w:trPr>
        <w:tc>
          <w:tcPr>
            <w:tcW w:w="506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r>
      <w:tr>
        <w:trPr>
          <w:trHeight w:val="152"/>
        </w:trPr>
        <w:tc>
          <w:tcPr>
            <w:tcW w:w="5060" w:type="dxa"/>
            <w:vAlign w:val="bottom"/>
          </w:tcPr>
          <w:p>
            <w:pPr>
              <w:ind w:left="60"/>
              <w:spacing w:after="0"/>
              <w:rPr>
                <w:sz w:val="20"/>
                <w:szCs w:val="20"/>
                <w:color w:val="auto"/>
              </w:rPr>
            </w:pPr>
            <w:r>
              <w:rPr>
                <w:rFonts w:ascii="Arial" w:cs="Arial" w:eastAsia="Arial" w:hAnsi="Arial"/>
                <w:sz w:val="10"/>
                <w:szCs w:val="10"/>
                <w:color w:val="auto"/>
              </w:rPr>
              <w:t>Cynthia Williams</w:t>
            </w:r>
          </w:p>
        </w:tc>
        <w:tc>
          <w:tcPr>
            <w:tcW w:w="520" w:type="dxa"/>
            <w:vAlign w:val="bottom"/>
          </w:tcPr>
          <w:p>
            <w:pPr>
              <w:jc w:val="center"/>
              <w:spacing w:after="0"/>
              <w:rPr>
                <w:sz w:val="20"/>
                <w:szCs w:val="20"/>
                <w:color w:val="auto"/>
              </w:rPr>
            </w:pPr>
            <w:r>
              <w:rPr>
                <w:rFonts w:ascii="Arial" w:cs="Arial" w:eastAsia="Arial" w:hAnsi="Arial"/>
                <w:sz w:val="10"/>
                <w:szCs w:val="10"/>
                <w:color w:val="auto"/>
                <w:w w:val="99"/>
              </w:rPr>
              <w:t>$19,857</w:t>
            </w:r>
          </w:p>
        </w:tc>
        <w:tc>
          <w:tcPr>
            <w:tcW w:w="160" w:type="dxa"/>
            <w:vAlign w:val="bottom"/>
          </w:tcPr>
          <w:p>
            <w:pPr>
              <w:spacing w:after="0"/>
              <w:rPr>
                <w:sz w:val="13"/>
                <w:szCs w:val="13"/>
                <w:color w:val="auto"/>
              </w:rPr>
            </w:pPr>
          </w:p>
        </w:tc>
        <w:tc>
          <w:tcPr>
            <w:tcW w:w="4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44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44"/>
        </w:trPr>
        <w:tc>
          <w:tcPr>
            <w:tcW w:w="5060" w:type="dxa"/>
            <w:vAlign w:val="bottom"/>
            <w:tcBorders>
              <w:bottom w:val="single" w:sz="8" w:color="009BDE"/>
            </w:tcBorders>
          </w:tcPr>
          <w:p>
            <w:pPr>
              <w:spacing w:after="0"/>
              <w:rPr>
                <w:sz w:val="3"/>
                <w:szCs w:val="3"/>
                <w:color w:val="auto"/>
              </w:rPr>
            </w:pPr>
          </w:p>
        </w:tc>
        <w:tc>
          <w:tcPr>
            <w:tcW w:w="520" w:type="dxa"/>
            <w:vAlign w:val="bottom"/>
            <w:tcBorders>
              <w:bottom w:val="single" w:sz="8" w:color="009BDE"/>
            </w:tcBorders>
          </w:tcPr>
          <w:p>
            <w:pPr>
              <w:spacing w:after="0"/>
              <w:rPr>
                <w:sz w:val="3"/>
                <w:szCs w:val="3"/>
                <w:color w:val="auto"/>
              </w:rPr>
            </w:pPr>
          </w:p>
        </w:tc>
        <w:tc>
          <w:tcPr>
            <w:tcW w:w="160" w:type="dxa"/>
            <w:vAlign w:val="bottom"/>
            <w:tcBorders>
              <w:bottom w:val="single" w:sz="8" w:color="009BDE"/>
            </w:tcBorders>
          </w:tcPr>
          <w:p>
            <w:pPr>
              <w:spacing w:after="0"/>
              <w:rPr>
                <w:sz w:val="3"/>
                <w:szCs w:val="3"/>
                <w:color w:val="auto"/>
              </w:rPr>
            </w:pPr>
          </w:p>
        </w:tc>
        <w:tc>
          <w:tcPr>
            <w:tcW w:w="440" w:type="dxa"/>
            <w:vAlign w:val="bottom"/>
            <w:tcBorders>
              <w:bottom w:val="single" w:sz="8" w:color="009BDE"/>
            </w:tcBorders>
          </w:tcPr>
          <w:p>
            <w:pPr>
              <w:spacing w:after="0"/>
              <w:rPr>
                <w:sz w:val="3"/>
                <w:szCs w:val="3"/>
                <w:color w:val="auto"/>
              </w:rPr>
            </w:pPr>
          </w:p>
        </w:tc>
        <w:tc>
          <w:tcPr>
            <w:tcW w:w="140" w:type="dxa"/>
            <w:vAlign w:val="bottom"/>
            <w:tcBorders>
              <w:bottom w:val="single" w:sz="8" w:color="009BDE"/>
            </w:tcBorders>
          </w:tcPr>
          <w:p>
            <w:pPr>
              <w:spacing w:after="0"/>
              <w:rPr>
                <w:sz w:val="3"/>
                <w:szCs w:val="3"/>
                <w:color w:val="auto"/>
              </w:rPr>
            </w:pPr>
          </w:p>
        </w:tc>
        <w:tc>
          <w:tcPr>
            <w:tcW w:w="440" w:type="dxa"/>
            <w:vAlign w:val="bottom"/>
            <w:tcBorders>
              <w:bottom w:val="single" w:sz="8" w:color="009BDE"/>
            </w:tcBorders>
          </w:tcPr>
          <w:p>
            <w:pPr>
              <w:spacing w:after="0"/>
              <w:rPr>
                <w:sz w:val="3"/>
                <w:szCs w:val="3"/>
                <w:color w:val="auto"/>
              </w:rPr>
            </w:pPr>
          </w:p>
        </w:tc>
      </w:tr>
      <w:tr>
        <w:trPr>
          <w:trHeight w:val="152"/>
        </w:trPr>
        <w:tc>
          <w:tcPr>
            <w:tcW w:w="5060" w:type="dxa"/>
            <w:vAlign w:val="bottom"/>
          </w:tcPr>
          <w:p>
            <w:pPr>
              <w:ind w:left="60"/>
              <w:spacing w:after="0"/>
              <w:rPr>
                <w:sz w:val="20"/>
                <w:szCs w:val="20"/>
                <w:color w:val="auto"/>
              </w:rPr>
            </w:pPr>
            <w:r>
              <w:rPr>
                <w:rFonts w:ascii="Arial" w:cs="Arial" w:eastAsia="Arial" w:hAnsi="Arial"/>
                <w:sz w:val="10"/>
                <w:szCs w:val="10"/>
                <w:color w:val="auto"/>
              </w:rPr>
              <w:t>Eric Nyman</w:t>
            </w:r>
          </w:p>
        </w:tc>
        <w:tc>
          <w:tcPr>
            <w:tcW w:w="520" w:type="dxa"/>
            <w:vAlign w:val="bottom"/>
          </w:tcPr>
          <w:p>
            <w:pPr>
              <w:jc w:val="center"/>
              <w:spacing w:after="0"/>
              <w:rPr>
                <w:sz w:val="20"/>
                <w:szCs w:val="20"/>
                <w:color w:val="auto"/>
              </w:rPr>
            </w:pPr>
            <w:r>
              <w:rPr>
                <w:rFonts w:ascii="Arial" w:cs="Arial" w:eastAsia="Arial" w:hAnsi="Arial"/>
                <w:sz w:val="10"/>
                <w:szCs w:val="10"/>
                <w:color w:val="auto"/>
                <w:w w:val="99"/>
              </w:rPr>
              <w:t>$27,450</w:t>
            </w:r>
          </w:p>
        </w:tc>
        <w:tc>
          <w:tcPr>
            <w:tcW w:w="160" w:type="dxa"/>
            <w:vAlign w:val="bottom"/>
          </w:tcPr>
          <w:p>
            <w:pPr>
              <w:spacing w:after="0"/>
              <w:rPr>
                <w:sz w:val="13"/>
                <w:szCs w:val="13"/>
                <w:color w:val="auto"/>
              </w:rPr>
            </w:pPr>
          </w:p>
        </w:tc>
        <w:tc>
          <w:tcPr>
            <w:tcW w:w="4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44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44"/>
        </w:trPr>
        <w:tc>
          <w:tcPr>
            <w:tcW w:w="5060" w:type="dxa"/>
            <w:vAlign w:val="bottom"/>
            <w:tcBorders>
              <w:bottom w:val="single" w:sz="8" w:color="009BDE"/>
            </w:tcBorders>
          </w:tcPr>
          <w:p>
            <w:pPr>
              <w:spacing w:after="0"/>
              <w:rPr>
                <w:sz w:val="3"/>
                <w:szCs w:val="3"/>
                <w:color w:val="auto"/>
              </w:rPr>
            </w:pPr>
          </w:p>
        </w:tc>
        <w:tc>
          <w:tcPr>
            <w:tcW w:w="520" w:type="dxa"/>
            <w:vAlign w:val="bottom"/>
            <w:tcBorders>
              <w:bottom w:val="single" w:sz="8" w:color="009BDE"/>
            </w:tcBorders>
          </w:tcPr>
          <w:p>
            <w:pPr>
              <w:spacing w:after="0"/>
              <w:rPr>
                <w:sz w:val="3"/>
                <w:szCs w:val="3"/>
                <w:color w:val="auto"/>
              </w:rPr>
            </w:pPr>
          </w:p>
        </w:tc>
        <w:tc>
          <w:tcPr>
            <w:tcW w:w="160" w:type="dxa"/>
            <w:vAlign w:val="bottom"/>
            <w:tcBorders>
              <w:bottom w:val="single" w:sz="8" w:color="009BDE"/>
            </w:tcBorders>
          </w:tcPr>
          <w:p>
            <w:pPr>
              <w:spacing w:after="0"/>
              <w:rPr>
                <w:sz w:val="3"/>
                <w:szCs w:val="3"/>
                <w:color w:val="auto"/>
              </w:rPr>
            </w:pPr>
          </w:p>
        </w:tc>
        <w:tc>
          <w:tcPr>
            <w:tcW w:w="440" w:type="dxa"/>
            <w:vAlign w:val="bottom"/>
            <w:tcBorders>
              <w:bottom w:val="single" w:sz="8" w:color="009BDE"/>
            </w:tcBorders>
          </w:tcPr>
          <w:p>
            <w:pPr>
              <w:spacing w:after="0"/>
              <w:rPr>
                <w:sz w:val="3"/>
                <w:szCs w:val="3"/>
                <w:color w:val="auto"/>
              </w:rPr>
            </w:pPr>
          </w:p>
        </w:tc>
        <w:tc>
          <w:tcPr>
            <w:tcW w:w="140" w:type="dxa"/>
            <w:vAlign w:val="bottom"/>
            <w:tcBorders>
              <w:bottom w:val="single" w:sz="8" w:color="009BDE"/>
            </w:tcBorders>
          </w:tcPr>
          <w:p>
            <w:pPr>
              <w:spacing w:after="0"/>
              <w:rPr>
                <w:sz w:val="3"/>
                <w:szCs w:val="3"/>
                <w:color w:val="auto"/>
              </w:rPr>
            </w:pPr>
          </w:p>
        </w:tc>
        <w:tc>
          <w:tcPr>
            <w:tcW w:w="440" w:type="dxa"/>
            <w:vAlign w:val="bottom"/>
            <w:tcBorders>
              <w:bottom w:val="single" w:sz="8" w:color="009BDE"/>
            </w:tcBorders>
          </w:tcPr>
          <w:p>
            <w:pPr>
              <w:spacing w:after="0"/>
              <w:rPr>
                <w:sz w:val="3"/>
                <w:szCs w:val="3"/>
                <w:color w:val="auto"/>
              </w:rPr>
            </w:pPr>
          </w:p>
        </w:tc>
      </w:tr>
      <w:tr>
        <w:trPr>
          <w:trHeight w:val="152"/>
        </w:trPr>
        <w:tc>
          <w:tcPr>
            <w:tcW w:w="5060" w:type="dxa"/>
            <w:vAlign w:val="bottom"/>
          </w:tcPr>
          <w:p>
            <w:pPr>
              <w:ind w:left="60"/>
              <w:spacing w:after="0"/>
              <w:rPr>
                <w:sz w:val="20"/>
                <w:szCs w:val="20"/>
                <w:color w:val="auto"/>
              </w:rPr>
            </w:pPr>
            <w:r>
              <w:rPr>
                <w:rFonts w:ascii="Arial" w:cs="Arial" w:eastAsia="Arial" w:hAnsi="Arial"/>
                <w:sz w:val="10"/>
                <w:szCs w:val="10"/>
                <w:color w:val="auto"/>
              </w:rPr>
              <w:t>Darren Throop</w:t>
            </w:r>
          </w:p>
        </w:tc>
        <w:tc>
          <w:tcPr>
            <w:tcW w:w="520" w:type="dxa"/>
            <w:vAlign w:val="bottom"/>
          </w:tcPr>
          <w:p>
            <w:pPr>
              <w:jc w:val="center"/>
              <w:spacing w:after="0"/>
              <w:rPr>
                <w:sz w:val="20"/>
                <w:szCs w:val="20"/>
                <w:color w:val="auto"/>
              </w:rPr>
            </w:pPr>
            <w:r>
              <w:rPr>
                <w:rFonts w:ascii="Arial" w:cs="Arial" w:eastAsia="Arial" w:hAnsi="Arial"/>
                <w:sz w:val="10"/>
                <w:szCs w:val="10"/>
                <w:color w:val="auto"/>
                <w:w w:val="99"/>
              </w:rPr>
              <w:t>$22,462</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52"/>
              <w:spacing w:after="0"/>
              <w:rPr>
                <w:sz w:val="20"/>
                <w:szCs w:val="20"/>
                <w:color w:val="auto"/>
              </w:rPr>
            </w:pPr>
            <w:r>
              <w:rPr>
                <w:rFonts w:ascii="Arial" w:cs="Arial" w:eastAsia="Arial" w:hAnsi="Arial"/>
                <w:sz w:val="10"/>
                <w:szCs w:val="10"/>
                <w:color w:val="auto"/>
              </w:rPr>
              <w:t>22,208</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52"/>
              <w:spacing w:after="0"/>
              <w:rPr>
                <w:sz w:val="20"/>
                <w:szCs w:val="20"/>
                <w:color w:val="auto"/>
              </w:rPr>
            </w:pPr>
            <w:r>
              <w:rPr>
                <w:rFonts w:ascii="Arial" w:cs="Arial" w:eastAsia="Arial" w:hAnsi="Arial"/>
                <w:sz w:val="10"/>
                <w:szCs w:val="10"/>
                <w:color w:val="auto"/>
              </w:rPr>
              <w:t>20,381</w:t>
            </w:r>
          </w:p>
        </w:tc>
      </w:tr>
      <w:tr>
        <w:trPr>
          <w:trHeight w:val="44"/>
        </w:trPr>
        <w:tc>
          <w:tcPr>
            <w:tcW w:w="5060" w:type="dxa"/>
            <w:vAlign w:val="bottom"/>
            <w:tcBorders>
              <w:bottom w:val="single" w:sz="8" w:color="009BDE"/>
            </w:tcBorders>
          </w:tcPr>
          <w:p>
            <w:pPr>
              <w:spacing w:after="0"/>
              <w:rPr>
                <w:sz w:val="3"/>
                <w:szCs w:val="3"/>
                <w:color w:val="auto"/>
              </w:rPr>
            </w:pPr>
          </w:p>
        </w:tc>
        <w:tc>
          <w:tcPr>
            <w:tcW w:w="520" w:type="dxa"/>
            <w:vAlign w:val="bottom"/>
            <w:tcBorders>
              <w:bottom w:val="single" w:sz="8" w:color="009BDE"/>
            </w:tcBorders>
          </w:tcPr>
          <w:p>
            <w:pPr>
              <w:spacing w:after="0"/>
              <w:rPr>
                <w:sz w:val="3"/>
                <w:szCs w:val="3"/>
                <w:color w:val="auto"/>
              </w:rPr>
            </w:pPr>
          </w:p>
        </w:tc>
        <w:tc>
          <w:tcPr>
            <w:tcW w:w="160" w:type="dxa"/>
            <w:vAlign w:val="bottom"/>
            <w:tcBorders>
              <w:bottom w:val="single" w:sz="8" w:color="009BDE"/>
            </w:tcBorders>
          </w:tcPr>
          <w:p>
            <w:pPr>
              <w:spacing w:after="0"/>
              <w:rPr>
                <w:sz w:val="3"/>
                <w:szCs w:val="3"/>
                <w:color w:val="auto"/>
              </w:rPr>
            </w:pPr>
          </w:p>
        </w:tc>
        <w:tc>
          <w:tcPr>
            <w:tcW w:w="440" w:type="dxa"/>
            <w:vAlign w:val="bottom"/>
            <w:tcBorders>
              <w:bottom w:val="single" w:sz="8" w:color="009BDE"/>
            </w:tcBorders>
          </w:tcPr>
          <w:p>
            <w:pPr>
              <w:spacing w:after="0"/>
              <w:rPr>
                <w:sz w:val="3"/>
                <w:szCs w:val="3"/>
                <w:color w:val="auto"/>
              </w:rPr>
            </w:pPr>
          </w:p>
        </w:tc>
        <w:tc>
          <w:tcPr>
            <w:tcW w:w="140" w:type="dxa"/>
            <w:vAlign w:val="bottom"/>
            <w:tcBorders>
              <w:bottom w:val="single" w:sz="8" w:color="009BDE"/>
            </w:tcBorders>
          </w:tcPr>
          <w:p>
            <w:pPr>
              <w:spacing w:after="0"/>
              <w:rPr>
                <w:sz w:val="3"/>
                <w:szCs w:val="3"/>
                <w:color w:val="auto"/>
              </w:rPr>
            </w:pPr>
          </w:p>
        </w:tc>
        <w:tc>
          <w:tcPr>
            <w:tcW w:w="440" w:type="dxa"/>
            <w:vAlign w:val="bottom"/>
            <w:tcBorders>
              <w:bottom w:val="single" w:sz="8" w:color="009BDE"/>
            </w:tcBorders>
          </w:tcPr>
          <w:p>
            <w:pPr>
              <w:spacing w:after="0"/>
              <w:rPr>
                <w:sz w:val="3"/>
                <w:szCs w:val="3"/>
                <w:color w:val="auto"/>
              </w:rPr>
            </w:pPr>
          </w:p>
        </w:tc>
      </w:tr>
    </w:tbl>
    <w:p>
      <w:pPr>
        <w:spacing w:after="0" w:line="102" w:lineRule="exact"/>
        <w:rPr>
          <w:sz w:val="20"/>
          <w:szCs w:val="20"/>
          <w:color w:val="auto"/>
        </w:rPr>
      </w:pPr>
    </w:p>
    <w:p>
      <w:pPr>
        <w:ind w:left="2260" w:right="1099"/>
        <w:spacing w:after="0" w:line="232" w:lineRule="auto"/>
        <w:rPr>
          <w:sz w:val="20"/>
          <w:szCs w:val="20"/>
          <w:color w:val="auto"/>
        </w:rPr>
      </w:pPr>
      <w:r>
        <w:rPr>
          <w:rFonts w:ascii="Arial" w:cs="Arial" w:eastAsia="Arial" w:hAnsi="Arial"/>
          <w:sz w:val="10"/>
          <w:szCs w:val="10"/>
          <w:color w:val="auto"/>
        </w:rPr>
        <w:t>For NEO’s other than Mr. Throop, these amounts are in part contributed to the individual’s account in the 401(k) Plan and, to the extent in excess of certain Code maximums, deemed allocated to the individual’s account in the Supplemental Plan (401(k)).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56515</wp:posOffset>
            </wp:positionV>
            <wp:extent cx="3971925" cy="21717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6"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54</w:t>
      </w:r>
    </w:p>
    <w:p>
      <w:pPr>
        <w:sectPr>
          <w:pgSz w:w="11900" w:h="16838" w:orient="portrait"/>
          <w:cols w:equalWidth="0" w:num="1">
            <w:col w:w="10159"/>
          </w:cols>
          <w:pgMar w:left="300" w:top="372" w:right="1440" w:bottom="1440" w:gutter="0" w:footer="0" w:header="0"/>
        </w:sectPr>
      </w:pPr>
    </w:p>
    <w:bookmarkStart w:id="76" w:name="page77"/>
    <w:bookmarkEnd w:id="7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following table sets forth certain information regarding grants of plan-based awards for fiscal 2022 to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101600</wp:posOffset>
            </wp:positionV>
            <wp:extent cx="4663440" cy="22860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4663440" cy="228600"/>
                    </a:xfrm>
                    <a:prstGeom prst="rect">
                      <a:avLst/>
                    </a:prstGeom>
                    <a:noFill/>
                  </pic:spPr>
                </pic:pic>
              </a:graphicData>
            </a:graphic>
          </wp:anchor>
        </w:drawing>
      </w:r>
    </w:p>
    <w:p>
      <w:pPr>
        <w:spacing w:after="0" w:line="186"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Grants of Plan-Based Awards</w:t>
      </w:r>
    </w:p>
    <w:p>
      <w:pPr>
        <w:spacing w:after="0" w:line="54" w:lineRule="exact"/>
        <w:rPr>
          <w:sz w:val="20"/>
          <w:szCs w:val="20"/>
          <w:color w:val="auto"/>
        </w:rPr>
      </w:pPr>
    </w:p>
    <w:tbl>
      <w:tblPr>
        <w:tblLayout w:type="fixed"/>
        <w:tblInd w:w="1980" w:type="dxa"/>
        <w:tblCellMar>
          <w:top w:w="0" w:type="dxa"/>
          <w:left w:w="0" w:type="dxa"/>
          <w:bottom w:w="0" w:type="dxa"/>
          <w:right w:w="0" w:type="dxa"/>
        </w:tblCellMar>
      </w:tblPr>
      <w:tr>
        <w:trPr>
          <w:trHeight w:val="202"/>
        </w:trPr>
        <w:tc>
          <w:tcPr>
            <w:tcW w:w="860" w:type="dxa"/>
            <w:vAlign w:val="bottom"/>
            <w:tcBorders>
              <w:top w:val="single" w:sz="8" w:color="0060ED"/>
            </w:tcBorders>
            <w:shd w:val="clear" w:color="auto" w:fill="CCEBF8"/>
          </w:tcPr>
          <w:p>
            <w:pPr>
              <w:spacing w:after="0"/>
              <w:rPr>
                <w:sz w:val="17"/>
                <w:szCs w:val="17"/>
                <w:color w:val="auto"/>
              </w:rPr>
            </w:pPr>
          </w:p>
        </w:tc>
        <w:tc>
          <w:tcPr>
            <w:tcW w:w="600" w:type="dxa"/>
            <w:vAlign w:val="bottom"/>
            <w:tcBorders>
              <w:top w:val="single" w:sz="8" w:color="0060ED"/>
            </w:tcBorders>
            <w:shd w:val="clear" w:color="auto" w:fill="CCEBF8"/>
          </w:tcPr>
          <w:p>
            <w:pPr>
              <w:spacing w:after="0"/>
              <w:rPr>
                <w:sz w:val="17"/>
                <w:szCs w:val="17"/>
                <w:color w:val="auto"/>
              </w:rPr>
            </w:pPr>
          </w:p>
        </w:tc>
        <w:tc>
          <w:tcPr>
            <w:tcW w:w="680" w:type="dxa"/>
            <w:vAlign w:val="bottom"/>
            <w:tcBorders>
              <w:top w:val="single" w:sz="8" w:color="0060ED"/>
            </w:tcBorders>
            <w:shd w:val="clear" w:color="auto" w:fill="CCEBF8"/>
          </w:tcPr>
          <w:p>
            <w:pPr>
              <w:spacing w:after="0"/>
              <w:rPr>
                <w:sz w:val="17"/>
                <w:szCs w:val="17"/>
                <w:color w:val="auto"/>
              </w:rPr>
            </w:pPr>
          </w:p>
        </w:tc>
        <w:tc>
          <w:tcPr>
            <w:tcW w:w="560" w:type="dxa"/>
            <w:vAlign w:val="bottom"/>
            <w:tcBorders>
              <w:top w:val="single" w:sz="8" w:color="0060ED"/>
            </w:tcBorders>
            <w:shd w:val="clear" w:color="auto" w:fill="CCEBF8"/>
          </w:tcPr>
          <w:p>
            <w:pPr>
              <w:spacing w:after="0"/>
              <w:rPr>
                <w:sz w:val="17"/>
                <w:szCs w:val="17"/>
                <w:color w:val="auto"/>
              </w:rPr>
            </w:pPr>
          </w:p>
        </w:tc>
        <w:tc>
          <w:tcPr>
            <w:tcW w:w="620" w:type="dxa"/>
            <w:vAlign w:val="bottom"/>
            <w:tcBorders>
              <w:top w:val="single" w:sz="8" w:color="0060ED"/>
            </w:tcBorders>
            <w:shd w:val="clear" w:color="auto" w:fill="CCEBF8"/>
          </w:tcPr>
          <w:p>
            <w:pPr>
              <w:spacing w:after="0"/>
              <w:rPr>
                <w:sz w:val="17"/>
                <w:szCs w:val="17"/>
                <w:color w:val="auto"/>
              </w:rPr>
            </w:pPr>
          </w:p>
        </w:tc>
        <w:tc>
          <w:tcPr>
            <w:tcW w:w="640" w:type="dxa"/>
            <w:vAlign w:val="bottom"/>
            <w:tcBorders>
              <w:top w:val="single" w:sz="8" w:color="0060ED"/>
            </w:tcBorders>
            <w:shd w:val="clear" w:color="auto" w:fill="CCEBF8"/>
          </w:tcPr>
          <w:p>
            <w:pPr>
              <w:spacing w:after="0"/>
              <w:rPr>
                <w:sz w:val="17"/>
                <w:szCs w:val="17"/>
                <w:color w:val="auto"/>
              </w:rPr>
            </w:pPr>
          </w:p>
        </w:tc>
        <w:tc>
          <w:tcPr>
            <w:tcW w:w="660" w:type="dxa"/>
            <w:vAlign w:val="bottom"/>
            <w:tcBorders>
              <w:top w:val="single" w:sz="8" w:color="0060ED"/>
            </w:tcBorders>
            <w:shd w:val="clear" w:color="auto" w:fill="CCEBF8"/>
          </w:tcPr>
          <w:p>
            <w:pPr>
              <w:spacing w:after="0"/>
              <w:rPr>
                <w:sz w:val="17"/>
                <w:szCs w:val="17"/>
                <w:color w:val="auto"/>
              </w:rPr>
            </w:pPr>
          </w:p>
        </w:tc>
        <w:tc>
          <w:tcPr>
            <w:tcW w:w="600" w:type="dxa"/>
            <w:vAlign w:val="bottom"/>
            <w:tcBorders>
              <w:top w:val="single" w:sz="8" w:color="0060ED"/>
            </w:tcBorders>
            <w:shd w:val="clear" w:color="auto" w:fill="CCEBF8"/>
          </w:tcPr>
          <w:p>
            <w:pPr>
              <w:spacing w:after="0"/>
              <w:rPr>
                <w:sz w:val="17"/>
                <w:szCs w:val="17"/>
                <w:color w:val="auto"/>
              </w:rPr>
            </w:pPr>
          </w:p>
        </w:tc>
        <w:tc>
          <w:tcPr>
            <w:tcW w:w="440" w:type="dxa"/>
            <w:vAlign w:val="bottom"/>
            <w:tcBorders>
              <w:top w:val="single" w:sz="8" w:color="0060ED"/>
            </w:tcBorders>
            <w:shd w:val="clear" w:color="auto" w:fill="CCEBF8"/>
          </w:tcPr>
          <w:p>
            <w:pPr>
              <w:jc w:val="center"/>
              <w:spacing w:after="0"/>
              <w:rPr>
                <w:sz w:val="20"/>
                <w:szCs w:val="20"/>
                <w:color w:val="auto"/>
              </w:rPr>
            </w:pPr>
            <w:r>
              <w:rPr>
                <w:rFonts w:ascii="Arial" w:cs="Arial" w:eastAsia="Arial" w:hAnsi="Arial"/>
                <w:sz w:val="8"/>
                <w:szCs w:val="8"/>
                <w:b w:val="1"/>
                <w:bCs w:val="1"/>
                <w:color w:val="009BDE"/>
                <w:w w:val="97"/>
              </w:rPr>
              <w:t>All</w:t>
            </w:r>
          </w:p>
        </w:tc>
        <w:tc>
          <w:tcPr>
            <w:tcW w:w="580" w:type="dxa"/>
            <w:vAlign w:val="bottom"/>
            <w:tcBorders>
              <w:top w:val="single" w:sz="8" w:color="0060ED"/>
            </w:tcBorders>
            <w:shd w:val="clear" w:color="auto" w:fill="CCEBF8"/>
          </w:tcPr>
          <w:p>
            <w:pPr>
              <w:spacing w:after="0"/>
              <w:rPr>
                <w:sz w:val="17"/>
                <w:szCs w:val="17"/>
                <w:color w:val="auto"/>
              </w:rPr>
            </w:pPr>
          </w:p>
        </w:tc>
        <w:tc>
          <w:tcPr>
            <w:tcW w:w="560" w:type="dxa"/>
            <w:vAlign w:val="bottom"/>
            <w:tcBorders>
              <w:top w:val="single" w:sz="8" w:color="0060ED"/>
            </w:tcBorders>
            <w:shd w:val="clear" w:color="auto" w:fill="CCEBF8"/>
          </w:tcPr>
          <w:p>
            <w:pPr>
              <w:spacing w:after="0"/>
              <w:rPr>
                <w:sz w:val="17"/>
                <w:szCs w:val="17"/>
                <w:color w:val="auto"/>
              </w:rPr>
            </w:pPr>
          </w:p>
        </w:tc>
        <w:tc>
          <w:tcPr>
            <w:tcW w:w="160" w:type="dxa"/>
            <w:vAlign w:val="bottom"/>
            <w:tcBorders>
              <w:top w:val="single" w:sz="8" w:color="0060ED"/>
            </w:tcBorders>
            <w:shd w:val="clear" w:color="auto" w:fill="CCEBF8"/>
          </w:tcPr>
          <w:p>
            <w:pPr>
              <w:spacing w:after="0"/>
              <w:rPr>
                <w:sz w:val="17"/>
                <w:szCs w:val="17"/>
                <w:color w:val="auto"/>
              </w:rPr>
            </w:pPr>
          </w:p>
        </w:tc>
        <w:tc>
          <w:tcPr>
            <w:tcW w:w="380" w:type="dxa"/>
            <w:vAlign w:val="bottom"/>
            <w:tcBorders>
              <w:top w:val="single" w:sz="8" w:color="0060ED"/>
            </w:tcBorders>
            <w:shd w:val="clear" w:color="auto" w:fill="CCEBF8"/>
          </w:tcPr>
          <w:p>
            <w:pPr>
              <w:spacing w:after="0"/>
              <w:rPr>
                <w:sz w:val="17"/>
                <w:szCs w:val="17"/>
                <w:color w:val="auto"/>
              </w:rPr>
            </w:pPr>
          </w:p>
        </w:tc>
      </w:tr>
      <w:tr>
        <w:trPr>
          <w:trHeight w:val="90"/>
        </w:trPr>
        <w:tc>
          <w:tcPr>
            <w:tcW w:w="860" w:type="dxa"/>
            <w:vAlign w:val="bottom"/>
            <w:shd w:val="clear" w:color="auto" w:fill="CCEBF8"/>
          </w:tcPr>
          <w:p>
            <w:pPr>
              <w:spacing w:after="0"/>
              <w:rPr>
                <w:sz w:val="7"/>
                <w:szCs w:val="7"/>
                <w:color w:val="auto"/>
              </w:rPr>
            </w:pPr>
          </w:p>
        </w:tc>
        <w:tc>
          <w:tcPr>
            <w:tcW w:w="600" w:type="dxa"/>
            <w:vAlign w:val="bottom"/>
            <w:shd w:val="clear" w:color="auto" w:fill="CCEBF8"/>
          </w:tcPr>
          <w:p>
            <w:pPr>
              <w:spacing w:after="0"/>
              <w:rPr>
                <w:sz w:val="7"/>
                <w:szCs w:val="7"/>
                <w:color w:val="auto"/>
              </w:rPr>
            </w:pPr>
          </w:p>
        </w:tc>
        <w:tc>
          <w:tcPr>
            <w:tcW w:w="680" w:type="dxa"/>
            <w:vAlign w:val="bottom"/>
            <w:shd w:val="clear" w:color="auto" w:fill="CCEBF8"/>
          </w:tcPr>
          <w:p>
            <w:pPr>
              <w:spacing w:after="0"/>
              <w:rPr>
                <w:sz w:val="7"/>
                <w:szCs w:val="7"/>
                <w:color w:val="auto"/>
              </w:rPr>
            </w:pPr>
          </w:p>
        </w:tc>
        <w:tc>
          <w:tcPr>
            <w:tcW w:w="560" w:type="dxa"/>
            <w:vAlign w:val="bottom"/>
            <w:shd w:val="clear" w:color="auto" w:fill="CCEBF8"/>
          </w:tcPr>
          <w:p>
            <w:pPr>
              <w:spacing w:after="0"/>
              <w:rPr>
                <w:sz w:val="7"/>
                <w:szCs w:val="7"/>
                <w:color w:val="auto"/>
              </w:rPr>
            </w:pPr>
          </w:p>
        </w:tc>
        <w:tc>
          <w:tcPr>
            <w:tcW w:w="620" w:type="dxa"/>
            <w:vAlign w:val="bottom"/>
            <w:shd w:val="clear" w:color="auto" w:fill="CCEBF8"/>
          </w:tcPr>
          <w:p>
            <w:pPr>
              <w:spacing w:after="0"/>
              <w:rPr>
                <w:sz w:val="7"/>
                <w:szCs w:val="7"/>
                <w:color w:val="auto"/>
              </w:rPr>
            </w:pPr>
          </w:p>
        </w:tc>
        <w:tc>
          <w:tcPr>
            <w:tcW w:w="640" w:type="dxa"/>
            <w:vAlign w:val="bottom"/>
            <w:shd w:val="clear" w:color="auto" w:fill="CCEBF8"/>
          </w:tcPr>
          <w:p>
            <w:pPr>
              <w:spacing w:after="0"/>
              <w:rPr>
                <w:sz w:val="7"/>
                <w:szCs w:val="7"/>
                <w:color w:val="auto"/>
              </w:rPr>
            </w:pPr>
          </w:p>
        </w:tc>
        <w:tc>
          <w:tcPr>
            <w:tcW w:w="660" w:type="dxa"/>
            <w:vAlign w:val="bottom"/>
            <w:shd w:val="clear" w:color="auto" w:fill="CCEBF8"/>
          </w:tcPr>
          <w:p>
            <w:pPr>
              <w:spacing w:after="0"/>
              <w:rPr>
                <w:sz w:val="7"/>
                <w:szCs w:val="7"/>
                <w:color w:val="auto"/>
              </w:rPr>
            </w:pPr>
          </w:p>
        </w:tc>
        <w:tc>
          <w:tcPr>
            <w:tcW w:w="600" w:type="dxa"/>
            <w:vAlign w:val="bottom"/>
            <w:shd w:val="clear" w:color="auto" w:fill="CCEBF8"/>
          </w:tcPr>
          <w:p>
            <w:pPr>
              <w:spacing w:after="0"/>
              <w:rPr>
                <w:sz w:val="7"/>
                <w:szCs w:val="7"/>
                <w:color w:val="auto"/>
              </w:rPr>
            </w:pPr>
          </w:p>
        </w:tc>
        <w:tc>
          <w:tcPr>
            <w:tcW w:w="44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Other</w:t>
            </w:r>
          </w:p>
        </w:tc>
        <w:tc>
          <w:tcPr>
            <w:tcW w:w="580" w:type="dxa"/>
            <w:vAlign w:val="bottom"/>
            <w:shd w:val="clear" w:color="auto" w:fill="CCEBF8"/>
          </w:tcPr>
          <w:p>
            <w:pPr>
              <w:spacing w:after="0"/>
              <w:rPr>
                <w:sz w:val="7"/>
                <w:szCs w:val="7"/>
                <w:color w:val="auto"/>
              </w:rPr>
            </w:pPr>
          </w:p>
        </w:tc>
        <w:tc>
          <w:tcPr>
            <w:tcW w:w="56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380" w:type="dxa"/>
            <w:vAlign w:val="bottom"/>
            <w:shd w:val="clear" w:color="auto" w:fill="CCEBF8"/>
          </w:tcPr>
          <w:p>
            <w:pPr>
              <w:spacing w:after="0"/>
              <w:rPr>
                <w:sz w:val="7"/>
                <w:szCs w:val="7"/>
                <w:color w:val="auto"/>
              </w:rPr>
            </w:pPr>
          </w:p>
        </w:tc>
      </w:tr>
      <w:tr>
        <w:trPr>
          <w:trHeight w:val="90"/>
        </w:trPr>
        <w:tc>
          <w:tcPr>
            <w:tcW w:w="860" w:type="dxa"/>
            <w:vAlign w:val="bottom"/>
            <w:shd w:val="clear" w:color="auto" w:fill="CCEBF8"/>
          </w:tcPr>
          <w:p>
            <w:pPr>
              <w:spacing w:after="0"/>
              <w:rPr>
                <w:sz w:val="7"/>
                <w:szCs w:val="7"/>
                <w:color w:val="auto"/>
              </w:rPr>
            </w:pPr>
          </w:p>
        </w:tc>
        <w:tc>
          <w:tcPr>
            <w:tcW w:w="600" w:type="dxa"/>
            <w:vAlign w:val="bottom"/>
            <w:shd w:val="clear" w:color="auto" w:fill="CCEBF8"/>
          </w:tcPr>
          <w:p>
            <w:pPr>
              <w:spacing w:after="0"/>
              <w:rPr>
                <w:sz w:val="7"/>
                <w:szCs w:val="7"/>
                <w:color w:val="auto"/>
              </w:rPr>
            </w:pPr>
          </w:p>
        </w:tc>
        <w:tc>
          <w:tcPr>
            <w:tcW w:w="680" w:type="dxa"/>
            <w:vAlign w:val="bottom"/>
            <w:shd w:val="clear" w:color="auto" w:fill="CCEBF8"/>
          </w:tcPr>
          <w:p>
            <w:pPr>
              <w:spacing w:after="0"/>
              <w:rPr>
                <w:sz w:val="7"/>
                <w:szCs w:val="7"/>
                <w:color w:val="auto"/>
              </w:rPr>
            </w:pPr>
          </w:p>
        </w:tc>
        <w:tc>
          <w:tcPr>
            <w:tcW w:w="560" w:type="dxa"/>
            <w:vAlign w:val="bottom"/>
            <w:shd w:val="clear" w:color="auto" w:fill="CCEBF8"/>
          </w:tcPr>
          <w:p>
            <w:pPr>
              <w:spacing w:after="0"/>
              <w:rPr>
                <w:sz w:val="7"/>
                <w:szCs w:val="7"/>
                <w:color w:val="auto"/>
              </w:rPr>
            </w:pPr>
          </w:p>
        </w:tc>
        <w:tc>
          <w:tcPr>
            <w:tcW w:w="620" w:type="dxa"/>
            <w:vAlign w:val="bottom"/>
            <w:shd w:val="clear" w:color="auto" w:fill="CCEBF8"/>
          </w:tcPr>
          <w:p>
            <w:pPr>
              <w:spacing w:after="0"/>
              <w:rPr>
                <w:sz w:val="7"/>
                <w:szCs w:val="7"/>
                <w:color w:val="auto"/>
              </w:rPr>
            </w:pPr>
          </w:p>
        </w:tc>
        <w:tc>
          <w:tcPr>
            <w:tcW w:w="640" w:type="dxa"/>
            <w:vAlign w:val="bottom"/>
            <w:shd w:val="clear" w:color="auto" w:fill="CCEBF8"/>
          </w:tcPr>
          <w:p>
            <w:pPr>
              <w:spacing w:after="0"/>
              <w:rPr>
                <w:sz w:val="7"/>
                <w:szCs w:val="7"/>
                <w:color w:val="auto"/>
              </w:rPr>
            </w:pPr>
          </w:p>
        </w:tc>
        <w:tc>
          <w:tcPr>
            <w:tcW w:w="660" w:type="dxa"/>
            <w:vAlign w:val="bottom"/>
            <w:shd w:val="clear" w:color="auto" w:fill="CCEBF8"/>
          </w:tcPr>
          <w:p>
            <w:pPr>
              <w:spacing w:after="0"/>
              <w:rPr>
                <w:sz w:val="7"/>
                <w:szCs w:val="7"/>
                <w:color w:val="auto"/>
              </w:rPr>
            </w:pPr>
          </w:p>
        </w:tc>
        <w:tc>
          <w:tcPr>
            <w:tcW w:w="600" w:type="dxa"/>
            <w:vAlign w:val="bottom"/>
            <w:shd w:val="clear" w:color="auto" w:fill="CCEBF8"/>
          </w:tcPr>
          <w:p>
            <w:pPr>
              <w:spacing w:after="0"/>
              <w:rPr>
                <w:sz w:val="7"/>
                <w:szCs w:val="7"/>
                <w:color w:val="auto"/>
              </w:rPr>
            </w:pPr>
          </w:p>
        </w:tc>
        <w:tc>
          <w:tcPr>
            <w:tcW w:w="44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Stock</w:t>
            </w:r>
          </w:p>
        </w:tc>
        <w:tc>
          <w:tcPr>
            <w:tcW w:w="580" w:type="dxa"/>
            <w:vAlign w:val="bottom"/>
            <w:shd w:val="clear" w:color="auto" w:fill="CCEBF8"/>
          </w:tcPr>
          <w:p>
            <w:pPr>
              <w:spacing w:after="0"/>
              <w:rPr>
                <w:sz w:val="7"/>
                <w:szCs w:val="7"/>
                <w:color w:val="auto"/>
              </w:rPr>
            </w:pPr>
          </w:p>
        </w:tc>
        <w:tc>
          <w:tcPr>
            <w:tcW w:w="56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380" w:type="dxa"/>
            <w:vAlign w:val="bottom"/>
            <w:shd w:val="clear" w:color="auto" w:fill="CCEBF8"/>
          </w:tcPr>
          <w:p>
            <w:pPr>
              <w:spacing w:after="0"/>
              <w:rPr>
                <w:sz w:val="7"/>
                <w:szCs w:val="7"/>
                <w:color w:val="auto"/>
              </w:rPr>
            </w:pPr>
          </w:p>
        </w:tc>
      </w:tr>
      <w:tr>
        <w:trPr>
          <w:trHeight w:val="90"/>
        </w:trPr>
        <w:tc>
          <w:tcPr>
            <w:tcW w:w="860" w:type="dxa"/>
            <w:vAlign w:val="bottom"/>
            <w:shd w:val="clear" w:color="auto" w:fill="CCEBF8"/>
          </w:tcPr>
          <w:p>
            <w:pPr>
              <w:spacing w:after="0"/>
              <w:rPr>
                <w:sz w:val="7"/>
                <w:szCs w:val="7"/>
                <w:color w:val="auto"/>
              </w:rPr>
            </w:pPr>
          </w:p>
        </w:tc>
        <w:tc>
          <w:tcPr>
            <w:tcW w:w="600" w:type="dxa"/>
            <w:vAlign w:val="bottom"/>
            <w:shd w:val="clear" w:color="auto" w:fill="CCEBF8"/>
          </w:tcPr>
          <w:p>
            <w:pPr>
              <w:spacing w:after="0"/>
              <w:rPr>
                <w:sz w:val="7"/>
                <w:szCs w:val="7"/>
                <w:color w:val="auto"/>
              </w:rPr>
            </w:pPr>
          </w:p>
        </w:tc>
        <w:tc>
          <w:tcPr>
            <w:tcW w:w="680" w:type="dxa"/>
            <w:vAlign w:val="bottom"/>
            <w:shd w:val="clear" w:color="auto" w:fill="CCEBF8"/>
          </w:tcPr>
          <w:p>
            <w:pPr>
              <w:spacing w:after="0"/>
              <w:rPr>
                <w:sz w:val="7"/>
                <w:szCs w:val="7"/>
                <w:color w:val="auto"/>
              </w:rPr>
            </w:pPr>
          </w:p>
        </w:tc>
        <w:tc>
          <w:tcPr>
            <w:tcW w:w="560" w:type="dxa"/>
            <w:vAlign w:val="bottom"/>
            <w:shd w:val="clear" w:color="auto" w:fill="CCEBF8"/>
          </w:tcPr>
          <w:p>
            <w:pPr>
              <w:spacing w:after="0"/>
              <w:rPr>
                <w:sz w:val="7"/>
                <w:szCs w:val="7"/>
                <w:color w:val="auto"/>
              </w:rPr>
            </w:pPr>
          </w:p>
        </w:tc>
        <w:tc>
          <w:tcPr>
            <w:tcW w:w="620" w:type="dxa"/>
            <w:vAlign w:val="bottom"/>
            <w:shd w:val="clear" w:color="auto" w:fill="CCEBF8"/>
          </w:tcPr>
          <w:p>
            <w:pPr>
              <w:spacing w:after="0"/>
              <w:rPr>
                <w:sz w:val="7"/>
                <w:szCs w:val="7"/>
                <w:color w:val="auto"/>
              </w:rPr>
            </w:pPr>
          </w:p>
        </w:tc>
        <w:tc>
          <w:tcPr>
            <w:tcW w:w="640" w:type="dxa"/>
            <w:vAlign w:val="bottom"/>
            <w:shd w:val="clear" w:color="auto" w:fill="CCEBF8"/>
          </w:tcPr>
          <w:p>
            <w:pPr>
              <w:spacing w:after="0"/>
              <w:rPr>
                <w:sz w:val="7"/>
                <w:szCs w:val="7"/>
                <w:color w:val="auto"/>
              </w:rPr>
            </w:pPr>
          </w:p>
        </w:tc>
        <w:tc>
          <w:tcPr>
            <w:tcW w:w="660" w:type="dxa"/>
            <w:vAlign w:val="bottom"/>
            <w:shd w:val="clear" w:color="auto" w:fill="CCEBF8"/>
          </w:tcPr>
          <w:p>
            <w:pPr>
              <w:spacing w:after="0"/>
              <w:rPr>
                <w:sz w:val="7"/>
                <w:szCs w:val="7"/>
                <w:color w:val="auto"/>
              </w:rPr>
            </w:pPr>
          </w:p>
        </w:tc>
        <w:tc>
          <w:tcPr>
            <w:tcW w:w="600" w:type="dxa"/>
            <w:vAlign w:val="bottom"/>
            <w:shd w:val="clear" w:color="auto" w:fill="CCEBF8"/>
          </w:tcPr>
          <w:p>
            <w:pPr>
              <w:spacing w:after="0"/>
              <w:rPr>
                <w:sz w:val="7"/>
                <w:szCs w:val="7"/>
                <w:color w:val="auto"/>
              </w:rPr>
            </w:pPr>
          </w:p>
        </w:tc>
        <w:tc>
          <w:tcPr>
            <w:tcW w:w="44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Awards:</w:t>
            </w:r>
          </w:p>
        </w:tc>
        <w:tc>
          <w:tcPr>
            <w:tcW w:w="580" w:type="dxa"/>
            <w:vAlign w:val="bottom"/>
            <w:shd w:val="clear" w:color="auto" w:fill="CCEBF8"/>
          </w:tcPr>
          <w:p>
            <w:pPr>
              <w:jc w:val="center"/>
              <w:ind w:right="18"/>
              <w:spacing w:after="0" w:line="90" w:lineRule="exact"/>
              <w:rPr>
                <w:sz w:val="20"/>
                <w:szCs w:val="20"/>
                <w:color w:val="auto"/>
              </w:rPr>
            </w:pPr>
            <w:r>
              <w:rPr>
                <w:rFonts w:ascii="Arial" w:cs="Arial" w:eastAsia="Arial" w:hAnsi="Arial"/>
                <w:sz w:val="8"/>
                <w:szCs w:val="8"/>
                <w:b w:val="1"/>
                <w:bCs w:val="1"/>
                <w:color w:val="009BDE"/>
              </w:rPr>
              <w:t>All Other</w:t>
            </w:r>
          </w:p>
        </w:tc>
        <w:tc>
          <w:tcPr>
            <w:tcW w:w="56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380" w:type="dxa"/>
            <w:vAlign w:val="bottom"/>
            <w:shd w:val="clear" w:color="auto" w:fill="CCEBF8"/>
          </w:tcPr>
          <w:p>
            <w:pPr>
              <w:spacing w:after="0"/>
              <w:rPr>
                <w:sz w:val="7"/>
                <w:szCs w:val="7"/>
                <w:color w:val="auto"/>
              </w:rPr>
            </w:pPr>
          </w:p>
        </w:tc>
      </w:tr>
      <w:tr>
        <w:trPr>
          <w:trHeight w:val="90"/>
        </w:trPr>
        <w:tc>
          <w:tcPr>
            <w:tcW w:w="860" w:type="dxa"/>
            <w:vAlign w:val="bottom"/>
            <w:shd w:val="clear" w:color="auto" w:fill="CCEBF8"/>
          </w:tcPr>
          <w:p>
            <w:pPr>
              <w:spacing w:after="0"/>
              <w:rPr>
                <w:sz w:val="7"/>
                <w:szCs w:val="7"/>
                <w:color w:val="auto"/>
              </w:rPr>
            </w:pPr>
          </w:p>
        </w:tc>
        <w:tc>
          <w:tcPr>
            <w:tcW w:w="600" w:type="dxa"/>
            <w:vAlign w:val="bottom"/>
            <w:shd w:val="clear" w:color="auto" w:fill="CCEBF8"/>
          </w:tcPr>
          <w:p>
            <w:pPr>
              <w:spacing w:after="0"/>
              <w:rPr>
                <w:sz w:val="7"/>
                <w:szCs w:val="7"/>
                <w:color w:val="auto"/>
              </w:rPr>
            </w:pPr>
          </w:p>
        </w:tc>
        <w:tc>
          <w:tcPr>
            <w:tcW w:w="680" w:type="dxa"/>
            <w:vAlign w:val="bottom"/>
            <w:shd w:val="clear" w:color="auto" w:fill="CCEBF8"/>
          </w:tcPr>
          <w:p>
            <w:pPr>
              <w:spacing w:after="0"/>
              <w:rPr>
                <w:sz w:val="7"/>
                <w:szCs w:val="7"/>
                <w:color w:val="auto"/>
              </w:rPr>
            </w:pPr>
          </w:p>
        </w:tc>
        <w:tc>
          <w:tcPr>
            <w:tcW w:w="560" w:type="dxa"/>
            <w:vAlign w:val="bottom"/>
            <w:shd w:val="clear" w:color="auto" w:fill="CCEBF8"/>
          </w:tcPr>
          <w:p>
            <w:pPr>
              <w:spacing w:after="0"/>
              <w:rPr>
                <w:sz w:val="7"/>
                <w:szCs w:val="7"/>
                <w:color w:val="auto"/>
              </w:rPr>
            </w:pPr>
          </w:p>
        </w:tc>
        <w:tc>
          <w:tcPr>
            <w:tcW w:w="620" w:type="dxa"/>
            <w:vAlign w:val="bottom"/>
            <w:shd w:val="clear" w:color="auto" w:fill="CCEBF8"/>
          </w:tcPr>
          <w:p>
            <w:pPr>
              <w:spacing w:after="0"/>
              <w:rPr>
                <w:sz w:val="7"/>
                <w:szCs w:val="7"/>
                <w:color w:val="auto"/>
              </w:rPr>
            </w:pPr>
          </w:p>
        </w:tc>
        <w:tc>
          <w:tcPr>
            <w:tcW w:w="640" w:type="dxa"/>
            <w:vAlign w:val="bottom"/>
            <w:shd w:val="clear" w:color="auto" w:fill="CCEBF8"/>
          </w:tcPr>
          <w:p>
            <w:pPr>
              <w:spacing w:after="0"/>
              <w:rPr>
                <w:sz w:val="7"/>
                <w:szCs w:val="7"/>
                <w:color w:val="auto"/>
              </w:rPr>
            </w:pPr>
          </w:p>
        </w:tc>
        <w:tc>
          <w:tcPr>
            <w:tcW w:w="660" w:type="dxa"/>
            <w:vAlign w:val="bottom"/>
            <w:shd w:val="clear" w:color="auto" w:fill="CCEBF8"/>
          </w:tcPr>
          <w:p>
            <w:pPr>
              <w:spacing w:after="0"/>
              <w:rPr>
                <w:sz w:val="7"/>
                <w:szCs w:val="7"/>
                <w:color w:val="auto"/>
              </w:rPr>
            </w:pPr>
          </w:p>
        </w:tc>
        <w:tc>
          <w:tcPr>
            <w:tcW w:w="600" w:type="dxa"/>
            <w:vAlign w:val="bottom"/>
            <w:shd w:val="clear" w:color="auto" w:fill="CCEBF8"/>
          </w:tcPr>
          <w:p>
            <w:pPr>
              <w:spacing w:after="0"/>
              <w:rPr>
                <w:sz w:val="7"/>
                <w:szCs w:val="7"/>
                <w:color w:val="auto"/>
              </w:rPr>
            </w:pPr>
          </w:p>
        </w:tc>
        <w:tc>
          <w:tcPr>
            <w:tcW w:w="44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Number</w:t>
            </w:r>
          </w:p>
        </w:tc>
        <w:tc>
          <w:tcPr>
            <w:tcW w:w="580" w:type="dxa"/>
            <w:vAlign w:val="bottom"/>
            <w:shd w:val="clear" w:color="auto" w:fill="CCEBF8"/>
          </w:tcPr>
          <w:p>
            <w:pPr>
              <w:jc w:val="center"/>
              <w:ind w:right="18"/>
              <w:spacing w:after="0" w:line="90" w:lineRule="exact"/>
              <w:rPr>
                <w:sz w:val="20"/>
                <w:szCs w:val="20"/>
                <w:color w:val="auto"/>
              </w:rPr>
            </w:pPr>
            <w:r>
              <w:rPr>
                <w:rFonts w:ascii="Arial" w:cs="Arial" w:eastAsia="Arial" w:hAnsi="Arial"/>
                <w:sz w:val="8"/>
                <w:szCs w:val="8"/>
                <w:b w:val="1"/>
                <w:bCs w:val="1"/>
                <w:color w:val="009BDE"/>
              </w:rPr>
              <w:t>Option</w:t>
            </w:r>
          </w:p>
        </w:tc>
        <w:tc>
          <w:tcPr>
            <w:tcW w:w="56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380" w:type="dxa"/>
            <w:vAlign w:val="bottom"/>
            <w:shd w:val="clear" w:color="auto" w:fill="CCEBF8"/>
          </w:tcPr>
          <w:p>
            <w:pPr>
              <w:jc w:val="center"/>
              <w:ind w:right="38"/>
              <w:spacing w:after="0" w:line="90" w:lineRule="exact"/>
              <w:rPr>
                <w:sz w:val="20"/>
                <w:szCs w:val="20"/>
                <w:color w:val="auto"/>
              </w:rPr>
            </w:pPr>
            <w:r>
              <w:rPr>
                <w:rFonts w:ascii="Arial" w:cs="Arial" w:eastAsia="Arial" w:hAnsi="Arial"/>
                <w:sz w:val="8"/>
                <w:szCs w:val="8"/>
                <w:b w:val="1"/>
                <w:bCs w:val="1"/>
                <w:color w:val="009BDE"/>
              </w:rPr>
              <w:t>Grant</w:t>
            </w:r>
          </w:p>
        </w:tc>
      </w:tr>
      <w:tr>
        <w:trPr>
          <w:trHeight w:val="90"/>
        </w:trPr>
        <w:tc>
          <w:tcPr>
            <w:tcW w:w="860" w:type="dxa"/>
            <w:vAlign w:val="bottom"/>
            <w:shd w:val="clear" w:color="auto" w:fill="CCEBF8"/>
          </w:tcPr>
          <w:p>
            <w:pPr>
              <w:spacing w:after="0"/>
              <w:rPr>
                <w:sz w:val="7"/>
                <w:szCs w:val="7"/>
                <w:color w:val="auto"/>
              </w:rPr>
            </w:pPr>
          </w:p>
        </w:tc>
        <w:tc>
          <w:tcPr>
            <w:tcW w:w="600" w:type="dxa"/>
            <w:vAlign w:val="bottom"/>
            <w:shd w:val="clear" w:color="auto" w:fill="CCEBF8"/>
          </w:tcPr>
          <w:p>
            <w:pPr>
              <w:spacing w:after="0"/>
              <w:rPr>
                <w:sz w:val="7"/>
                <w:szCs w:val="7"/>
                <w:color w:val="auto"/>
              </w:rPr>
            </w:pPr>
          </w:p>
        </w:tc>
        <w:tc>
          <w:tcPr>
            <w:tcW w:w="680" w:type="dxa"/>
            <w:vAlign w:val="bottom"/>
            <w:shd w:val="clear" w:color="auto" w:fill="CCEBF8"/>
          </w:tcPr>
          <w:p>
            <w:pPr>
              <w:spacing w:after="0"/>
              <w:rPr>
                <w:sz w:val="7"/>
                <w:szCs w:val="7"/>
                <w:color w:val="auto"/>
              </w:rPr>
            </w:pPr>
          </w:p>
        </w:tc>
        <w:tc>
          <w:tcPr>
            <w:tcW w:w="560" w:type="dxa"/>
            <w:vAlign w:val="bottom"/>
            <w:shd w:val="clear" w:color="auto" w:fill="CCEBF8"/>
          </w:tcPr>
          <w:p>
            <w:pPr>
              <w:spacing w:after="0"/>
              <w:rPr>
                <w:sz w:val="7"/>
                <w:szCs w:val="7"/>
                <w:color w:val="auto"/>
              </w:rPr>
            </w:pPr>
          </w:p>
        </w:tc>
        <w:tc>
          <w:tcPr>
            <w:tcW w:w="620" w:type="dxa"/>
            <w:vAlign w:val="bottom"/>
            <w:shd w:val="clear" w:color="auto" w:fill="CCEBF8"/>
          </w:tcPr>
          <w:p>
            <w:pPr>
              <w:spacing w:after="0"/>
              <w:rPr>
                <w:sz w:val="7"/>
                <w:szCs w:val="7"/>
                <w:color w:val="auto"/>
              </w:rPr>
            </w:pPr>
          </w:p>
        </w:tc>
        <w:tc>
          <w:tcPr>
            <w:tcW w:w="640" w:type="dxa"/>
            <w:vAlign w:val="bottom"/>
            <w:shd w:val="clear" w:color="auto" w:fill="CCEBF8"/>
          </w:tcPr>
          <w:p>
            <w:pPr>
              <w:spacing w:after="0"/>
              <w:rPr>
                <w:sz w:val="7"/>
                <w:szCs w:val="7"/>
                <w:color w:val="auto"/>
              </w:rPr>
            </w:pPr>
          </w:p>
        </w:tc>
        <w:tc>
          <w:tcPr>
            <w:tcW w:w="660" w:type="dxa"/>
            <w:vAlign w:val="bottom"/>
            <w:shd w:val="clear" w:color="auto" w:fill="CCEBF8"/>
          </w:tcPr>
          <w:p>
            <w:pPr>
              <w:spacing w:after="0"/>
              <w:rPr>
                <w:sz w:val="7"/>
                <w:szCs w:val="7"/>
                <w:color w:val="auto"/>
              </w:rPr>
            </w:pPr>
          </w:p>
        </w:tc>
        <w:tc>
          <w:tcPr>
            <w:tcW w:w="600" w:type="dxa"/>
            <w:vAlign w:val="bottom"/>
            <w:shd w:val="clear" w:color="auto" w:fill="CCEBF8"/>
          </w:tcPr>
          <w:p>
            <w:pPr>
              <w:spacing w:after="0"/>
              <w:rPr>
                <w:sz w:val="7"/>
                <w:szCs w:val="7"/>
                <w:color w:val="auto"/>
              </w:rPr>
            </w:pPr>
          </w:p>
        </w:tc>
        <w:tc>
          <w:tcPr>
            <w:tcW w:w="44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of</w:t>
            </w:r>
          </w:p>
        </w:tc>
        <w:tc>
          <w:tcPr>
            <w:tcW w:w="580" w:type="dxa"/>
            <w:vAlign w:val="bottom"/>
            <w:shd w:val="clear" w:color="auto" w:fill="CCEBF8"/>
          </w:tcPr>
          <w:p>
            <w:pPr>
              <w:jc w:val="center"/>
              <w:ind w:right="18"/>
              <w:spacing w:after="0" w:line="90" w:lineRule="exact"/>
              <w:rPr>
                <w:sz w:val="20"/>
                <w:szCs w:val="20"/>
                <w:color w:val="auto"/>
              </w:rPr>
            </w:pPr>
            <w:r>
              <w:rPr>
                <w:rFonts w:ascii="Arial" w:cs="Arial" w:eastAsia="Arial" w:hAnsi="Arial"/>
                <w:sz w:val="8"/>
                <w:szCs w:val="8"/>
                <w:b w:val="1"/>
                <w:bCs w:val="1"/>
                <w:color w:val="009BDE"/>
              </w:rPr>
              <w:t>Awards:</w:t>
            </w:r>
          </w:p>
        </w:tc>
        <w:tc>
          <w:tcPr>
            <w:tcW w:w="5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Exercise</w:t>
            </w:r>
          </w:p>
        </w:tc>
        <w:tc>
          <w:tcPr>
            <w:tcW w:w="540" w:type="dxa"/>
            <w:vAlign w:val="bottom"/>
            <w:gridSpan w:val="2"/>
            <w:shd w:val="clear" w:color="auto" w:fill="CCEBF8"/>
          </w:tcPr>
          <w:p>
            <w:pPr>
              <w:jc w:val="center"/>
              <w:ind w:left="18"/>
              <w:spacing w:after="0" w:line="90" w:lineRule="exact"/>
              <w:rPr>
                <w:sz w:val="20"/>
                <w:szCs w:val="20"/>
                <w:color w:val="auto"/>
              </w:rPr>
            </w:pPr>
            <w:r>
              <w:rPr>
                <w:rFonts w:ascii="Arial" w:cs="Arial" w:eastAsia="Arial" w:hAnsi="Arial"/>
                <w:sz w:val="8"/>
                <w:szCs w:val="8"/>
                <w:b w:val="1"/>
                <w:bCs w:val="1"/>
                <w:color w:val="009BDE"/>
              </w:rPr>
              <w:t>Date Fair</w:t>
            </w:r>
          </w:p>
        </w:tc>
      </w:tr>
      <w:tr>
        <w:trPr>
          <w:trHeight w:val="90"/>
        </w:trPr>
        <w:tc>
          <w:tcPr>
            <w:tcW w:w="860" w:type="dxa"/>
            <w:vAlign w:val="bottom"/>
            <w:shd w:val="clear" w:color="auto" w:fill="CCEBF8"/>
          </w:tcPr>
          <w:p>
            <w:pPr>
              <w:spacing w:after="0"/>
              <w:rPr>
                <w:sz w:val="7"/>
                <w:szCs w:val="7"/>
                <w:color w:val="auto"/>
              </w:rPr>
            </w:pPr>
          </w:p>
        </w:tc>
        <w:tc>
          <w:tcPr>
            <w:tcW w:w="600" w:type="dxa"/>
            <w:vAlign w:val="bottom"/>
            <w:shd w:val="clear" w:color="auto" w:fill="CCEBF8"/>
          </w:tcPr>
          <w:p>
            <w:pPr>
              <w:spacing w:after="0"/>
              <w:rPr>
                <w:sz w:val="7"/>
                <w:szCs w:val="7"/>
                <w:color w:val="auto"/>
              </w:rPr>
            </w:pPr>
          </w:p>
        </w:tc>
        <w:tc>
          <w:tcPr>
            <w:tcW w:w="1860" w:type="dxa"/>
            <w:vAlign w:val="bottom"/>
            <w:gridSpan w:val="3"/>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Estimated Future Payouts Under</w:t>
            </w:r>
          </w:p>
        </w:tc>
        <w:tc>
          <w:tcPr>
            <w:tcW w:w="1900" w:type="dxa"/>
            <w:vAlign w:val="bottom"/>
            <w:gridSpan w:val="3"/>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Estimated Future Payouts</w:t>
            </w:r>
          </w:p>
        </w:tc>
        <w:tc>
          <w:tcPr>
            <w:tcW w:w="44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Shares</w:t>
            </w:r>
          </w:p>
        </w:tc>
        <w:tc>
          <w:tcPr>
            <w:tcW w:w="580" w:type="dxa"/>
            <w:vAlign w:val="bottom"/>
            <w:shd w:val="clear" w:color="auto" w:fill="CCEBF8"/>
          </w:tcPr>
          <w:p>
            <w:pPr>
              <w:jc w:val="center"/>
              <w:ind w:right="38"/>
              <w:spacing w:after="0" w:line="90" w:lineRule="exact"/>
              <w:rPr>
                <w:sz w:val="20"/>
                <w:szCs w:val="20"/>
                <w:color w:val="auto"/>
              </w:rPr>
            </w:pPr>
            <w:r>
              <w:rPr>
                <w:rFonts w:ascii="Arial" w:cs="Arial" w:eastAsia="Arial" w:hAnsi="Arial"/>
                <w:sz w:val="8"/>
                <w:szCs w:val="8"/>
                <w:b w:val="1"/>
                <w:bCs w:val="1"/>
                <w:color w:val="009BDE"/>
              </w:rPr>
              <w:t>Number of</w:t>
            </w:r>
          </w:p>
        </w:tc>
        <w:tc>
          <w:tcPr>
            <w:tcW w:w="5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or Base</w:t>
            </w:r>
          </w:p>
        </w:tc>
        <w:tc>
          <w:tcPr>
            <w:tcW w:w="540" w:type="dxa"/>
            <w:vAlign w:val="bottom"/>
            <w:gridSpan w:val="2"/>
            <w:shd w:val="clear" w:color="auto" w:fill="CCEBF8"/>
          </w:tcPr>
          <w:p>
            <w:pPr>
              <w:jc w:val="center"/>
              <w:ind w:left="18"/>
              <w:spacing w:after="0" w:line="90" w:lineRule="exact"/>
              <w:rPr>
                <w:sz w:val="20"/>
                <w:szCs w:val="20"/>
                <w:color w:val="auto"/>
              </w:rPr>
            </w:pPr>
            <w:r>
              <w:rPr>
                <w:rFonts w:ascii="Arial" w:cs="Arial" w:eastAsia="Arial" w:hAnsi="Arial"/>
                <w:sz w:val="8"/>
                <w:szCs w:val="8"/>
                <w:b w:val="1"/>
                <w:bCs w:val="1"/>
                <w:color w:val="009BDE"/>
              </w:rPr>
              <w:t>Value of</w:t>
            </w:r>
          </w:p>
        </w:tc>
      </w:tr>
      <w:tr>
        <w:trPr>
          <w:trHeight w:val="90"/>
        </w:trPr>
        <w:tc>
          <w:tcPr>
            <w:tcW w:w="860" w:type="dxa"/>
            <w:vAlign w:val="bottom"/>
            <w:shd w:val="clear" w:color="auto" w:fill="CCEBF8"/>
          </w:tcPr>
          <w:p>
            <w:pPr>
              <w:spacing w:after="0"/>
              <w:rPr>
                <w:sz w:val="7"/>
                <w:szCs w:val="7"/>
                <w:color w:val="auto"/>
              </w:rPr>
            </w:pPr>
          </w:p>
        </w:tc>
        <w:tc>
          <w:tcPr>
            <w:tcW w:w="600" w:type="dxa"/>
            <w:vAlign w:val="bottom"/>
            <w:shd w:val="clear" w:color="auto" w:fill="CCEBF8"/>
          </w:tcPr>
          <w:p>
            <w:pPr>
              <w:spacing w:after="0"/>
              <w:rPr>
                <w:sz w:val="7"/>
                <w:szCs w:val="7"/>
                <w:color w:val="auto"/>
              </w:rPr>
            </w:pPr>
          </w:p>
        </w:tc>
        <w:tc>
          <w:tcPr>
            <w:tcW w:w="680" w:type="dxa"/>
            <w:vAlign w:val="bottom"/>
            <w:shd w:val="clear" w:color="auto" w:fill="CCEBF8"/>
          </w:tcPr>
          <w:p>
            <w:pPr>
              <w:spacing w:after="0"/>
              <w:rPr>
                <w:sz w:val="7"/>
                <w:szCs w:val="7"/>
                <w:color w:val="auto"/>
              </w:rPr>
            </w:pPr>
          </w:p>
        </w:tc>
        <w:tc>
          <w:tcPr>
            <w:tcW w:w="5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Non-Equity</w:t>
            </w:r>
          </w:p>
        </w:tc>
        <w:tc>
          <w:tcPr>
            <w:tcW w:w="620" w:type="dxa"/>
            <w:vAlign w:val="bottom"/>
            <w:shd w:val="clear" w:color="auto" w:fill="CCEBF8"/>
          </w:tcPr>
          <w:p>
            <w:pPr>
              <w:spacing w:after="0"/>
              <w:rPr>
                <w:sz w:val="7"/>
                <w:szCs w:val="7"/>
                <w:color w:val="auto"/>
              </w:rPr>
            </w:pPr>
          </w:p>
        </w:tc>
        <w:tc>
          <w:tcPr>
            <w:tcW w:w="640" w:type="dxa"/>
            <w:vAlign w:val="bottom"/>
            <w:shd w:val="clear" w:color="auto" w:fill="CCEBF8"/>
          </w:tcPr>
          <w:p>
            <w:pPr>
              <w:spacing w:after="0"/>
              <w:rPr>
                <w:sz w:val="7"/>
                <w:szCs w:val="7"/>
                <w:color w:val="auto"/>
              </w:rPr>
            </w:pPr>
          </w:p>
        </w:tc>
        <w:tc>
          <w:tcPr>
            <w:tcW w:w="6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Under Equity</w:t>
            </w:r>
          </w:p>
        </w:tc>
        <w:tc>
          <w:tcPr>
            <w:tcW w:w="600" w:type="dxa"/>
            <w:vAlign w:val="bottom"/>
            <w:shd w:val="clear" w:color="auto" w:fill="CCEBF8"/>
          </w:tcPr>
          <w:p>
            <w:pPr>
              <w:spacing w:after="0"/>
              <w:rPr>
                <w:sz w:val="7"/>
                <w:szCs w:val="7"/>
                <w:color w:val="auto"/>
              </w:rPr>
            </w:pPr>
          </w:p>
        </w:tc>
        <w:tc>
          <w:tcPr>
            <w:tcW w:w="44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of</w:t>
            </w:r>
          </w:p>
        </w:tc>
        <w:tc>
          <w:tcPr>
            <w:tcW w:w="580" w:type="dxa"/>
            <w:vAlign w:val="bottom"/>
            <w:shd w:val="clear" w:color="auto" w:fill="CCEBF8"/>
          </w:tcPr>
          <w:p>
            <w:pPr>
              <w:jc w:val="center"/>
              <w:ind w:right="18"/>
              <w:spacing w:after="0" w:line="90" w:lineRule="exact"/>
              <w:rPr>
                <w:sz w:val="20"/>
                <w:szCs w:val="20"/>
                <w:color w:val="auto"/>
              </w:rPr>
            </w:pPr>
            <w:r>
              <w:rPr>
                <w:rFonts w:ascii="Arial" w:cs="Arial" w:eastAsia="Arial" w:hAnsi="Arial"/>
                <w:sz w:val="8"/>
                <w:szCs w:val="8"/>
                <w:b w:val="1"/>
                <w:bCs w:val="1"/>
                <w:color w:val="009BDE"/>
              </w:rPr>
              <w:t>Securities</w:t>
            </w:r>
          </w:p>
        </w:tc>
        <w:tc>
          <w:tcPr>
            <w:tcW w:w="5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Price of</w:t>
            </w:r>
          </w:p>
        </w:tc>
        <w:tc>
          <w:tcPr>
            <w:tcW w:w="540" w:type="dxa"/>
            <w:vAlign w:val="bottom"/>
            <w:gridSpan w:val="2"/>
            <w:shd w:val="clear" w:color="auto" w:fill="CCEBF8"/>
          </w:tcPr>
          <w:p>
            <w:pPr>
              <w:jc w:val="center"/>
              <w:ind w:left="18"/>
              <w:spacing w:after="0" w:line="90" w:lineRule="exact"/>
              <w:rPr>
                <w:sz w:val="20"/>
                <w:szCs w:val="20"/>
                <w:color w:val="auto"/>
              </w:rPr>
            </w:pPr>
            <w:r>
              <w:rPr>
                <w:rFonts w:ascii="Arial" w:cs="Arial" w:eastAsia="Arial" w:hAnsi="Arial"/>
                <w:sz w:val="8"/>
                <w:szCs w:val="8"/>
                <w:b w:val="1"/>
                <w:bCs w:val="1"/>
                <w:color w:val="009BDE"/>
              </w:rPr>
              <w:t>Stock and</w:t>
            </w:r>
          </w:p>
        </w:tc>
      </w:tr>
      <w:tr>
        <w:trPr>
          <w:trHeight w:val="90"/>
        </w:trPr>
        <w:tc>
          <w:tcPr>
            <w:tcW w:w="860" w:type="dxa"/>
            <w:vAlign w:val="bottom"/>
            <w:shd w:val="clear" w:color="auto" w:fill="CCEBF8"/>
          </w:tcPr>
          <w:p>
            <w:pPr>
              <w:spacing w:after="0"/>
              <w:rPr>
                <w:sz w:val="7"/>
                <w:szCs w:val="7"/>
                <w:color w:val="auto"/>
              </w:rPr>
            </w:pPr>
          </w:p>
        </w:tc>
        <w:tc>
          <w:tcPr>
            <w:tcW w:w="600" w:type="dxa"/>
            <w:vAlign w:val="bottom"/>
            <w:shd w:val="clear" w:color="auto" w:fill="CCEBF8"/>
          </w:tcPr>
          <w:p>
            <w:pPr>
              <w:spacing w:after="0"/>
              <w:rPr>
                <w:sz w:val="7"/>
                <w:szCs w:val="7"/>
                <w:color w:val="auto"/>
              </w:rPr>
            </w:pPr>
          </w:p>
        </w:tc>
        <w:tc>
          <w:tcPr>
            <w:tcW w:w="1860" w:type="dxa"/>
            <w:vAlign w:val="bottom"/>
            <w:gridSpan w:val="3"/>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Incentive Plan Awards</w:t>
            </w:r>
          </w:p>
        </w:tc>
        <w:tc>
          <w:tcPr>
            <w:tcW w:w="1900" w:type="dxa"/>
            <w:vAlign w:val="bottom"/>
            <w:gridSpan w:val="3"/>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Incentive Plan Awards</w:t>
            </w:r>
          </w:p>
        </w:tc>
        <w:tc>
          <w:tcPr>
            <w:tcW w:w="44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Stock</w:t>
            </w:r>
          </w:p>
        </w:tc>
        <w:tc>
          <w:tcPr>
            <w:tcW w:w="580" w:type="dxa"/>
            <w:vAlign w:val="bottom"/>
            <w:shd w:val="clear" w:color="auto" w:fill="CCEBF8"/>
          </w:tcPr>
          <w:p>
            <w:pPr>
              <w:jc w:val="center"/>
              <w:ind w:right="18"/>
              <w:spacing w:after="0" w:line="90" w:lineRule="exact"/>
              <w:rPr>
                <w:sz w:val="20"/>
                <w:szCs w:val="20"/>
                <w:color w:val="auto"/>
              </w:rPr>
            </w:pPr>
            <w:r>
              <w:rPr>
                <w:rFonts w:ascii="Arial" w:cs="Arial" w:eastAsia="Arial" w:hAnsi="Arial"/>
                <w:sz w:val="8"/>
                <w:szCs w:val="8"/>
                <w:b w:val="1"/>
                <w:bCs w:val="1"/>
                <w:color w:val="009BDE"/>
              </w:rPr>
              <w:t>Underlying</w:t>
            </w:r>
          </w:p>
        </w:tc>
        <w:tc>
          <w:tcPr>
            <w:tcW w:w="5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Option</w:t>
            </w:r>
          </w:p>
        </w:tc>
        <w:tc>
          <w:tcPr>
            <w:tcW w:w="160" w:type="dxa"/>
            <w:vAlign w:val="bottom"/>
            <w:shd w:val="clear" w:color="auto" w:fill="CCEBF8"/>
          </w:tcPr>
          <w:p>
            <w:pPr>
              <w:spacing w:after="0"/>
              <w:rPr>
                <w:sz w:val="7"/>
                <w:szCs w:val="7"/>
                <w:color w:val="auto"/>
              </w:rPr>
            </w:pPr>
          </w:p>
        </w:tc>
        <w:tc>
          <w:tcPr>
            <w:tcW w:w="380" w:type="dxa"/>
            <w:vAlign w:val="bottom"/>
            <w:shd w:val="clear" w:color="auto" w:fill="CCEBF8"/>
          </w:tcPr>
          <w:p>
            <w:pPr>
              <w:jc w:val="center"/>
              <w:ind w:right="38"/>
              <w:spacing w:after="0" w:line="90" w:lineRule="exact"/>
              <w:rPr>
                <w:sz w:val="20"/>
                <w:szCs w:val="20"/>
                <w:color w:val="auto"/>
              </w:rPr>
            </w:pPr>
            <w:r>
              <w:rPr>
                <w:rFonts w:ascii="Arial" w:cs="Arial" w:eastAsia="Arial" w:hAnsi="Arial"/>
                <w:sz w:val="8"/>
                <w:szCs w:val="8"/>
                <w:b w:val="1"/>
                <w:bCs w:val="1"/>
                <w:color w:val="009BDE"/>
              </w:rPr>
              <w:t>Option</w:t>
            </w:r>
          </w:p>
        </w:tc>
      </w:tr>
      <w:tr>
        <w:trPr>
          <w:trHeight w:val="104"/>
        </w:trPr>
        <w:tc>
          <w:tcPr>
            <w:tcW w:w="860" w:type="dxa"/>
            <w:vAlign w:val="bottom"/>
            <w:shd w:val="clear" w:color="auto" w:fill="CCEBF8"/>
          </w:tcPr>
          <w:p>
            <w:pPr>
              <w:spacing w:after="0"/>
              <w:rPr>
                <w:sz w:val="9"/>
                <w:szCs w:val="9"/>
                <w:color w:val="auto"/>
              </w:rPr>
            </w:pPr>
          </w:p>
        </w:tc>
        <w:tc>
          <w:tcPr>
            <w:tcW w:w="600" w:type="dxa"/>
            <w:vAlign w:val="bottom"/>
            <w:shd w:val="clear" w:color="auto" w:fill="CCEBF8"/>
          </w:tcPr>
          <w:p>
            <w:pPr>
              <w:jc w:val="right"/>
              <w:ind w:right="98"/>
              <w:spacing w:after="0"/>
              <w:rPr>
                <w:sz w:val="20"/>
                <w:szCs w:val="20"/>
                <w:color w:val="auto"/>
              </w:rPr>
            </w:pPr>
            <w:r>
              <w:rPr>
                <w:rFonts w:ascii="Arial" w:cs="Arial" w:eastAsia="Arial" w:hAnsi="Arial"/>
                <w:sz w:val="8"/>
                <w:szCs w:val="8"/>
                <w:b w:val="1"/>
                <w:bCs w:val="1"/>
                <w:color w:val="009BDE"/>
              </w:rPr>
              <w:t>Grant</w:t>
            </w:r>
          </w:p>
        </w:tc>
        <w:tc>
          <w:tcPr>
            <w:tcW w:w="680" w:type="dxa"/>
            <w:vAlign w:val="bottom"/>
            <w:shd w:val="clear" w:color="auto" w:fill="CCEBF8"/>
          </w:tcPr>
          <w:p>
            <w:pPr>
              <w:jc w:val="right"/>
              <w:ind w:right="138"/>
              <w:spacing w:after="0"/>
              <w:rPr>
                <w:sz w:val="20"/>
                <w:szCs w:val="20"/>
                <w:color w:val="auto"/>
              </w:rPr>
            </w:pPr>
            <w:r>
              <w:rPr>
                <w:rFonts w:ascii="Arial" w:cs="Arial" w:eastAsia="Arial" w:hAnsi="Arial"/>
                <w:sz w:val="8"/>
                <w:szCs w:val="8"/>
                <w:b w:val="1"/>
                <w:bCs w:val="1"/>
                <w:color w:val="009BDE"/>
              </w:rPr>
              <w:t>Threshold</w:t>
            </w:r>
          </w:p>
        </w:tc>
        <w:tc>
          <w:tcPr>
            <w:tcW w:w="560" w:type="dxa"/>
            <w:vAlign w:val="bottom"/>
            <w:shd w:val="clear" w:color="auto" w:fill="CCEBF8"/>
          </w:tcPr>
          <w:p>
            <w:pPr>
              <w:jc w:val="right"/>
              <w:ind w:right="238"/>
              <w:spacing w:after="0"/>
              <w:rPr>
                <w:sz w:val="20"/>
                <w:szCs w:val="20"/>
                <w:color w:val="auto"/>
              </w:rPr>
            </w:pPr>
            <w:r>
              <w:rPr>
                <w:rFonts w:ascii="Arial" w:cs="Arial" w:eastAsia="Arial" w:hAnsi="Arial"/>
                <w:sz w:val="8"/>
                <w:szCs w:val="8"/>
                <w:b w:val="1"/>
                <w:bCs w:val="1"/>
                <w:color w:val="009BDE"/>
              </w:rPr>
              <w:t>Target</w:t>
            </w:r>
          </w:p>
        </w:tc>
        <w:tc>
          <w:tcPr>
            <w:tcW w:w="620" w:type="dxa"/>
            <w:vAlign w:val="bottom"/>
            <w:shd w:val="clear" w:color="auto" w:fill="CCEBF8"/>
          </w:tcPr>
          <w:p>
            <w:pPr>
              <w:jc w:val="right"/>
              <w:ind w:right="138"/>
              <w:spacing w:after="0"/>
              <w:rPr>
                <w:sz w:val="20"/>
                <w:szCs w:val="20"/>
                <w:color w:val="auto"/>
              </w:rPr>
            </w:pPr>
            <w:r>
              <w:rPr>
                <w:rFonts w:ascii="Arial" w:cs="Arial" w:eastAsia="Arial" w:hAnsi="Arial"/>
                <w:sz w:val="8"/>
                <w:szCs w:val="8"/>
                <w:b w:val="1"/>
                <w:bCs w:val="1"/>
                <w:color w:val="009BDE"/>
              </w:rPr>
              <w:t>Maximum</w:t>
            </w:r>
          </w:p>
        </w:tc>
        <w:tc>
          <w:tcPr>
            <w:tcW w:w="640" w:type="dxa"/>
            <w:vAlign w:val="bottom"/>
            <w:shd w:val="clear" w:color="auto" w:fill="CCEBF8"/>
          </w:tcPr>
          <w:p>
            <w:pPr>
              <w:jc w:val="right"/>
              <w:ind w:right="18"/>
              <w:spacing w:after="0"/>
              <w:rPr>
                <w:sz w:val="20"/>
                <w:szCs w:val="20"/>
                <w:color w:val="auto"/>
              </w:rPr>
            </w:pPr>
            <w:r>
              <w:rPr>
                <w:rFonts w:ascii="Arial" w:cs="Arial" w:eastAsia="Arial" w:hAnsi="Arial"/>
                <w:sz w:val="8"/>
                <w:szCs w:val="8"/>
                <w:b w:val="1"/>
                <w:bCs w:val="1"/>
                <w:color w:val="009BDE"/>
              </w:rPr>
              <w:t>Threshold</w:t>
            </w:r>
          </w:p>
        </w:tc>
        <w:tc>
          <w:tcPr>
            <w:tcW w:w="660" w:type="dxa"/>
            <w:vAlign w:val="bottom"/>
            <w:shd w:val="clear" w:color="auto" w:fill="CCEBF8"/>
          </w:tcPr>
          <w:p>
            <w:pPr>
              <w:jc w:val="center"/>
              <w:spacing w:after="0"/>
              <w:rPr>
                <w:sz w:val="20"/>
                <w:szCs w:val="20"/>
                <w:color w:val="auto"/>
              </w:rPr>
            </w:pPr>
            <w:r>
              <w:rPr>
                <w:rFonts w:ascii="Arial" w:cs="Arial" w:eastAsia="Arial" w:hAnsi="Arial"/>
                <w:sz w:val="8"/>
                <w:szCs w:val="8"/>
                <w:b w:val="1"/>
                <w:bCs w:val="1"/>
                <w:color w:val="009BDE"/>
              </w:rPr>
              <w:t>Target</w:t>
            </w:r>
          </w:p>
        </w:tc>
        <w:tc>
          <w:tcPr>
            <w:tcW w:w="600" w:type="dxa"/>
            <w:vAlign w:val="bottom"/>
            <w:shd w:val="clear" w:color="auto" w:fill="CCEBF8"/>
          </w:tcPr>
          <w:p>
            <w:pPr>
              <w:jc w:val="right"/>
              <w:ind w:right="118"/>
              <w:spacing w:after="0"/>
              <w:rPr>
                <w:sz w:val="20"/>
                <w:szCs w:val="20"/>
                <w:color w:val="auto"/>
              </w:rPr>
            </w:pPr>
            <w:r>
              <w:rPr>
                <w:rFonts w:ascii="Arial" w:cs="Arial" w:eastAsia="Arial" w:hAnsi="Arial"/>
                <w:sz w:val="8"/>
                <w:szCs w:val="8"/>
                <w:b w:val="1"/>
                <w:bCs w:val="1"/>
                <w:color w:val="009BDE"/>
              </w:rPr>
              <w:t>Maximum</w:t>
            </w:r>
          </w:p>
        </w:tc>
        <w:tc>
          <w:tcPr>
            <w:tcW w:w="440" w:type="dxa"/>
            <w:vAlign w:val="bottom"/>
            <w:shd w:val="clear" w:color="auto" w:fill="CCEBF8"/>
          </w:tcPr>
          <w:p>
            <w:pPr>
              <w:jc w:val="center"/>
              <w:spacing w:after="0"/>
              <w:rPr>
                <w:sz w:val="20"/>
                <w:szCs w:val="20"/>
                <w:color w:val="auto"/>
              </w:rPr>
            </w:pPr>
            <w:r>
              <w:rPr>
                <w:rFonts w:ascii="Arial" w:cs="Arial" w:eastAsia="Arial" w:hAnsi="Arial"/>
                <w:sz w:val="8"/>
                <w:szCs w:val="8"/>
                <w:b w:val="1"/>
                <w:bCs w:val="1"/>
                <w:color w:val="009BDE"/>
              </w:rPr>
              <w:t>or Units</w:t>
            </w:r>
          </w:p>
        </w:tc>
        <w:tc>
          <w:tcPr>
            <w:tcW w:w="580" w:type="dxa"/>
            <w:vAlign w:val="bottom"/>
            <w:shd w:val="clear" w:color="auto" w:fill="CCEBF8"/>
          </w:tcPr>
          <w:p>
            <w:pPr>
              <w:jc w:val="center"/>
              <w:ind w:right="18"/>
              <w:spacing w:after="0"/>
              <w:rPr>
                <w:sz w:val="20"/>
                <w:szCs w:val="20"/>
                <w:color w:val="auto"/>
              </w:rPr>
            </w:pPr>
            <w:r>
              <w:rPr>
                <w:rFonts w:ascii="Arial" w:cs="Arial" w:eastAsia="Arial" w:hAnsi="Arial"/>
                <w:sz w:val="8"/>
                <w:szCs w:val="8"/>
                <w:b w:val="1"/>
                <w:bCs w:val="1"/>
                <w:color w:val="009BDE"/>
              </w:rPr>
              <w:t>Options</w:t>
            </w:r>
          </w:p>
        </w:tc>
        <w:tc>
          <w:tcPr>
            <w:tcW w:w="560" w:type="dxa"/>
            <w:vAlign w:val="bottom"/>
            <w:shd w:val="clear" w:color="auto" w:fill="CCEBF8"/>
          </w:tcPr>
          <w:p>
            <w:pPr>
              <w:jc w:val="center"/>
              <w:spacing w:after="0"/>
              <w:rPr>
                <w:sz w:val="20"/>
                <w:szCs w:val="20"/>
                <w:color w:val="auto"/>
              </w:rPr>
            </w:pPr>
            <w:r>
              <w:rPr>
                <w:rFonts w:ascii="Arial" w:cs="Arial" w:eastAsia="Arial" w:hAnsi="Arial"/>
                <w:sz w:val="8"/>
                <w:szCs w:val="8"/>
                <w:b w:val="1"/>
                <w:bCs w:val="1"/>
                <w:color w:val="009BDE"/>
              </w:rPr>
              <w:t>Awards</w:t>
            </w:r>
          </w:p>
        </w:tc>
        <w:tc>
          <w:tcPr>
            <w:tcW w:w="160" w:type="dxa"/>
            <w:vAlign w:val="bottom"/>
            <w:shd w:val="clear" w:color="auto" w:fill="CCEBF8"/>
          </w:tcPr>
          <w:p>
            <w:pPr>
              <w:spacing w:after="0"/>
              <w:rPr>
                <w:sz w:val="9"/>
                <w:szCs w:val="9"/>
                <w:color w:val="auto"/>
              </w:rPr>
            </w:pPr>
          </w:p>
        </w:tc>
        <w:tc>
          <w:tcPr>
            <w:tcW w:w="380" w:type="dxa"/>
            <w:vAlign w:val="bottom"/>
            <w:shd w:val="clear" w:color="auto" w:fill="CCEBF8"/>
          </w:tcPr>
          <w:p>
            <w:pPr>
              <w:jc w:val="center"/>
              <w:ind w:right="38"/>
              <w:spacing w:after="0"/>
              <w:rPr>
                <w:sz w:val="20"/>
                <w:szCs w:val="20"/>
                <w:color w:val="auto"/>
              </w:rPr>
            </w:pPr>
            <w:r>
              <w:rPr>
                <w:rFonts w:ascii="Arial" w:cs="Arial" w:eastAsia="Arial" w:hAnsi="Arial"/>
                <w:sz w:val="8"/>
                <w:szCs w:val="8"/>
                <w:b w:val="1"/>
                <w:bCs w:val="1"/>
                <w:color w:val="009BDE"/>
              </w:rPr>
              <w:t>Awards</w:t>
            </w:r>
          </w:p>
        </w:tc>
      </w:tr>
      <w:tr>
        <w:trPr>
          <w:trHeight w:val="158"/>
        </w:trPr>
        <w:tc>
          <w:tcPr>
            <w:tcW w:w="860" w:type="dxa"/>
            <w:vAlign w:val="bottom"/>
            <w:tcBorders>
              <w:bottom w:val="single" w:sz="8" w:color="CCEBF8"/>
            </w:tcBorders>
            <w:shd w:val="clear" w:color="auto" w:fill="CCEBF8"/>
          </w:tcPr>
          <w:p>
            <w:pPr>
              <w:ind w:left="40"/>
              <w:spacing w:after="0"/>
              <w:rPr>
                <w:sz w:val="20"/>
                <w:szCs w:val="20"/>
                <w:color w:val="auto"/>
              </w:rPr>
            </w:pPr>
            <w:r>
              <w:rPr>
                <w:rFonts w:ascii="Arial" w:cs="Arial" w:eastAsia="Arial" w:hAnsi="Arial"/>
                <w:sz w:val="8"/>
                <w:szCs w:val="8"/>
                <w:b w:val="1"/>
                <w:bCs w:val="1"/>
                <w:color w:val="009BDE"/>
              </w:rPr>
              <w:t>Name</w:t>
            </w:r>
          </w:p>
        </w:tc>
        <w:tc>
          <w:tcPr>
            <w:tcW w:w="600" w:type="dxa"/>
            <w:vAlign w:val="bottom"/>
            <w:tcBorders>
              <w:bottom w:val="single" w:sz="8" w:color="CCEBF8"/>
            </w:tcBorders>
            <w:shd w:val="clear" w:color="auto" w:fill="CCEBF8"/>
          </w:tcPr>
          <w:p>
            <w:pPr>
              <w:jc w:val="right"/>
              <w:ind w:right="138"/>
              <w:spacing w:after="0"/>
              <w:rPr>
                <w:sz w:val="20"/>
                <w:szCs w:val="20"/>
                <w:color w:val="auto"/>
              </w:rPr>
            </w:pPr>
            <w:r>
              <w:rPr>
                <w:rFonts w:ascii="Arial" w:cs="Arial" w:eastAsia="Arial" w:hAnsi="Arial"/>
                <w:sz w:val="8"/>
                <w:szCs w:val="8"/>
                <w:b w:val="1"/>
                <w:bCs w:val="1"/>
                <w:color w:val="009BDE"/>
              </w:rPr>
              <w:t>Date</w:t>
            </w:r>
          </w:p>
        </w:tc>
        <w:tc>
          <w:tcPr>
            <w:tcW w:w="680" w:type="dxa"/>
            <w:vAlign w:val="bottom"/>
            <w:tcBorders>
              <w:bottom w:val="single" w:sz="8" w:color="CCEBF8"/>
            </w:tcBorders>
            <w:shd w:val="clear" w:color="auto" w:fill="CCEBF8"/>
          </w:tcPr>
          <w:p>
            <w:pPr>
              <w:jc w:val="right"/>
              <w:ind w:right="278"/>
              <w:spacing w:after="0"/>
              <w:rPr>
                <w:sz w:val="20"/>
                <w:szCs w:val="20"/>
                <w:color w:val="auto"/>
              </w:rPr>
            </w:pPr>
            <w:r>
              <w:rPr>
                <w:rFonts w:ascii="Arial" w:cs="Arial" w:eastAsia="Arial" w:hAnsi="Arial"/>
                <w:sz w:val="8"/>
                <w:szCs w:val="8"/>
                <w:b w:val="1"/>
                <w:bCs w:val="1"/>
                <w:color w:val="009BDE"/>
              </w:rPr>
              <w:t>($)</w:t>
            </w:r>
          </w:p>
        </w:tc>
        <w:tc>
          <w:tcPr>
            <w:tcW w:w="560" w:type="dxa"/>
            <w:vAlign w:val="bottom"/>
            <w:tcBorders>
              <w:bottom w:val="single" w:sz="8" w:color="CCEBF8"/>
            </w:tcBorders>
            <w:shd w:val="clear" w:color="auto" w:fill="CCEBF8"/>
          </w:tcPr>
          <w:p>
            <w:pPr>
              <w:jc w:val="right"/>
              <w:ind w:right="318"/>
              <w:spacing w:after="0"/>
              <w:rPr>
                <w:sz w:val="20"/>
                <w:szCs w:val="20"/>
                <w:color w:val="auto"/>
              </w:rPr>
            </w:pPr>
            <w:r>
              <w:rPr>
                <w:rFonts w:ascii="Arial" w:cs="Arial" w:eastAsia="Arial" w:hAnsi="Arial"/>
                <w:sz w:val="8"/>
                <w:szCs w:val="8"/>
                <w:b w:val="1"/>
                <w:bCs w:val="1"/>
                <w:color w:val="009BDE"/>
              </w:rPr>
              <w:t>($)</w:t>
            </w:r>
          </w:p>
        </w:tc>
        <w:tc>
          <w:tcPr>
            <w:tcW w:w="620" w:type="dxa"/>
            <w:vAlign w:val="bottom"/>
            <w:tcBorders>
              <w:bottom w:val="single" w:sz="8" w:color="CCEBF8"/>
            </w:tcBorders>
            <w:shd w:val="clear" w:color="auto" w:fill="CCEBF8"/>
          </w:tcPr>
          <w:p>
            <w:pPr>
              <w:jc w:val="right"/>
              <w:ind w:right="278"/>
              <w:spacing w:after="0"/>
              <w:rPr>
                <w:sz w:val="20"/>
                <w:szCs w:val="20"/>
                <w:color w:val="auto"/>
              </w:rPr>
            </w:pPr>
            <w:r>
              <w:rPr>
                <w:rFonts w:ascii="Arial" w:cs="Arial" w:eastAsia="Arial" w:hAnsi="Arial"/>
                <w:sz w:val="8"/>
                <w:szCs w:val="8"/>
                <w:b w:val="1"/>
                <w:bCs w:val="1"/>
                <w:color w:val="009BDE"/>
              </w:rPr>
              <w:t>($)</w:t>
            </w:r>
          </w:p>
        </w:tc>
        <w:tc>
          <w:tcPr>
            <w:tcW w:w="640" w:type="dxa"/>
            <w:vAlign w:val="bottom"/>
            <w:tcBorders>
              <w:bottom w:val="single" w:sz="8" w:color="CCEBF8"/>
            </w:tcBorders>
            <w:shd w:val="clear" w:color="auto" w:fill="CCEBF8"/>
          </w:tcPr>
          <w:p>
            <w:pPr>
              <w:jc w:val="right"/>
              <w:ind w:right="158"/>
              <w:spacing w:after="0"/>
              <w:rPr>
                <w:sz w:val="20"/>
                <w:szCs w:val="20"/>
                <w:color w:val="auto"/>
              </w:rPr>
            </w:pPr>
            <w:r>
              <w:rPr>
                <w:rFonts w:ascii="Arial" w:cs="Arial" w:eastAsia="Arial" w:hAnsi="Arial"/>
                <w:sz w:val="8"/>
                <w:szCs w:val="8"/>
                <w:b w:val="1"/>
                <w:bCs w:val="1"/>
                <w:color w:val="009BDE"/>
              </w:rPr>
              <w:t>(#)</w:t>
            </w:r>
          </w:p>
        </w:tc>
        <w:tc>
          <w:tcPr>
            <w:tcW w:w="660" w:type="dxa"/>
            <w:vAlign w:val="bottom"/>
            <w:tcBorders>
              <w:bottom w:val="single" w:sz="8" w:color="CCEBF8"/>
            </w:tcBorders>
            <w:shd w:val="clear" w:color="auto" w:fill="CCEBF8"/>
          </w:tcPr>
          <w:p>
            <w:pPr>
              <w:jc w:val="center"/>
              <w:spacing w:after="0"/>
              <w:rPr>
                <w:sz w:val="20"/>
                <w:szCs w:val="20"/>
                <w:color w:val="auto"/>
              </w:rPr>
            </w:pPr>
            <w:r>
              <w:rPr>
                <w:rFonts w:ascii="Arial" w:cs="Arial" w:eastAsia="Arial" w:hAnsi="Arial"/>
                <w:sz w:val="8"/>
                <w:szCs w:val="8"/>
                <w:b w:val="1"/>
                <w:bCs w:val="1"/>
                <w:color w:val="009BDE"/>
              </w:rPr>
              <w:t>(#)</w:t>
            </w:r>
          </w:p>
        </w:tc>
        <w:tc>
          <w:tcPr>
            <w:tcW w:w="600" w:type="dxa"/>
            <w:vAlign w:val="bottom"/>
            <w:tcBorders>
              <w:bottom w:val="single" w:sz="8" w:color="CCEBF8"/>
            </w:tcBorders>
            <w:shd w:val="clear" w:color="auto" w:fill="CCEBF8"/>
          </w:tcPr>
          <w:p>
            <w:pPr>
              <w:jc w:val="right"/>
              <w:ind w:right="258"/>
              <w:spacing w:after="0"/>
              <w:rPr>
                <w:sz w:val="20"/>
                <w:szCs w:val="20"/>
                <w:color w:val="auto"/>
              </w:rPr>
            </w:pPr>
            <w:r>
              <w:rPr>
                <w:rFonts w:ascii="Arial" w:cs="Arial" w:eastAsia="Arial" w:hAnsi="Arial"/>
                <w:sz w:val="8"/>
                <w:szCs w:val="8"/>
                <w:b w:val="1"/>
                <w:bCs w:val="1"/>
                <w:color w:val="009BDE"/>
              </w:rPr>
              <w:t>(#)</w:t>
            </w:r>
          </w:p>
        </w:tc>
        <w:tc>
          <w:tcPr>
            <w:tcW w:w="440" w:type="dxa"/>
            <w:vAlign w:val="bottom"/>
            <w:tcBorders>
              <w:bottom w:val="single" w:sz="8" w:color="CCEBF8"/>
            </w:tcBorders>
            <w:shd w:val="clear" w:color="auto" w:fill="CCEBF8"/>
          </w:tcPr>
          <w:p>
            <w:pPr>
              <w:jc w:val="center"/>
              <w:spacing w:after="0"/>
              <w:rPr>
                <w:sz w:val="20"/>
                <w:szCs w:val="20"/>
                <w:color w:val="auto"/>
              </w:rPr>
            </w:pPr>
            <w:r>
              <w:rPr>
                <w:rFonts w:ascii="Arial" w:cs="Arial" w:eastAsia="Arial" w:hAnsi="Arial"/>
                <w:sz w:val="8"/>
                <w:szCs w:val="8"/>
                <w:b w:val="1"/>
                <w:bCs w:val="1"/>
                <w:color w:val="009BDE"/>
              </w:rPr>
              <w:t>(#)</w:t>
            </w:r>
          </w:p>
        </w:tc>
        <w:tc>
          <w:tcPr>
            <w:tcW w:w="580" w:type="dxa"/>
            <w:vAlign w:val="bottom"/>
            <w:tcBorders>
              <w:bottom w:val="single" w:sz="8" w:color="CCEBF8"/>
            </w:tcBorders>
            <w:shd w:val="clear" w:color="auto" w:fill="CCEBF8"/>
          </w:tcPr>
          <w:p>
            <w:pPr>
              <w:jc w:val="center"/>
              <w:ind w:right="38"/>
              <w:spacing w:after="0"/>
              <w:rPr>
                <w:sz w:val="20"/>
                <w:szCs w:val="20"/>
                <w:color w:val="auto"/>
              </w:rPr>
            </w:pPr>
            <w:r>
              <w:rPr>
                <w:rFonts w:ascii="Arial" w:cs="Arial" w:eastAsia="Arial" w:hAnsi="Arial"/>
                <w:sz w:val="8"/>
                <w:szCs w:val="8"/>
                <w:b w:val="1"/>
                <w:bCs w:val="1"/>
                <w:color w:val="009BDE"/>
              </w:rPr>
              <w:t>(#)</w:t>
            </w:r>
          </w:p>
        </w:tc>
        <w:tc>
          <w:tcPr>
            <w:tcW w:w="560" w:type="dxa"/>
            <w:vAlign w:val="bottom"/>
            <w:tcBorders>
              <w:bottom w:val="single" w:sz="8" w:color="CCEBF8"/>
            </w:tcBorders>
            <w:shd w:val="clear" w:color="auto" w:fill="CCEBF8"/>
          </w:tcPr>
          <w:p>
            <w:pPr>
              <w:jc w:val="center"/>
              <w:spacing w:after="0"/>
              <w:rPr>
                <w:sz w:val="20"/>
                <w:szCs w:val="20"/>
                <w:color w:val="auto"/>
              </w:rPr>
            </w:pPr>
            <w:r>
              <w:rPr>
                <w:rFonts w:ascii="Arial" w:cs="Arial" w:eastAsia="Arial" w:hAnsi="Arial"/>
                <w:sz w:val="8"/>
                <w:szCs w:val="8"/>
                <w:b w:val="1"/>
                <w:bCs w:val="1"/>
                <w:color w:val="009BDE"/>
                <w:w w:val="98"/>
              </w:rPr>
              <w:t>($/Sh)</w:t>
            </w:r>
          </w:p>
        </w:tc>
        <w:tc>
          <w:tcPr>
            <w:tcW w:w="160" w:type="dxa"/>
            <w:vAlign w:val="bottom"/>
            <w:tcBorders>
              <w:bottom w:val="single" w:sz="8" w:color="CCEBF8"/>
            </w:tcBorders>
            <w:shd w:val="clear" w:color="auto" w:fill="CCEBF8"/>
          </w:tcPr>
          <w:p>
            <w:pPr>
              <w:spacing w:after="0"/>
              <w:rPr>
                <w:sz w:val="13"/>
                <w:szCs w:val="13"/>
                <w:color w:val="auto"/>
              </w:rPr>
            </w:pPr>
          </w:p>
        </w:tc>
        <w:tc>
          <w:tcPr>
            <w:tcW w:w="380" w:type="dxa"/>
            <w:vAlign w:val="bottom"/>
            <w:tcBorders>
              <w:bottom w:val="single" w:sz="8" w:color="CCEBF8"/>
            </w:tcBorders>
            <w:shd w:val="clear" w:color="auto" w:fill="CCEBF8"/>
          </w:tcPr>
          <w:p>
            <w:pPr>
              <w:jc w:val="center"/>
              <w:ind w:right="38"/>
              <w:spacing w:after="0"/>
              <w:rPr>
                <w:sz w:val="20"/>
                <w:szCs w:val="20"/>
                <w:color w:val="auto"/>
              </w:rPr>
            </w:pPr>
            <w:r>
              <w:rPr>
                <w:rFonts w:ascii="Arial" w:cs="Arial" w:eastAsia="Arial" w:hAnsi="Arial"/>
                <w:sz w:val="8"/>
                <w:szCs w:val="8"/>
                <w:b w:val="1"/>
                <w:bCs w:val="1"/>
                <w:color w:val="009BDE"/>
              </w:rPr>
              <w:t>($)(g)</w:t>
            </w:r>
          </w:p>
        </w:tc>
      </w:tr>
      <w:tr>
        <w:trPr>
          <w:trHeight w:val="148"/>
        </w:trPr>
        <w:tc>
          <w:tcPr>
            <w:tcW w:w="860" w:type="dxa"/>
            <w:vAlign w:val="bottom"/>
            <w:tcBorders>
              <w:top w:val="single" w:sz="8" w:color="009BDE"/>
            </w:tcBorders>
          </w:tcPr>
          <w:p>
            <w:pPr>
              <w:ind w:left="40"/>
              <w:spacing w:after="0"/>
              <w:rPr>
                <w:sz w:val="20"/>
                <w:szCs w:val="20"/>
                <w:color w:val="auto"/>
              </w:rPr>
            </w:pPr>
            <w:r>
              <w:rPr>
                <w:rFonts w:ascii="Arial" w:cs="Arial" w:eastAsia="Arial" w:hAnsi="Arial"/>
                <w:sz w:val="8"/>
                <w:szCs w:val="8"/>
                <w:color w:val="auto"/>
              </w:rPr>
              <w:t>Richard Stoddart</w:t>
            </w:r>
          </w:p>
        </w:tc>
        <w:tc>
          <w:tcPr>
            <w:tcW w:w="600" w:type="dxa"/>
            <w:vAlign w:val="bottom"/>
            <w:tcBorders>
              <w:top w:val="single" w:sz="8" w:color="009BDE"/>
            </w:tcBorders>
          </w:tcPr>
          <w:p>
            <w:pPr>
              <w:jc w:val="right"/>
              <w:spacing w:after="0"/>
              <w:rPr>
                <w:sz w:val="20"/>
                <w:szCs w:val="20"/>
                <w:color w:val="auto"/>
              </w:rPr>
            </w:pPr>
            <w:r>
              <w:rPr>
                <w:rFonts w:ascii="Arial" w:cs="Arial" w:eastAsia="Arial" w:hAnsi="Arial"/>
                <w:sz w:val="8"/>
                <w:szCs w:val="8"/>
                <w:color w:val="auto"/>
              </w:rPr>
              <w:t>6/8/2022(h)</w:t>
            </w:r>
          </w:p>
        </w:tc>
        <w:tc>
          <w:tcPr>
            <w:tcW w:w="680" w:type="dxa"/>
            <w:vAlign w:val="bottom"/>
            <w:tcBorders>
              <w:top w:val="single" w:sz="8" w:color="009BDE"/>
            </w:tcBorders>
          </w:tcPr>
          <w:p>
            <w:pPr>
              <w:spacing w:after="0"/>
              <w:rPr>
                <w:sz w:val="12"/>
                <w:szCs w:val="12"/>
                <w:color w:val="auto"/>
              </w:rPr>
            </w:pPr>
          </w:p>
        </w:tc>
        <w:tc>
          <w:tcPr>
            <w:tcW w:w="560" w:type="dxa"/>
            <w:vAlign w:val="bottom"/>
            <w:tcBorders>
              <w:top w:val="single" w:sz="8" w:color="009BDE"/>
            </w:tcBorders>
          </w:tcPr>
          <w:p>
            <w:pPr>
              <w:spacing w:after="0"/>
              <w:rPr>
                <w:sz w:val="12"/>
                <w:szCs w:val="12"/>
                <w:color w:val="auto"/>
              </w:rPr>
            </w:pPr>
          </w:p>
        </w:tc>
        <w:tc>
          <w:tcPr>
            <w:tcW w:w="620" w:type="dxa"/>
            <w:vAlign w:val="bottom"/>
            <w:tcBorders>
              <w:top w:val="single" w:sz="8" w:color="009BDE"/>
            </w:tcBorders>
          </w:tcPr>
          <w:p>
            <w:pPr>
              <w:spacing w:after="0"/>
              <w:rPr>
                <w:sz w:val="12"/>
                <w:szCs w:val="12"/>
                <w:color w:val="auto"/>
              </w:rPr>
            </w:pPr>
          </w:p>
        </w:tc>
        <w:tc>
          <w:tcPr>
            <w:tcW w:w="640" w:type="dxa"/>
            <w:vAlign w:val="bottom"/>
            <w:tcBorders>
              <w:top w:val="single" w:sz="8" w:color="009BDE"/>
            </w:tcBorders>
          </w:tcPr>
          <w:p>
            <w:pPr>
              <w:spacing w:after="0"/>
              <w:rPr>
                <w:sz w:val="12"/>
                <w:szCs w:val="12"/>
                <w:color w:val="auto"/>
              </w:rPr>
            </w:pPr>
          </w:p>
        </w:tc>
        <w:tc>
          <w:tcPr>
            <w:tcW w:w="660" w:type="dxa"/>
            <w:vAlign w:val="bottom"/>
            <w:tcBorders>
              <w:top w:val="single" w:sz="8" w:color="009BDE"/>
            </w:tcBorders>
          </w:tcPr>
          <w:p>
            <w:pPr>
              <w:spacing w:after="0"/>
              <w:rPr>
                <w:sz w:val="12"/>
                <w:szCs w:val="12"/>
                <w:color w:val="auto"/>
              </w:rPr>
            </w:pPr>
          </w:p>
        </w:tc>
        <w:tc>
          <w:tcPr>
            <w:tcW w:w="600" w:type="dxa"/>
            <w:vAlign w:val="bottom"/>
            <w:tcBorders>
              <w:top w:val="single" w:sz="8" w:color="009BDE"/>
            </w:tcBorders>
          </w:tcPr>
          <w:p>
            <w:pPr>
              <w:spacing w:after="0"/>
              <w:rPr>
                <w:sz w:val="12"/>
                <w:szCs w:val="12"/>
                <w:color w:val="auto"/>
              </w:rPr>
            </w:pPr>
          </w:p>
        </w:tc>
        <w:tc>
          <w:tcPr>
            <w:tcW w:w="440" w:type="dxa"/>
            <w:vAlign w:val="bottom"/>
            <w:tcBorders>
              <w:top w:val="single" w:sz="8" w:color="009BDE"/>
            </w:tcBorders>
          </w:tcPr>
          <w:p>
            <w:pPr>
              <w:jc w:val="right"/>
              <w:ind w:right="18"/>
              <w:spacing w:after="0"/>
              <w:rPr>
                <w:sz w:val="20"/>
                <w:szCs w:val="20"/>
                <w:color w:val="auto"/>
              </w:rPr>
            </w:pPr>
            <w:r>
              <w:rPr>
                <w:rFonts w:ascii="Arial" w:cs="Arial" w:eastAsia="Arial" w:hAnsi="Arial"/>
                <w:sz w:val="8"/>
                <w:szCs w:val="8"/>
                <w:color w:val="auto"/>
              </w:rPr>
              <w:t>1,975</w:t>
            </w:r>
          </w:p>
        </w:tc>
        <w:tc>
          <w:tcPr>
            <w:tcW w:w="580" w:type="dxa"/>
            <w:vAlign w:val="bottom"/>
            <w:tcBorders>
              <w:top w:val="single" w:sz="8" w:color="009BDE"/>
            </w:tcBorders>
          </w:tcPr>
          <w:p>
            <w:pPr>
              <w:spacing w:after="0"/>
              <w:rPr>
                <w:sz w:val="12"/>
                <w:szCs w:val="12"/>
                <w:color w:val="auto"/>
              </w:rPr>
            </w:pPr>
          </w:p>
        </w:tc>
        <w:tc>
          <w:tcPr>
            <w:tcW w:w="560" w:type="dxa"/>
            <w:vAlign w:val="bottom"/>
            <w:tcBorders>
              <w:top w:val="single" w:sz="8" w:color="009BDE"/>
            </w:tcBorders>
          </w:tcPr>
          <w:p>
            <w:pPr>
              <w:spacing w:after="0"/>
              <w:rPr>
                <w:sz w:val="12"/>
                <w:szCs w:val="12"/>
                <w:color w:val="auto"/>
              </w:rPr>
            </w:pPr>
          </w:p>
        </w:tc>
        <w:tc>
          <w:tcPr>
            <w:tcW w:w="160" w:type="dxa"/>
            <w:vAlign w:val="bottom"/>
            <w:tcBorders>
              <w:top w:val="single" w:sz="8" w:color="009BDE"/>
            </w:tcBorders>
          </w:tcPr>
          <w:p>
            <w:pPr>
              <w:jc w:val="right"/>
              <w:spacing w:after="0"/>
              <w:rPr>
                <w:sz w:val="20"/>
                <w:szCs w:val="20"/>
                <w:color w:val="auto"/>
              </w:rPr>
            </w:pPr>
            <w:r>
              <w:rPr>
                <w:rFonts w:ascii="Arial" w:cs="Arial" w:eastAsia="Arial" w:hAnsi="Arial"/>
                <w:sz w:val="8"/>
                <w:szCs w:val="8"/>
                <w:color w:val="auto"/>
              </w:rPr>
              <w:t>$</w:t>
            </w:r>
          </w:p>
        </w:tc>
        <w:tc>
          <w:tcPr>
            <w:tcW w:w="380" w:type="dxa"/>
            <w:vAlign w:val="bottom"/>
            <w:tcBorders>
              <w:top w:val="single" w:sz="8" w:color="009BDE"/>
            </w:tcBorders>
          </w:tcPr>
          <w:p>
            <w:pPr>
              <w:jc w:val="right"/>
              <w:spacing w:after="0"/>
              <w:rPr>
                <w:sz w:val="20"/>
                <w:szCs w:val="20"/>
                <w:color w:val="auto"/>
              </w:rPr>
            </w:pPr>
            <w:r>
              <w:rPr>
                <w:rFonts w:ascii="Arial" w:cs="Arial" w:eastAsia="Arial" w:hAnsi="Arial"/>
                <w:sz w:val="8"/>
                <w:szCs w:val="8"/>
                <w:color w:val="auto"/>
              </w:rPr>
              <w:t>174,926</w:t>
            </w:r>
          </w:p>
        </w:tc>
      </w:tr>
      <w:tr>
        <w:trPr>
          <w:trHeight w:val="66"/>
        </w:trPr>
        <w:tc>
          <w:tcPr>
            <w:tcW w:w="86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56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56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r>
      <w:tr>
        <w:trPr>
          <w:trHeight w:val="138"/>
        </w:trPr>
        <w:tc>
          <w:tcPr>
            <w:tcW w:w="860" w:type="dxa"/>
            <w:vAlign w:val="bottom"/>
          </w:tcPr>
          <w:p>
            <w:pPr>
              <w:ind w:left="40"/>
              <w:spacing w:after="0"/>
              <w:rPr>
                <w:sz w:val="20"/>
                <w:szCs w:val="20"/>
                <w:color w:val="auto"/>
              </w:rPr>
            </w:pPr>
            <w:r>
              <w:rPr>
                <w:rFonts w:ascii="Arial" w:cs="Arial" w:eastAsia="Arial" w:hAnsi="Arial"/>
                <w:sz w:val="8"/>
                <w:szCs w:val="8"/>
                <w:color w:val="auto"/>
              </w:rPr>
              <w:t>Chris Cocks</w:t>
            </w:r>
          </w:p>
        </w:tc>
        <w:tc>
          <w:tcPr>
            <w:tcW w:w="600" w:type="dxa"/>
            <w:vAlign w:val="bottom"/>
          </w:tcPr>
          <w:p>
            <w:pPr>
              <w:jc w:val="right"/>
              <w:spacing w:after="0"/>
              <w:rPr>
                <w:sz w:val="20"/>
                <w:szCs w:val="20"/>
                <w:color w:val="auto"/>
              </w:rPr>
            </w:pPr>
            <w:r>
              <w:rPr>
                <w:rFonts w:ascii="Arial" w:cs="Arial" w:eastAsia="Arial" w:hAnsi="Arial"/>
                <w:sz w:val="8"/>
                <w:szCs w:val="8"/>
                <w:color w:val="auto"/>
              </w:rPr>
              <w:t>2/3/2022(a)</w:t>
            </w:r>
          </w:p>
        </w:tc>
        <w:tc>
          <w:tcPr>
            <w:tcW w:w="680" w:type="dxa"/>
            <w:vAlign w:val="bottom"/>
          </w:tcPr>
          <w:p>
            <w:pPr>
              <w:jc w:val="right"/>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138"/>
              <w:spacing w:after="0"/>
              <w:rPr>
                <w:sz w:val="20"/>
                <w:szCs w:val="20"/>
                <w:color w:val="auto"/>
              </w:rPr>
            </w:pPr>
            <w:r>
              <w:rPr>
                <w:rFonts w:ascii="Arial" w:cs="Arial" w:eastAsia="Arial" w:hAnsi="Arial"/>
                <w:sz w:val="8"/>
                <w:szCs w:val="8"/>
                <w:color w:val="auto"/>
              </w:rPr>
              <w:t>2,250,000</w:t>
            </w: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90"/>
        </w:trPr>
        <w:tc>
          <w:tcPr>
            <w:tcW w:w="8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Arial" w:cs="Arial" w:eastAsia="Arial" w:hAnsi="Arial"/>
                <w:sz w:val="8"/>
                <w:szCs w:val="8"/>
                <w:color w:val="auto"/>
              </w:rPr>
              <w:t>3/10/2022(b)</w:t>
            </w: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jc w:val="right"/>
              <w:ind w:right="78"/>
              <w:spacing w:after="0" w:line="90" w:lineRule="exact"/>
              <w:rPr>
                <w:sz w:val="20"/>
                <w:szCs w:val="20"/>
                <w:color w:val="auto"/>
              </w:rPr>
            </w:pPr>
            <w:r>
              <w:rPr>
                <w:rFonts w:ascii="Arial" w:cs="Arial" w:eastAsia="Arial" w:hAnsi="Arial"/>
                <w:sz w:val="8"/>
                <w:szCs w:val="8"/>
                <w:color w:val="auto"/>
              </w:rPr>
              <w:t>19,760</w:t>
            </w:r>
          </w:p>
        </w:tc>
        <w:tc>
          <w:tcPr>
            <w:tcW w:w="660" w:type="dxa"/>
            <w:vAlign w:val="bottom"/>
          </w:tcPr>
          <w:p>
            <w:pPr>
              <w:jc w:val="right"/>
              <w:ind w:right="158"/>
              <w:spacing w:after="0" w:line="90" w:lineRule="exact"/>
              <w:rPr>
                <w:sz w:val="20"/>
                <w:szCs w:val="20"/>
                <w:color w:val="auto"/>
              </w:rPr>
            </w:pPr>
            <w:r>
              <w:rPr>
                <w:rFonts w:ascii="Arial" w:cs="Arial" w:eastAsia="Arial" w:hAnsi="Arial"/>
                <w:sz w:val="8"/>
                <w:szCs w:val="8"/>
                <w:color w:val="auto"/>
              </w:rPr>
              <w:t>39,520</w:t>
            </w:r>
          </w:p>
        </w:tc>
        <w:tc>
          <w:tcPr>
            <w:tcW w:w="600" w:type="dxa"/>
            <w:vAlign w:val="bottom"/>
          </w:tcPr>
          <w:p>
            <w:pPr>
              <w:jc w:val="right"/>
              <w:ind w:right="158"/>
              <w:spacing w:after="0" w:line="90" w:lineRule="exact"/>
              <w:rPr>
                <w:sz w:val="20"/>
                <w:szCs w:val="20"/>
                <w:color w:val="auto"/>
              </w:rPr>
            </w:pPr>
            <w:r>
              <w:rPr>
                <w:rFonts w:ascii="Arial" w:cs="Arial" w:eastAsia="Arial" w:hAnsi="Arial"/>
                <w:sz w:val="8"/>
                <w:szCs w:val="8"/>
                <w:color w:val="auto"/>
              </w:rPr>
              <w:t>79,040</w:t>
            </w: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gridSpan w:val="2"/>
          </w:tcPr>
          <w:p>
            <w:pPr>
              <w:jc w:val="right"/>
              <w:spacing w:after="0" w:line="90" w:lineRule="exact"/>
              <w:rPr>
                <w:sz w:val="20"/>
                <w:szCs w:val="20"/>
                <w:color w:val="auto"/>
              </w:rPr>
            </w:pPr>
            <w:r>
              <w:rPr>
                <w:rFonts w:ascii="Arial" w:cs="Arial" w:eastAsia="Arial" w:hAnsi="Arial"/>
                <w:sz w:val="8"/>
                <w:szCs w:val="8"/>
                <w:color w:val="auto"/>
              </w:rPr>
              <w:t>$ 3,750,053</w:t>
            </w:r>
          </w:p>
        </w:tc>
      </w:tr>
      <w:tr>
        <w:trPr>
          <w:trHeight w:val="90"/>
        </w:trPr>
        <w:tc>
          <w:tcPr>
            <w:tcW w:w="8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Arial" w:cs="Arial" w:eastAsia="Arial" w:hAnsi="Arial"/>
                <w:sz w:val="8"/>
                <w:szCs w:val="8"/>
                <w:color w:val="auto"/>
              </w:rPr>
              <w:t>2/25/2022(c)</w:t>
            </w: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jc w:val="right"/>
              <w:ind w:right="18"/>
              <w:spacing w:after="0" w:line="90" w:lineRule="exact"/>
              <w:rPr>
                <w:sz w:val="20"/>
                <w:szCs w:val="20"/>
                <w:color w:val="auto"/>
              </w:rPr>
            </w:pPr>
            <w:r>
              <w:rPr>
                <w:rFonts w:ascii="Arial" w:cs="Arial" w:eastAsia="Arial" w:hAnsi="Arial"/>
                <w:sz w:val="8"/>
                <w:szCs w:val="8"/>
                <w:color w:val="auto"/>
              </w:rPr>
              <w:t>19,760</w:t>
            </w: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gridSpan w:val="2"/>
          </w:tcPr>
          <w:p>
            <w:pPr>
              <w:jc w:val="right"/>
              <w:spacing w:after="0" w:line="90" w:lineRule="exact"/>
              <w:rPr>
                <w:sz w:val="20"/>
                <w:szCs w:val="20"/>
                <w:color w:val="auto"/>
              </w:rPr>
            </w:pPr>
            <w:r>
              <w:rPr>
                <w:rFonts w:ascii="Arial" w:cs="Arial" w:eastAsia="Arial" w:hAnsi="Arial"/>
                <w:sz w:val="8"/>
                <w:szCs w:val="8"/>
                <w:color w:val="auto"/>
              </w:rPr>
              <w:t>$ 1,875,026</w:t>
            </w:r>
          </w:p>
        </w:tc>
      </w:tr>
      <w:tr>
        <w:trPr>
          <w:trHeight w:val="100"/>
        </w:trPr>
        <w:tc>
          <w:tcPr>
            <w:tcW w:w="86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2/25/2022(d)</w:t>
            </w: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jc w:val="right"/>
              <w:ind w:right="78"/>
              <w:spacing w:after="0"/>
              <w:rPr>
                <w:sz w:val="20"/>
                <w:szCs w:val="20"/>
                <w:color w:val="auto"/>
              </w:rPr>
            </w:pPr>
            <w:r>
              <w:rPr>
                <w:rFonts w:ascii="Arial" w:cs="Arial" w:eastAsia="Arial" w:hAnsi="Arial"/>
                <w:sz w:val="8"/>
                <w:szCs w:val="8"/>
                <w:color w:val="auto"/>
              </w:rPr>
              <w:t>98,799</w:t>
            </w:r>
          </w:p>
        </w:tc>
        <w:tc>
          <w:tcPr>
            <w:tcW w:w="560" w:type="dxa"/>
            <w:vAlign w:val="bottom"/>
          </w:tcPr>
          <w:p>
            <w:pPr>
              <w:jc w:val="center"/>
              <w:spacing w:after="0"/>
              <w:rPr>
                <w:sz w:val="20"/>
                <w:szCs w:val="20"/>
                <w:color w:val="auto"/>
              </w:rPr>
            </w:pPr>
            <w:r>
              <w:rPr>
                <w:rFonts w:ascii="Arial" w:cs="Arial" w:eastAsia="Arial" w:hAnsi="Arial"/>
                <w:sz w:val="8"/>
                <w:szCs w:val="8"/>
                <w:color w:val="auto"/>
                <w:w w:val="97"/>
              </w:rPr>
              <w:t>$ 94.89</w:t>
            </w:r>
          </w:p>
        </w:tc>
        <w:tc>
          <w:tcPr>
            <w:tcW w:w="540" w:type="dxa"/>
            <w:vAlign w:val="bottom"/>
            <w:gridSpan w:val="2"/>
          </w:tcPr>
          <w:p>
            <w:pPr>
              <w:jc w:val="right"/>
              <w:spacing w:after="0"/>
              <w:rPr>
                <w:sz w:val="20"/>
                <w:szCs w:val="20"/>
                <w:color w:val="auto"/>
              </w:rPr>
            </w:pPr>
            <w:r>
              <w:rPr>
                <w:rFonts w:ascii="Arial" w:cs="Arial" w:eastAsia="Arial" w:hAnsi="Arial"/>
                <w:sz w:val="8"/>
                <w:szCs w:val="8"/>
                <w:color w:val="auto"/>
              </w:rPr>
              <w:t>$ 2,246,689</w:t>
            </w:r>
          </w:p>
        </w:tc>
      </w:tr>
      <w:tr>
        <w:trPr>
          <w:trHeight w:val="66"/>
        </w:trPr>
        <w:tc>
          <w:tcPr>
            <w:tcW w:w="86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56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56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r>
      <w:tr>
        <w:trPr>
          <w:trHeight w:val="138"/>
        </w:trPr>
        <w:tc>
          <w:tcPr>
            <w:tcW w:w="860" w:type="dxa"/>
            <w:vAlign w:val="bottom"/>
          </w:tcPr>
          <w:p>
            <w:pPr>
              <w:ind w:left="40"/>
              <w:spacing w:after="0"/>
              <w:rPr>
                <w:sz w:val="20"/>
                <w:szCs w:val="20"/>
                <w:color w:val="auto"/>
              </w:rPr>
            </w:pPr>
            <w:r>
              <w:rPr>
                <w:rFonts w:ascii="Arial" w:cs="Arial" w:eastAsia="Arial" w:hAnsi="Arial"/>
                <w:sz w:val="8"/>
                <w:szCs w:val="8"/>
                <w:color w:val="auto"/>
              </w:rPr>
              <w:t>Deborah Thomas</w:t>
            </w:r>
          </w:p>
        </w:tc>
        <w:tc>
          <w:tcPr>
            <w:tcW w:w="600" w:type="dxa"/>
            <w:vAlign w:val="bottom"/>
          </w:tcPr>
          <w:p>
            <w:pPr>
              <w:jc w:val="right"/>
              <w:spacing w:after="0"/>
              <w:rPr>
                <w:sz w:val="20"/>
                <w:szCs w:val="20"/>
                <w:color w:val="auto"/>
              </w:rPr>
            </w:pPr>
            <w:r>
              <w:rPr>
                <w:rFonts w:ascii="Arial" w:cs="Arial" w:eastAsia="Arial" w:hAnsi="Arial"/>
                <w:sz w:val="8"/>
                <w:szCs w:val="8"/>
                <w:color w:val="auto"/>
              </w:rPr>
              <w:t>2/3/2022(a)</w:t>
            </w:r>
          </w:p>
        </w:tc>
        <w:tc>
          <w:tcPr>
            <w:tcW w:w="680" w:type="dxa"/>
            <w:vAlign w:val="bottom"/>
          </w:tcPr>
          <w:p>
            <w:pPr>
              <w:jc w:val="right"/>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138"/>
              <w:spacing w:after="0"/>
              <w:rPr>
                <w:sz w:val="20"/>
                <w:szCs w:val="20"/>
                <w:color w:val="auto"/>
              </w:rPr>
            </w:pPr>
            <w:r>
              <w:rPr>
                <w:rFonts w:ascii="Arial" w:cs="Arial" w:eastAsia="Arial" w:hAnsi="Arial"/>
                <w:sz w:val="8"/>
                <w:szCs w:val="8"/>
                <w:color w:val="auto"/>
              </w:rPr>
              <w:t>1,250,000</w:t>
            </w: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90"/>
        </w:trPr>
        <w:tc>
          <w:tcPr>
            <w:tcW w:w="8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Arial" w:cs="Arial" w:eastAsia="Arial" w:hAnsi="Arial"/>
                <w:sz w:val="8"/>
                <w:szCs w:val="8"/>
                <w:color w:val="auto"/>
              </w:rPr>
              <w:t>3/10/2022(b)</w:t>
            </w: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jc w:val="right"/>
              <w:ind w:right="78"/>
              <w:spacing w:after="0" w:line="90" w:lineRule="exact"/>
              <w:rPr>
                <w:sz w:val="20"/>
                <w:szCs w:val="20"/>
                <w:color w:val="auto"/>
              </w:rPr>
            </w:pPr>
            <w:r>
              <w:rPr>
                <w:rFonts w:ascii="Arial" w:cs="Arial" w:eastAsia="Arial" w:hAnsi="Arial"/>
                <w:sz w:val="8"/>
                <w:szCs w:val="8"/>
                <w:color w:val="auto"/>
              </w:rPr>
              <w:t>12,120</w:t>
            </w:r>
          </w:p>
        </w:tc>
        <w:tc>
          <w:tcPr>
            <w:tcW w:w="660" w:type="dxa"/>
            <w:vAlign w:val="bottom"/>
          </w:tcPr>
          <w:p>
            <w:pPr>
              <w:jc w:val="right"/>
              <w:ind w:right="158"/>
              <w:spacing w:after="0" w:line="90" w:lineRule="exact"/>
              <w:rPr>
                <w:sz w:val="20"/>
                <w:szCs w:val="20"/>
                <w:color w:val="auto"/>
              </w:rPr>
            </w:pPr>
            <w:r>
              <w:rPr>
                <w:rFonts w:ascii="Arial" w:cs="Arial" w:eastAsia="Arial" w:hAnsi="Arial"/>
                <w:sz w:val="8"/>
                <w:szCs w:val="8"/>
                <w:color w:val="auto"/>
              </w:rPr>
              <w:t>24,239</w:t>
            </w:r>
          </w:p>
        </w:tc>
        <w:tc>
          <w:tcPr>
            <w:tcW w:w="600" w:type="dxa"/>
            <w:vAlign w:val="bottom"/>
          </w:tcPr>
          <w:p>
            <w:pPr>
              <w:jc w:val="right"/>
              <w:ind w:right="158"/>
              <w:spacing w:after="0" w:line="90" w:lineRule="exact"/>
              <w:rPr>
                <w:sz w:val="20"/>
                <w:szCs w:val="20"/>
                <w:color w:val="auto"/>
              </w:rPr>
            </w:pPr>
            <w:r>
              <w:rPr>
                <w:rFonts w:ascii="Arial" w:cs="Arial" w:eastAsia="Arial" w:hAnsi="Arial"/>
                <w:sz w:val="8"/>
                <w:szCs w:val="8"/>
                <w:color w:val="auto"/>
              </w:rPr>
              <w:t>48,478</w:t>
            </w: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gridSpan w:val="2"/>
          </w:tcPr>
          <w:p>
            <w:pPr>
              <w:jc w:val="right"/>
              <w:spacing w:after="0" w:line="90" w:lineRule="exact"/>
              <w:rPr>
                <w:sz w:val="20"/>
                <w:szCs w:val="20"/>
                <w:color w:val="auto"/>
              </w:rPr>
            </w:pPr>
            <w:r>
              <w:rPr>
                <w:rFonts w:ascii="Arial" w:cs="Arial" w:eastAsia="Arial" w:hAnsi="Arial"/>
                <w:sz w:val="8"/>
                <w:szCs w:val="8"/>
                <w:color w:val="auto"/>
              </w:rPr>
              <w:t>$ 2,300,039</w:t>
            </w:r>
          </w:p>
        </w:tc>
      </w:tr>
      <w:tr>
        <w:trPr>
          <w:trHeight w:val="90"/>
        </w:trPr>
        <w:tc>
          <w:tcPr>
            <w:tcW w:w="8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Arial" w:cs="Arial" w:eastAsia="Arial" w:hAnsi="Arial"/>
                <w:sz w:val="8"/>
                <w:szCs w:val="8"/>
                <w:color w:val="auto"/>
              </w:rPr>
              <w:t>2/25/2022(c)</w:t>
            </w: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jc w:val="right"/>
              <w:ind w:right="18"/>
              <w:spacing w:after="0" w:line="90" w:lineRule="exact"/>
              <w:rPr>
                <w:sz w:val="20"/>
                <w:szCs w:val="20"/>
                <w:color w:val="auto"/>
              </w:rPr>
            </w:pPr>
            <w:r>
              <w:rPr>
                <w:rFonts w:ascii="Arial" w:cs="Arial" w:eastAsia="Arial" w:hAnsi="Arial"/>
                <w:sz w:val="8"/>
                <w:szCs w:val="8"/>
                <w:color w:val="auto"/>
              </w:rPr>
              <w:t>12,120</w:t>
            </w: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gridSpan w:val="2"/>
          </w:tcPr>
          <w:p>
            <w:pPr>
              <w:jc w:val="right"/>
              <w:spacing w:after="0" w:line="90" w:lineRule="exact"/>
              <w:rPr>
                <w:sz w:val="20"/>
                <w:szCs w:val="20"/>
                <w:color w:val="auto"/>
              </w:rPr>
            </w:pPr>
            <w:r>
              <w:rPr>
                <w:rFonts w:ascii="Arial" w:cs="Arial" w:eastAsia="Arial" w:hAnsi="Arial"/>
                <w:sz w:val="8"/>
                <w:szCs w:val="8"/>
                <w:color w:val="auto"/>
              </w:rPr>
              <w:t>$ 1,150,067</w:t>
            </w:r>
          </w:p>
        </w:tc>
      </w:tr>
      <w:tr>
        <w:trPr>
          <w:trHeight w:val="100"/>
        </w:trPr>
        <w:tc>
          <w:tcPr>
            <w:tcW w:w="86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2/25/2022(d)</w:t>
            </w: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jc w:val="right"/>
              <w:ind w:right="78"/>
              <w:spacing w:after="0"/>
              <w:rPr>
                <w:sz w:val="20"/>
                <w:szCs w:val="20"/>
                <w:color w:val="auto"/>
              </w:rPr>
            </w:pPr>
            <w:r>
              <w:rPr>
                <w:rFonts w:ascii="Arial" w:cs="Arial" w:eastAsia="Arial" w:hAnsi="Arial"/>
                <w:sz w:val="8"/>
                <w:szCs w:val="8"/>
                <w:color w:val="auto"/>
              </w:rPr>
              <w:t>60,597</w:t>
            </w:r>
          </w:p>
        </w:tc>
        <w:tc>
          <w:tcPr>
            <w:tcW w:w="560" w:type="dxa"/>
            <w:vAlign w:val="bottom"/>
          </w:tcPr>
          <w:p>
            <w:pPr>
              <w:jc w:val="center"/>
              <w:spacing w:after="0"/>
              <w:rPr>
                <w:sz w:val="20"/>
                <w:szCs w:val="20"/>
                <w:color w:val="auto"/>
              </w:rPr>
            </w:pPr>
            <w:r>
              <w:rPr>
                <w:rFonts w:ascii="Arial" w:cs="Arial" w:eastAsia="Arial" w:hAnsi="Arial"/>
                <w:sz w:val="8"/>
                <w:szCs w:val="8"/>
                <w:color w:val="auto"/>
                <w:w w:val="97"/>
              </w:rPr>
              <w:t>$ 94.89</w:t>
            </w:r>
          </w:p>
        </w:tc>
        <w:tc>
          <w:tcPr>
            <w:tcW w:w="540" w:type="dxa"/>
            <w:vAlign w:val="bottom"/>
            <w:gridSpan w:val="2"/>
          </w:tcPr>
          <w:p>
            <w:pPr>
              <w:jc w:val="right"/>
              <w:spacing w:after="0"/>
              <w:rPr>
                <w:sz w:val="20"/>
                <w:szCs w:val="20"/>
                <w:color w:val="auto"/>
              </w:rPr>
            </w:pPr>
            <w:r>
              <w:rPr>
                <w:rFonts w:ascii="Arial" w:cs="Arial" w:eastAsia="Arial" w:hAnsi="Arial"/>
                <w:sz w:val="8"/>
                <w:szCs w:val="8"/>
                <w:color w:val="auto"/>
              </w:rPr>
              <w:t>$ 1,377,976</w:t>
            </w:r>
          </w:p>
        </w:tc>
      </w:tr>
      <w:tr>
        <w:trPr>
          <w:trHeight w:val="66"/>
        </w:trPr>
        <w:tc>
          <w:tcPr>
            <w:tcW w:w="86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56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56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r>
      <w:tr>
        <w:trPr>
          <w:trHeight w:val="138"/>
        </w:trPr>
        <w:tc>
          <w:tcPr>
            <w:tcW w:w="860" w:type="dxa"/>
            <w:vAlign w:val="bottom"/>
          </w:tcPr>
          <w:p>
            <w:pPr>
              <w:ind w:left="40"/>
              <w:spacing w:after="0"/>
              <w:rPr>
                <w:sz w:val="20"/>
                <w:szCs w:val="20"/>
                <w:color w:val="auto"/>
              </w:rPr>
            </w:pPr>
            <w:r>
              <w:rPr>
                <w:rFonts w:ascii="Arial" w:cs="Arial" w:eastAsia="Arial" w:hAnsi="Arial"/>
                <w:sz w:val="8"/>
                <w:szCs w:val="8"/>
                <w:color w:val="auto"/>
              </w:rPr>
              <w:t>Cynthia Williams</w:t>
            </w:r>
          </w:p>
        </w:tc>
        <w:tc>
          <w:tcPr>
            <w:tcW w:w="600" w:type="dxa"/>
            <w:vAlign w:val="bottom"/>
          </w:tcPr>
          <w:p>
            <w:pPr>
              <w:jc w:val="right"/>
              <w:spacing w:after="0"/>
              <w:rPr>
                <w:sz w:val="20"/>
                <w:szCs w:val="20"/>
                <w:color w:val="auto"/>
              </w:rPr>
            </w:pPr>
            <w:r>
              <w:rPr>
                <w:rFonts w:ascii="Arial" w:cs="Arial" w:eastAsia="Arial" w:hAnsi="Arial"/>
                <w:sz w:val="8"/>
                <w:szCs w:val="8"/>
                <w:color w:val="auto"/>
              </w:rPr>
              <w:t>2/3/2022(a)</w:t>
            </w:r>
          </w:p>
        </w:tc>
        <w:tc>
          <w:tcPr>
            <w:tcW w:w="680" w:type="dxa"/>
            <w:vAlign w:val="bottom"/>
          </w:tcPr>
          <w:p>
            <w:pPr>
              <w:jc w:val="right"/>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138"/>
              <w:spacing w:after="0"/>
              <w:rPr>
                <w:sz w:val="20"/>
                <w:szCs w:val="20"/>
                <w:color w:val="auto"/>
              </w:rPr>
            </w:pPr>
            <w:r>
              <w:rPr>
                <w:rFonts w:ascii="Arial" w:cs="Arial" w:eastAsia="Arial" w:hAnsi="Arial"/>
                <w:sz w:val="8"/>
                <w:szCs w:val="8"/>
                <w:color w:val="auto"/>
              </w:rPr>
              <w:t>450,000</w:t>
            </w: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90"/>
        </w:trPr>
        <w:tc>
          <w:tcPr>
            <w:tcW w:w="8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Arial" w:cs="Arial" w:eastAsia="Arial" w:hAnsi="Arial"/>
                <w:sz w:val="8"/>
                <w:szCs w:val="8"/>
                <w:color w:val="auto"/>
              </w:rPr>
              <w:t>3/10/2022(b)</w:t>
            </w: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jc w:val="right"/>
              <w:ind w:right="78"/>
              <w:spacing w:after="0" w:line="90" w:lineRule="exact"/>
              <w:rPr>
                <w:sz w:val="20"/>
                <w:szCs w:val="20"/>
                <w:color w:val="auto"/>
              </w:rPr>
            </w:pPr>
            <w:r>
              <w:rPr>
                <w:rFonts w:ascii="Arial" w:cs="Arial" w:eastAsia="Arial" w:hAnsi="Arial"/>
                <w:sz w:val="8"/>
                <w:szCs w:val="8"/>
                <w:color w:val="auto"/>
              </w:rPr>
              <w:t>3,162</w:t>
            </w:r>
          </w:p>
        </w:tc>
        <w:tc>
          <w:tcPr>
            <w:tcW w:w="660" w:type="dxa"/>
            <w:vAlign w:val="bottom"/>
          </w:tcPr>
          <w:p>
            <w:pPr>
              <w:jc w:val="right"/>
              <w:ind w:right="158"/>
              <w:spacing w:after="0" w:line="90" w:lineRule="exact"/>
              <w:rPr>
                <w:sz w:val="20"/>
                <w:szCs w:val="20"/>
                <w:color w:val="auto"/>
              </w:rPr>
            </w:pPr>
            <w:r>
              <w:rPr>
                <w:rFonts w:ascii="Arial" w:cs="Arial" w:eastAsia="Arial" w:hAnsi="Arial"/>
                <w:sz w:val="8"/>
                <w:szCs w:val="8"/>
                <w:color w:val="auto"/>
              </w:rPr>
              <w:t>6,324</w:t>
            </w:r>
          </w:p>
        </w:tc>
        <w:tc>
          <w:tcPr>
            <w:tcW w:w="600" w:type="dxa"/>
            <w:vAlign w:val="bottom"/>
          </w:tcPr>
          <w:p>
            <w:pPr>
              <w:jc w:val="right"/>
              <w:ind w:right="158"/>
              <w:spacing w:after="0" w:line="90" w:lineRule="exact"/>
              <w:rPr>
                <w:sz w:val="20"/>
                <w:szCs w:val="20"/>
                <w:color w:val="auto"/>
              </w:rPr>
            </w:pPr>
            <w:r>
              <w:rPr>
                <w:rFonts w:ascii="Arial" w:cs="Arial" w:eastAsia="Arial" w:hAnsi="Arial"/>
                <w:sz w:val="8"/>
                <w:szCs w:val="8"/>
                <w:color w:val="auto"/>
              </w:rPr>
              <w:t>12,648</w:t>
            </w: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380" w:type="dxa"/>
            <w:vAlign w:val="bottom"/>
          </w:tcPr>
          <w:p>
            <w:pPr>
              <w:jc w:val="right"/>
              <w:spacing w:after="0" w:line="90" w:lineRule="exact"/>
              <w:rPr>
                <w:sz w:val="20"/>
                <w:szCs w:val="20"/>
                <w:color w:val="auto"/>
              </w:rPr>
            </w:pPr>
            <w:r>
              <w:rPr>
                <w:rFonts w:ascii="Arial" w:cs="Arial" w:eastAsia="Arial" w:hAnsi="Arial"/>
                <w:sz w:val="8"/>
                <w:szCs w:val="8"/>
                <w:color w:val="auto"/>
              </w:rPr>
              <w:t>600,084</w:t>
            </w:r>
          </w:p>
        </w:tc>
      </w:tr>
      <w:tr>
        <w:trPr>
          <w:trHeight w:val="90"/>
        </w:trPr>
        <w:tc>
          <w:tcPr>
            <w:tcW w:w="8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Arial" w:cs="Arial" w:eastAsia="Arial" w:hAnsi="Arial"/>
                <w:sz w:val="8"/>
                <w:szCs w:val="8"/>
                <w:color w:val="auto"/>
              </w:rPr>
              <w:t>2/25/2022(c)</w:t>
            </w: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jc w:val="right"/>
              <w:ind w:right="18"/>
              <w:spacing w:after="0" w:line="90" w:lineRule="exact"/>
              <w:rPr>
                <w:sz w:val="20"/>
                <w:szCs w:val="20"/>
                <w:color w:val="auto"/>
              </w:rPr>
            </w:pPr>
            <w:r>
              <w:rPr>
                <w:rFonts w:ascii="Arial" w:cs="Arial" w:eastAsia="Arial" w:hAnsi="Arial"/>
                <w:sz w:val="8"/>
                <w:szCs w:val="8"/>
                <w:color w:val="auto"/>
              </w:rPr>
              <w:t>3,162</w:t>
            </w: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380" w:type="dxa"/>
            <w:vAlign w:val="bottom"/>
          </w:tcPr>
          <w:p>
            <w:pPr>
              <w:jc w:val="right"/>
              <w:spacing w:after="0" w:line="90" w:lineRule="exact"/>
              <w:rPr>
                <w:sz w:val="20"/>
                <w:szCs w:val="20"/>
                <w:color w:val="auto"/>
              </w:rPr>
            </w:pPr>
            <w:r>
              <w:rPr>
                <w:rFonts w:ascii="Arial" w:cs="Arial" w:eastAsia="Arial" w:hAnsi="Arial"/>
                <w:sz w:val="8"/>
                <w:szCs w:val="8"/>
                <w:color w:val="auto"/>
              </w:rPr>
              <w:t>300,042</w:t>
            </w:r>
          </w:p>
        </w:tc>
      </w:tr>
      <w:tr>
        <w:trPr>
          <w:trHeight w:val="90"/>
        </w:trPr>
        <w:tc>
          <w:tcPr>
            <w:tcW w:w="8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Arial" w:cs="Arial" w:eastAsia="Arial" w:hAnsi="Arial"/>
                <w:sz w:val="8"/>
                <w:szCs w:val="8"/>
                <w:color w:val="auto"/>
              </w:rPr>
              <w:t>2/25/2022(f)</w:t>
            </w: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jc w:val="right"/>
              <w:ind w:right="18"/>
              <w:spacing w:after="0" w:line="90" w:lineRule="exact"/>
              <w:rPr>
                <w:sz w:val="20"/>
                <w:szCs w:val="20"/>
                <w:color w:val="auto"/>
              </w:rPr>
            </w:pPr>
            <w:r>
              <w:rPr>
                <w:rFonts w:ascii="Arial" w:cs="Arial" w:eastAsia="Arial" w:hAnsi="Arial"/>
                <w:sz w:val="8"/>
                <w:szCs w:val="8"/>
                <w:color w:val="auto"/>
              </w:rPr>
              <w:t>42,155</w:t>
            </w: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gridSpan w:val="2"/>
          </w:tcPr>
          <w:p>
            <w:pPr>
              <w:jc w:val="right"/>
              <w:spacing w:after="0" w:line="90" w:lineRule="exact"/>
              <w:rPr>
                <w:sz w:val="20"/>
                <w:szCs w:val="20"/>
                <w:color w:val="auto"/>
              </w:rPr>
            </w:pPr>
            <w:r>
              <w:rPr>
                <w:rFonts w:ascii="Arial" w:cs="Arial" w:eastAsia="Arial" w:hAnsi="Arial"/>
                <w:sz w:val="8"/>
                <w:szCs w:val="8"/>
                <w:color w:val="auto"/>
              </w:rPr>
              <w:t>$ 4,000,088</w:t>
            </w:r>
          </w:p>
        </w:tc>
      </w:tr>
      <w:tr>
        <w:trPr>
          <w:trHeight w:val="100"/>
        </w:trPr>
        <w:tc>
          <w:tcPr>
            <w:tcW w:w="86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2/25/2022(d)</w:t>
            </w: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jc w:val="right"/>
              <w:ind w:right="78"/>
              <w:spacing w:after="0"/>
              <w:rPr>
                <w:sz w:val="20"/>
                <w:szCs w:val="20"/>
                <w:color w:val="auto"/>
              </w:rPr>
            </w:pPr>
            <w:r>
              <w:rPr>
                <w:rFonts w:ascii="Arial" w:cs="Arial" w:eastAsia="Arial" w:hAnsi="Arial"/>
                <w:sz w:val="8"/>
                <w:szCs w:val="8"/>
                <w:color w:val="auto"/>
              </w:rPr>
              <w:t>15,807</w:t>
            </w:r>
          </w:p>
        </w:tc>
        <w:tc>
          <w:tcPr>
            <w:tcW w:w="560" w:type="dxa"/>
            <w:vAlign w:val="bottom"/>
          </w:tcPr>
          <w:p>
            <w:pPr>
              <w:jc w:val="center"/>
              <w:spacing w:after="0"/>
              <w:rPr>
                <w:sz w:val="20"/>
                <w:szCs w:val="20"/>
                <w:color w:val="auto"/>
              </w:rPr>
            </w:pPr>
            <w:r>
              <w:rPr>
                <w:rFonts w:ascii="Arial" w:cs="Arial" w:eastAsia="Arial" w:hAnsi="Arial"/>
                <w:sz w:val="8"/>
                <w:szCs w:val="8"/>
                <w:color w:val="auto"/>
                <w:w w:val="97"/>
              </w:rPr>
              <w:t>$ 94.89</w:t>
            </w:r>
          </w:p>
        </w:tc>
        <w:tc>
          <w:tcPr>
            <w:tcW w:w="160" w:type="dxa"/>
            <w:vAlign w:val="bottom"/>
          </w:tcPr>
          <w:p>
            <w:pPr>
              <w:jc w:val="right"/>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337,954</w:t>
            </w:r>
          </w:p>
        </w:tc>
      </w:tr>
      <w:tr>
        <w:trPr>
          <w:trHeight w:val="66"/>
        </w:trPr>
        <w:tc>
          <w:tcPr>
            <w:tcW w:w="86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56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56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r>
      <w:tr>
        <w:trPr>
          <w:trHeight w:val="138"/>
        </w:trPr>
        <w:tc>
          <w:tcPr>
            <w:tcW w:w="860" w:type="dxa"/>
            <w:vAlign w:val="bottom"/>
          </w:tcPr>
          <w:p>
            <w:pPr>
              <w:ind w:left="40"/>
              <w:spacing w:after="0"/>
              <w:rPr>
                <w:sz w:val="20"/>
                <w:szCs w:val="20"/>
                <w:color w:val="auto"/>
              </w:rPr>
            </w:pPr>
            <w:r>
              <w:rPr>
                <w:rFonts w:ascii="Arial" w:cs="Arial" w:eastAsia="Arial" w:hAnsi="Arial"/>
                <w:sz w:val="8"/>
                <w:szCs w:val="8"/>
                <w:color w:val="auto"/>
              </w:rPr>
              <w:t>Eric Nyman</w:t>
            </w:r>
          </w:p>
        </w:tc>
        <w:tc>
          <w:tcPr>
            <w:tcW w:w="600" w:type="dxa"/>
            <w:vAlign w:val="bottom"/>
          </w:tcPr>
          <w:p>
            <w:pPr>
              <w:jc w:val="right"/>
              <w:spacing w:after="0"/>
              <w:rPr>
                <w:sz w:val="20"/>
                <w:szCs w:val="20"/>
                <w:color w:val="auto"/>
              </w:rPr>
            </w:pPr>
            <w:r>
              <w:rPr>
                <w:rFonts w:ascii="Arial" w:cs="Arial" w:eastAsia="Arial" w:hAnsi="Arial"/>
                <w:sz w:val="8"/>
                <w:szCs w:val="8"/>
                <w:color w:val="auto"/>
              </w:rPr>
              <w:t>2/3/2022(a)</w:t>
            </w:r>
          </w:p>
        </w:tc>
        <w:tc>
          <w:tcPr>
            <w:tcW w:w="680" w:type="dxa"/>
            <w:vAlign w:val="bottom"/>
          </w:tcPr>
          <w:p>
            <w:pPr>
              <w:jc w:val="right"/>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138"/>
              <w:spacing w:after="0"/>
              <w:rPr>
                <w:sz w:val="20"/>
                <w:szCs w:val="20"/>
                <w:color w:val="auto"/>
              </w:rPr>
            </w:pPr>
            <w:r>
              <w:rPr>
                <w:rFonts w:ascii="Arial" w:cs="Arial" w:eastAsia="Arial" w:hAnsi="Arial"/>
                <w:sz w:val="8"/>
                <w:szCs w:val="8"/>
                <w:color w:val="auto"/>
              </w:rPr>
              <w:t>1,100,000</w:t>
            </w: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90"/>
        </w:trPr>
        <w:tc>
          <w:tcPr>
            <w:tcW w:w="8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Arial" w:cs="Arial" w:eastAsia="Arial" w:hAnsi="Arial"/>
                <w:sz w:val="8"/>
                <w:szCs w:val="8"/>
                <w:color w:val="auto"/>
              </w:rPr>
              <w:t>3/10/2022(b)</w:t>
            </w: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jc w:val="right"/>
              <w:ind w:right="198"/>
              <w:spacing w:after="0" w:line="90" w:lineRule="exact"/>
              <w:rPr>
                <w:sz w:val="20"/>
                <w:szCs w:val="20"/>
                <w:color w:val="auto"/>
              </w:rPr>
            </w:pPr>
            <w:r>
              <w:rPr>
                <w:rFonts w:ascii="Arial" w:cs="Arial" w:eastAsia="Arial" w:hAnsi="Arial"/>
                <w:sz w:val="8"/>
                <w:szCs w:val="8"/>
                <w:color w:val="auto"/>
              </w:rPr>
              <w:t>11,593</w:t>
            </w:r>
          </w:p>
        </w:tc>
        <w:tc>
          <w:tcPr>
            <w:tcW w:w="640" w:type="dxa"/>
            <w:vAlign w:val="bottom"/>
          </w:tcPr>
          <w:p>
            <w:pPr>
              <w:spacing w:after="0"/>
              <w:rPr>
                <w:sz w:val="7"/>
                <w:szCs w:val="7"/>
                <w:color w:val="auto"/>
              </w:rPr>
            </w:pPr>
          </w:p>
        </w:tc>
        <w:tc>
          <w:tcPr>
            <w:tcW w:w="660" w:type="dxa"/>
            <w:vAlign w:val="bottom"/>
          </w:tcPr>
          <w:p>
            <w:pPr>
              <w:jc w:val="right"/>
              <w:ind w:right="158"/>
              <w:spacing w:after="0" w:line="90" w:lineRule="exact"/>
              <w:rPr>
                <w:sz w:val="20"/>
                <w:szCs w:val="20"/>
                <w:color w:val="auto"/>
              </w:rPr>
            </w:pPr>
            <w:r>
              <w:rPr>
                <w:rFonts w:ascii="Arial" w:cs="Arial" w:eastAsia="Arial" w:hAnsi="Arial"/>
                <w:sz w:val="8"/>
                <w:szCs w:val="8"/>
                <w:color w:val="auto"/>
              </w:rPr>
              <w:t>23,185</w:t>
            </w:r>
          </w:p>
        </w:tc>
        <w:tc>
          <w:tcPr>
            <w:tcW w:w="600" w:type="dxa"/>
            <w:vAlign w:val="bottom"/>
          </w:tcPr>
          <w:p>
            <w:pPr>
              <w:jc w:val="right"/>
              <w:ind w:right="158"/>
              <w:spacing w:after="0" w:line="90" w:lineRule="exact"/>
              <w:rPr>
                <w:sz w:val="20"/>
                <w:szCs w:val="20"/>
                <w:color w:val="auto"/>
              </w:rPr>
            </w:pPr>
            <w:r>
              <w:rPr>
                <w:rFonts w:ascii="Arial" w:cs="Arial" w:eastAsia="Arial" w:hAnsi="Arial"/>
                <w:sz w:val="8"/>
                <w:szCs w:val="8"/>
                <w:color w:val="auto"/>
              </w:rPr>
              <w:t>46,370</w:t>
            </w: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gridSpan w:val="2"/>
          </w:tcPr>
          <w:p>
            <w:pPr>
              <w:jc w:val="right"/>
              <w:spacing w:after="0" w:line="90" w:lineRule="exact"/>
              <w:rPr>
                <w:sz w:val="20"/>
                <w:szCs w:val="20"/>
                <w:color w:val="auto"/>
              </w:rPr>
            </w:pPr>
            <w:r>
              <w:rPr>
                <w:rFonts w:ascii="Arial" w:cs="Arial" w:eastAsia="Arial" w:hAnsi="Arial"/>
                <w:sz w:val="8"/>
                <w:szCs w:val="8"/>
                <w:color w:val="auto"/>
              </w:rPr>
              <w:t>$ 2,200,025</w:t>
            </w:r>
          </w:p>
        </w:tc>
      </w:tr>
      <w:tr>
        <w:trPr>
          <w:trHeight w:val="90"/>
        </w:trPr>
        <w:tc>
          <w:tcPr>
            <w:tcW w:w="8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Arial" w:cs="Arial" w:eastAsia="Arial" w:hAnsi="Arial"/>
                <w:sz w:val="8"/>
                <w:szCs w:val="8"/>
                <w:color w:val="auto"/>
              </w:rPr>
              <w:t>2/25/2022(c)</w:t>
            </w: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jc w:val="right"/>
              <w:ind w:right="18"/>
              <w:spacing w:after="0" w:line="90" w:lineRule="exact"/>
              <w:rPr>
                <w:sz w:val="20"/>
                <w:szCs w:val="20"/>
                <w:color w:val="auto"/>
              </w:rPr>
            </w:pPr>
            <w:r>
              <w:rPr>
                <w:rFonts w:ascii="Arial" w:cs="Arial" w:eastAsia="Arial" w:hAnsi="Arial"/>
                <w:sz w:val="8"/>
                <w:szCs w:val="8"/>
                <w:color w:val="auto"/>
              </w:rPr>
              <w:t>11,593</w:t>
            </w: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gridSpan w:val="2"/>
          </w:tcPr>
          <w:p>
            <w:pPr>
              <w:jc w:val="right"/>
              <w:spacing w:after="0" w:line="90" w:lineRule="exact"/>
              <w:rPr>
                <w:sz w:val="20"/>
                <w:szCs w:val="20"/>
                <w:color w:val="auto"/>
              </w:rPr>
            </w:pPr>
            <w:r>
              <w:rPr>
                <w:rFonts w:ascii="Arial" w:cs="Arial" w:eastAsia="Arial" w:hAnsi="Arial"/>
                <w:sz w:val="8"/>
                <w:szCs w:val="8"/>
                <w:color w:val="auto"/>
              </w:rPr>
              <w:t>$ 1,100,060</w:t>
            </w:r>
          </w:p>
        </w:tc>
      </w:tr>
      <w:tr>
        <w:trPr>
          <w:trHeight w:val="90"/>
        </w:trPr>
        <w:tc>
          <w:tcPr>
            <w:tcW w:w="8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Arial" w:cs="Arial" w:eastAsia="Arial" w:hAnsi="Arial"/>
                <w:sz w:val="8"/>
                <w:szCs w:val="8"/>
                <w:color w:val="auto"/>
              </w:rPr>
              <w:t>2/25/2022(e)</w:t>
            </w: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jc w:val="right"/>
              <w:ind w:right="18"/>
              <w:spacing w:after="0" w:line="90" w:lineRule="exact"/>
              <w:rPr>
                <w:sz w:val="20"/>
                <w:szCs w:val="20"/>
                <w:color w:val="auto"/>
              </w:rPr>
            </w:pPr>
            <w:r>
              <w:rPr>
                <w:rFonts w:ascii="Arial" w:cs="Arial" w:eastAsia="Arial" w:hAnsi="Arial"/>
                <w:sz w:val="8"/>
                <w:szCs w:val="8"/>
                <w:color w:val="auto"/>
              </w:rPr>
              <w:t>7,904</w:t>
            </w: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380" w:type="dxa"/>
            <w:vAlign w:val="bottom"/>
          </w:tcPr>
          <w:p>
            <w:pPr>
              <w:jc w:val="right"/>
              <w:spacing w:after="0" w:line="90" w:lineRule="exact"/>
              <w:rPr>
                <w:sz w:val="20"/>
                <w:szCs w:val="20"/>
                <w:color w:val="auto"/>
              </w:rPr>
            </w:pPr>
            <w:r>
              <w:rPr>
                <w:rFonts w:ascii="Arial" w:cs="Arial" w:eastAsia="Arial" w:hAnsi="Arial"/>
                <w:sz w:val="8"/>
                <w:szCs w:val="8"/>
                <w:color w:val="auto"/>
              </w:rPr>
              <w:t>750,011</w:t>
            </w:r>
          </w:p>
        </w:tc>
      </w:tr>
      <w:tr>
        <w:trPr>
          <w:trHeight w:val="100"/>
        </w:trPr>
        <w:tc>
          <w:tcPr>
            <w:tcW w:w="86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2/25/2022(d)</w:t>
            </w: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jc w:val="right"/>
              <w:ind w:right="78"/>
              <w:spacing w:after="0"/>
              <w:rPr>
                <w:sz w:val="20"/>
                <w:szCs w:val="20"/>
                <w:color w:val="auto"/>
              </w:rPr>
            </w:pPr>
            <w:r>
              <w:rPr>
                <w:rFonts w:ascii="Arial" w:cs="Arial" w:eastAsia="Arial" w:hAnsi="Arial"/>
                <w:sz w:val="8"/>
                <w:szCs w:val="8"/>
                <w:color w:val="auto"/>
              </w:rPr>
              <w:t>57,962</w:t>
            </w:r>
          </w:p>
        </w:tc>
        <w:tc>
          <w:tcPr>
            <w:tcW w:w="560" w:type="dxa"/>
            <w:vAlign w:val="bottom"/>
          </w:tcPr>
          <w:p>
            <w:pPr>
              <w:jc w:val="center"/>
              <w:spacing w:after="0"/>
              <w:rPr>
                <w:sz w:val="20"/>
                <w:szCs w:val="20"/>
                <w:color w:val="auto"/>
              </w:rPr>
            </w:pPr>
            <w:r>
              <w:rPr>
                <w:rFonts w:ascii="Arial" w:cs="Arial" w:eastAsia="Arial" w:hAnsi="Arial"/>
                <w:sz w:val="8"/>
                <w:szCs w:val="8"/>
                <w:color w:val="auto"/>
                <w:w w:val="97"/>
              </w:rPr>
              <w:t>$ 94.89</w:t>
            </w:r>
          </w:p>
        </w:tc>
        <w:tc>
          <w:tcPr>
            <w:tcW w:w="540" w:type="dxa"/>
            <w:vAlign w:val="bottom"/>
            <w:gridSpan w:val="2"/>
          </w:tcPr>
          <w:p>
            <w:pPr>
              <w:jc w:val="right"/>
              <w:spacing w:after="0"/>
              <w:rPr>
                <w:sz w:val="20"/>
                <w:szCs w:val="20"/>
                <w:color w:val="auto"/>
              </w:rPr>
            </w:pPr>
            <w:r>
              <w:rPr>
                <w:rFonts w:ascii="Arial" w:cs="Arial" w:eastAsia="Arial" w:hAnsi="Arial"/>
                <w:sz w:val="8"/>
                <w:szCs w:val="8"/>
                <w:color w:val="auto"/>
              </w:rPr>
              <w:t>$ 1,239,228</w:t>
            </w:r>
          </w:p>
        </w:tc>
      </w:tr>
      <w:tr>
        <w:trPr>
          <w:trHeight w:val="66"/>
        </w:trPr>
        <w:tc>
          <w:tcPr>
            <w:tcW w:w="86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56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56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r>
      <w:tr>
        <w:trPr>
          <w:trHeight w:val="138"/>
        </w:trPr>
        <w:tc>
          <w:tcPr>
            <w:tcW w:w="860" w:type="dxa"/>
            <w:vAlign w:val="bottom"/>
          </w:tcPr>
          <w:p>
            <w:pPr>
              <w:ind w:left="40"/>
              <w:spacing w:after="0"/>
              <w:rPr>
                <w:sz w:val="20"/>
                <w:szCs w:val="20"/>
                <w:color w:val="auto"/>
              </w:rPr>
            </w:pPr>
            <w:r>
              <w:rPr>
                <w:rFonts w:ascii="Arial" w:cs="Arial" w:eastAsia="Arial" w:hAnsi="Arial"/>
                <w:sz w:val="8"/>
                <w:szCs w:val="8"/>
                <w:color w:val="auto"/>
              </w:rPr>
              <w:t>Darren Throop</w:t>
            </w:r>
          </w:p>
        </w:tc>
        <w:tc>
          <w:tcPr>
            <w:tcW w:w="600" w:type="dxa"/>
            <w:vAlign w:val="bottom"/>
          </w:tcPr>
          <w:p>
            <w:pPr>
              <w:jc w:val="right"/>
              <w:spacing w:after="0"/>
              <w:rPr>
                <w:sz w:val="20"/>
                <w:szCs w:val="20"/>
                <w:color w:val="auto"/>
              </w:rPr>
            </w:pPr>
            <w:r>
              <w:rPr>
                <w:rFonts w:ascii="Arial" w:cs="Arial" w:eastAsia="Arial" w:hAnsi="Arial"/>
                <w:sz w:val="8"/>
                <w:szCs w:val="8"/>
                <w:color w:val="auto"/>
              </w:rPr>
              <w:t>2/3/2022(a)</w:t>
            </w:r>
          </w:p>
        </w:tc>
        <w:tc>
          <w:tcPr>
            <w:tcW w:w="680" w:type="dxa"/>
            <w:vAlign w:val="bottom"/>
          </w:tcPr>
          <w:p>
            <w:pPr>
              <w:jc w:val="right"/>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138"/>
              <w:spacing w:after="0"/>
              <w:rPr>
                <w:sz w:val="20"/>
                <w:szCs w:val="20"/>
                <w:color w:val="auto"/>
              </w:rPr>
            </w:pPr>
            <w:r>
              <w:rPr>
                <w:rFonts w:ascii="Arial" w:cs="Arial" w:eastAsia="Arial" w:hAnsi="Arial"/>
                <w:sz w:val="8"/>
                <w:szCs w:val="8"/>
                <w:color w:val="auto"/>
              </w:rPr>
              <w:t>1,500,000</w:t>
            </w: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90"/>
        </w:trPr>
        <w:tc>
          <w:tcPr>
            <w:tcW w:w="8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Arial" w:cs="Arial" w:eastAsia="Arial" w:hAnsi="Arial"/>
                <w:sz w:val="8"/>
                <w:szCs w:val="8"/>
                <w:color w:val="auto"/>
              </w:rPr>
              <w:t>3/10/2022(b)</w:t>
            </w: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jc w:val="right"/>
              <w:ind w:right="198"/>
              <w:spacing w:after="0" w:line="90" w:lineRule="exact"/>
              <w:rPr>
                <w:sz w:val="20"/>
                <w:szCs w:val="20"/>
                <w:color w:val="auto"/>
              </w:rPr>
            </w:pPr>
            <w:r>
              <w:rPr>
                <w:rFonts w:ascii="Arial" w:cs="Arial" w:eastAsia="Arial" w:hAnsi="Arial"/>
                <w:sz w:val="8"/>
                <w:szCs w:val="8"/>
                <w:color w:val="auto"/>
              </w:rPr>
              <w:t>15,808</w:t>
            </w:r>
          </w:p>
        </w:tc>
        <w:tc>
          <w:tcPr>
            <w:tcW w:w="640" w:type="dxa"/>
            <w:vAlign w:val="bottom"/>
          </w:tcPr>
          <w:p>
            <w:pPr>
              <w:spacing w:after="0"/>
              <w:rPr>
                <w:sz w:val="7"/>
                <w:szCs w:val="7"/>
                <w:color w:val="auto"/>
              </w:rPr>
            </w:pPr>
          </w:p>
        </w:tc>
        <w:tc>
          <w:tcPr>
            <w:tcW w:w="660" w:type="dxa"/>
            <w:vAlign w:val="bottom"/>
          </w:tcPr>
          <w:p>
            <w:pPr>
              <w:jc w:val="right"/>
              <w:ind w:right="158"/>
              <w:spacing w:after="0" w:line="90" w:lineRule="exact"/>
              <w:rPr>
                <w:sz w:val="20"/>
                <w:szCs w:val="20"/>
                <w:color w:val="auto"/>
              </w:rPr>
            </w:pPr>
            <w:r>
              <w:rPr>
                <w:rFonts w:ascii="Arial" w:cs="Arial" w:eastAsia="Arial" w:hAnsi="Arial"/>
                <w:sz w:val="8"/>
                <w:szCs w:val="8"/>
                <w:color w:val="auto"/>
              </w:rPr>
              <w:t>31,616</w:t>
            </w:r>
          </w:p>
        </w:tc>
        <w:tc>
          <w:tcPr>
            <w:tcW w:w="600" w:type="dxa"/>
            <w:vAlign w:val="bottom"/>
          </w:tcPr>
          <w:p>
            <w:pPr>
              <w:jc w:val="right"/>
              <w:ind w:right="158"/>
              <w:spacing w:after="0" w:line="90" w:lineRule="exact"/>
              <w:rPr>
                <w:sz w:val="20"/>
                <w:szCs w:val="20"/>
                <w:color w:val="auto"/>
              </w:rPr>
            </w:pPr>
            <w:r>
              <w:rPr>
                <w:rFonts w:ascii="Arial" w:cs="Arial" w:eastAsia="Arial" w:hAnsi="Arial"/>
                <w:sz w:val="8"/>
                <w:szCs w:val="8"/>
                <w:color w:val="auto"/>
              </w:rPr>
              <w:t>63,232</w:t>
            </w: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gridSpan w:val="2"/>
          </w:tcPr>
          <w:p>
            <w:pPr>
              <w:jc w:val="right"/>
              <w:spacing w:after="0" w:line="90" w:lineRule="exact"/>
              <w:rPr>
                <w:sz w:val="20"/>
                <w:szCs w:val="20"/>
                <w:color w:val="auto"/>
              </w:rPr>
            </w:pPr>
            <w:r>
              <w:rPr>
                <w:rFonts w:ascii="Arial" w:cs="Arial" w:eastAsia="Arial" w:hAnsi="Arial"/>
                <w:sz w:val="8"/>
                <w:szCs w:val="8"/>
                <w:color w:val="auto"/>
              </w:rPr>
              <w:t>$ 3,000,042</w:t>
            </w:r>
          </w:p>
        </w:tc>
      </w:tr>
      <w:tr>
        <w:trPr>
          <w:trHeight w:val="90"/>
        </w:trPr>
        <w:tc>
          <w:tcPr>
            <w:tcW w:w="8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Arial" w:cs="Arial" w:eastAsia="Arial" w:hAnsi="Arial"/>
                <w:sz w:val="8"/>
                <w:szCs w:val="8"/>
                <w:color w:val="auto"/>
              </w:rPr>
              <w:t>2/25/2022(c)</w:t>
            </w: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jc w:val="right"/>
              <w:ind w:right="18"/>
              <w:spacing w:after="0" w:line="90" w:lineRule="exact"/>
              <w:rPr>
                <w:sz w:val="20"/>
                <w:szCs w:val="20"/>
                <w:color w:val="auto"/>
              </w:rPr>
            </w:pPr>
            <w:r>
              <w:rPr>
                <w:rFonts w:ascii="Arial" w:cs="Arial" w:eastAsia="Arial" w:hAnsi="Arial"/>
                <w:sz w:val="8"/>
                <w:szCs w:val="8"/>
                <w:color w:val="auto"/>
              </w:rPr>
              <w:t>15,808</w:t>
            </w: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gridSpan w:val="2"/>
          </w:tcPr>
          <w:p>
            <w:pPr>
              <w:jc w:val="right"/>
              <w:spacing w:after="0" w:line="90" w:lineRule="exact"/>
              <w:rPr>
                <w:sz w:val="20"/>
                <w:szCs w:val="20"/>
                <w:color w:val="auto"/>
              </w:rPr>
            </w:pPr>
            <w:r>
              <w:rPr>
                <w:rFonts w:ascii="Arial" w:cs="Arial" w:eastAsia="Arial" w:hAnsi="Arial"/>
                <w:sz w:val="8"/>
                <w:szCs w:val="8"/>
                <w:color w:val="auto"/>
              </w:rPr>
              <w:t>$ 1,500,021</w:t>
            </w:r>
          </w:p>
        </w:tc>
      </w:tr>
      <w:tr>
        <w:trPr>
          <w:trHeight w:val="100"/>
        </w:trPr>
        <w:tc>
          <w:tcPr>
            <w:tcW w:w="86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2/25/2022(d)</w:t>
            </w: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jc w:val="right"/>
              <w:ind w:right="78"/>
              <w:spacing w:after="0"/>
              <w:rPr>
                <w:sz w:val="20"/>
                <w:szCs w:val="20"/>
                <w:color w:val="auto"/>
              </w:rPr>
            </w:pPr>
            <w:r>
              <w:rPr>
                <w:rFonts w:ascii="Arial" w:cs="Arial" w:eastAsia="Arial" w:hAnsi="Arial"/>
                <w:sz w:val="8"/>
                <w:szCs w:val="8"/>
                <w:color w:val="auto"/>
              </w:rPr>
              <w:t>79,039</w:t>
            </w:r>
          </w:p>
        </w:tc>
        <w:tc>
          <w:tcPr>
            <w:tcW w:w="560" w:type="dxa"/>
            <w:vAlign w:val="bottom"/>
          </w:tcPr>
          <w:p>
            <w:pPr>
              <w:jc w:val="center"/>
              <w:spacing w:after="0"/>
              <w:rPr>
                <w:sz w:val="20"/>
                <w:szCs w:val="20"/>
                <w:color w:val="auto"/>
              </w:rPr>
            </w:pPr>
            <w:r>
              <w:rPr>
                <w:rFonts w:ascii="Arial" w:cs="Arial" w:eastAsia="Arial" w:hAnsi="Arial"/>
                <w:sz w:val="8"/>
                <w:szCs w:val="8"/>
                <w:color w:val="auto"/>
                <w:w w:val="97"/>
              </w:rPr>
              <w:t>$ 94.89</w:t>
            </w:r>
          </w:p>
        </w:tc>
        <w:tc>
          <w:tcPr>
            <w:tcW w:w="540" w:type="dxa"/>
            <w:vAlign w:val="bottom"/>
            <w:gridSpan w:val="2"/>
          </w:tcPr>
          <w:p>
            <w:pPr>
              <w:jc w:val="right"/>
              <w:spacing w:after="0"/>
              <w:rPr>
                <w:sz w:val="20"/>
                <w:szCs w:val="20"/>
                <w:color w:val="auto"/>
              </w:rPr>
            </w:pPr>
            <w:r>
              <w:rPr>
                <w:rFonts w:ascii="Arial" w:cs="Arial" w:eastAsia="Arial" w:hAnsi="Arial"/>
                <w:sz w:val="8"/>
                <w:szCs w:val="8"/>
                <w:color w:val="auto"/>
              </w:rPr>
              <w:t>$ 1,797,347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41910</wp:posOffset>
            </wp:positionV>
            <wp:extent cx="4663440" cy="571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12" w:lineRule="exact"/>
        <w:rPr>
          <w:sz w:val="20"/>
          <w:szCs w:val="20"/>
          <w:color w:val="auto"/>
        </w:rPr>
      </w:pPr>
    </w:p>
    <w:p>
      <w:pPr>
        <w:ind w:left="2260" w:hanging="288"/>
        <w:spacing w:after="0"/>
        <w:tabs>
          <w:tab w:leader="none" w:pos="2260" w:val="left"/>
        </w:tabs>
        <w:numPr>
          <w:ilvl w:val="0"/>
          <w:numId w:val="51"/>
        </w:numPr>
        <w:rPr>
          <w:rFonts w:ascii="Arial" w:cs="Arial" w:eastAsia="Arial" w:hAnsi="Arial"/>
          <w:sz w:val="10"/>
          <w:szCs w:val="10"/>
          <w:color w:val="auto"/>
        </w:rPr>
      </w:pPr>
      <w:r>
        <w:rPr>
          <w:rFonts w:ascii="Arial" w:cs="Arial" w:eastAsia="Arial" w:hAnsi="Arial"/>
          <w:sz w:val="10"/>
          <w:szCs w:val="10"/>
          <w:color w:val="auto"/>
        </w:rPr>
        <w:t>These management incentive awards were made pursuant to the Company’s Senior Management Annual Performance Plan.</w:t>
      </w:r>
    </w:p>
    <w:p>
      <w:pPr>
        <w:spacing w:after="0" w:line="47" w:lineRule="exact"/>
        <w:rPr>
          <w:rFonts w:ascii="Arial" w:cs="Arial" w:eastAsia="Arial" w:hAnsi="Arial"/>
          <w:sz w:val="10"/>
          <w:szCs w:val="10"/>
          <w:color w:val="auto"/>
        </w:rPr>
      </w:pPr>
    </w:p>
    <w:p>
      <w:pPr>
        <w:ind w:left="2260" w:right="899" w:hanging="288"/>
        <w:spacing w:after="0" w:line="228" w:lineRule="auto"/>
        <w:tabs>
          <w:tab w:leader="none" w:pos="2260" w:val="left"/>
        </w:tabs>
        <w:numPr>
          <w:ilvl w:val="0"/>
          <w:numId w:val="51"/>
        </w:numPr>
        <w:rPr>
          <w:rFonts w:ascii="Arial" w:cs="Arial" w:eastAsia="Arial" w:hAnsi="Arial"/>
          <w:sz w:val="10"/>
          <w:szCs w:val="10"/>
          <w:color w:val="auto"/>
        </w:rPr>
      </w:pPr>
      <w:r>
        <w:rPr>
          <w:rFonts w:ascii="Arial" w:cs="Arial" w:eastAsia="Arial" w:hAnsi="Arial"/>
          <w:sz w:val="10"/>
          <w:szCs w:val="10"/>
          <w:color w:val="auto"/>
        </w:rPr>
        <w:t>All of these contingent stock performance awards were granted pursuant to the 2003 Plan. These awards provide the recipients with the ability to earn shares of the Company’s Common Stock based on the Company’s achievement of stated cumulative diluted earnings per share (“EPS”), cumulative net revenue (“Revenues”) and average return on invested capital (“ROIC”) targets over a three-year period beginning at the beginning of fiscal 2022 and ending December 2024 (the “Performance Period”). Each Stock Performance Award has a target number of shares of Common Stock associated with such award which may be earned by the recipient if the Company achieves the stated EPS, Revenue, and ROIC targets set for the Performance Period.</w:t>
      </w:r>
    </w:p>
    <w:p>
      <w:pPr>
        <w:spacing w:after="0" w:line="47" w:lineRule="exact"/>
        <w:rPr>
          <w:rFonts w:ascii="Arial" w:cs="Arial" w:eastAsia="Arial" w:hAnsi="Arial"/>
          <w:sz w:val="10"/>
          <w:szCs w:val="10"/>
          <w:color w:val="auto"/>
        </w:rPr>
      </w:pPr>
    </w:p>
    <w:p>
      <w:pPr>
        <w:ind w:left="2260" w:right="859" w:hanging="288"/>
        <w:spacing w:after="0" w:line="311" w:lineRule="auto"/>
        <w:tabs>
          <w:tab w:leader="none" w:pos="2260" w:val="left"/>
        </w:tabs>
        <w:numPr>
          <w:ilvl w:val="0"/>
          <w:numId w:val="51"/>
        </w:numPr>
        <w:rPr>
          <w:rFonts w:ascii="Arial" w:cs="Arial" w:eastAsia="Arial" w:hAnsi="Arial"/>
          <w:sz w:val="8"/>
          <w:szCs w:val="8"/>
          <w:color w:val="auto"/>
        </w:rPr>
      </w:pPr>
      <w:r>
        <w:rPr>
          <w:rFonts w:ascii="Arial" w:cs="Arial" w:eastAsia="Arial" w:hAnsi="Arial"/>
          <w:sz w:val="8"/>
          <w:szCs w:val="8"/>
          <w:color w:val="auto"/>
        </w:rPr>
        <w:t>All of these restricted share units were granted pursuant to the 2003 Plan. These units vest in equal annual installments over the first three anniversaries of the date of grant. Awards may be eligible for accelerated vesting in connection with a change-in-control or certain termination scenarios, as described more fully below under “Potential Payments Upon Termination or Change in Control; Agreements and Arrangements Providing Post-Employment and Change in Control Benefits”.</w:t>
      </w:r>
    </w:p>
    <w:p>
      <w:pPr>
        <w:spacing w:after="0" w:line="20" w:lineRule="exact"/>
        <w:rPr>
          <w:rFonts w:ascii="Arial" w:cs="Arial" w:eastAsia="Arial" w:hAnsi="Arial"/>
          <w:sz w:val="8"/>
          <w:szCs w:val="8"/>
          <w:color w:val="auto"/>
        </w:rPr>
      </w:pPr>
    </w:p>
    <w:p>
      <w:pPr>
        <w:ind w:left="2260" w:right="859" w:hanging="288"/>
        <w:spacing w:after="0" w:line="301" w:lineRule="auto"/>
        <w:tabs>
          <w:tab w:leader="none" w:pos="2260" w:val="left"/>
        </w:tabs>
        <w:numPr>
          <w:ilvl w:val="0"/>
          <w:numId w:val="51"/>
        </w:numPr>
        <w:rPr>
          <w:rFonts w:ascii="Arial" w:cs="Arial" w:eastAsia="Arial" w:hAnsi="Arial"/>
          <w:sz w:val="8"/>
          <w:szCs w:val="8"/>
          <w:color w:val="auto"/>
        </w:rPr>
      </w:pPr>
      <w:r>
        <w:rPr>
          <w:rFonts w:ascii="Arial" w:cs="Arial" w:eastAsia="Arial" w:hAnsi="Arial"/>
          <w:sz w:val="8"/>
          <w:szCs w:val="8"/>
          <w:color w:val="auto"/>
        </w:rPr>
        <w:t>All of these options were granted pursuant to the 2003 Plan. These options are non-qualified, were granted with an exercise price equal to the average of the high and low sales prices of the Company’s common stock on the date of grant, and vest in equal annual installments over the first three anniversaries of the date of grant. Awards may be eligible for accelerated vesting in connection with a change-in-control or certain termination scenarios, as described more fully below under “Potential Payments Upon Termination or Change in Control; Agreements and Arrangements Providing Post-Employment and Change in Control Benefits”.</w:t>
      </w:r>
    </w:p>
    <w:p>
      <w:pPr>
        <w:spacing w:after="0" w:line="24" w:lineRule="exact"/>
        <w:rPr>
          <w:rFonts w:ascii="Arial" w:cs="Arial" w:eastAsia="Arial" w:hAnsi="Arial"/>
          <w:sz w:val="8"/>
          <w:szCs w:val="8"/>
          <w:color w:val="auto"/>
        </w:rPr>
      </w:pPr>
    </w:p>
    <w:p>
      <w:pPr>
        <w:ind w:left="2260" w:hanging="288"/>
        <w:spacing w:after="0"/>
        <w:tabs>
          <w:tab w:leader="none" w:pos="2260" w:val="left"/>
        </w:tabs>
        <w:numPr>
          <w:ilvl w:val="0"/>
          <w:numId w:val="51"/>
        </w:numPr>
        <w:rPr>
          <w:rFonts w:ascii="Arial" w:cs="Arial" w:eastAsia="Arial" w:hAnsi="Arial"/>
          <w:sz w:val="10"/>
          <w:szCs w:val="10"/>
          <w:color w:val="auto"/>
        </w:rPr>
      </w:pPr>
      <w:r>
        <w:rPr>
          <w:rFonts w:ascii="Arial" w:cs="Arial" w:eastAsia="Arial" w:hAnsi="Arial"/>
          <w:sz w:val="10"/>
          <w:szCs w:val="10"/>
          <w:color w:val="auto"/>
        </w:rPr>
        <w:t>All of these restricted share units were granted pursuant to the 2003 plan. These units were scheduled to fully vest on December 31, 2023.</w:t>
      </w:r>
    </w:p>
    <w:p>
      <w:pPr>
        <w:spacing w:after="0" w:line="47" w:lineRule="exact"/>
        <w:rPr>
          <w:rFonts w:ascii="Arial" w:cs="Arial" w:eastAsia="Arial" w:hAnsi="Arial"/>
          <w:sz w:val="10"/>
          <w:szCs w:val="10"/>
          <w:color w:val="auto"/>
        </w:rPr>
      </w:pPr>
    </w:p>
    <w:p>
      <w:pPr>
        <w:ind w:left="2260" w:right="1099" w:hanging="288"/>
        <w:spacing w:after="0" w:line="232" w:lineRule="auto"/>
        <w:tabs>
          <w:tab w:leader="none" w:pos="2260" w:val="left"/>
        </w:tabs>
        <w:numPr>
          <w:ilvl w:val="0"/>
          <w:numId w:val="51"/>
        </w:numPr>
        <w:rPr>
          <w:rFonts w:ascii="Arial" w:cs="Arial" w:eastAsia="Arial" w:hAnsi="Arial"/>
          <w:sz w:val="10"/>
          <w:szCs w:val="10"/>
          <w:color w:val="auto"/>
        </w:rPr>
      </w:pPr>
      <w:r>
        <w:rPr>
          <w:rFonts w:ascii="Arial" w:cs="Arial" w:eastAsia="Arial" w:hAnsi="Arial"/>
          <w:sz w:val="10"/>
          <w:szCs w:val="10"/>
          <w:color w:val="auto"/>
        </w:rPr>
        <w:t>All of these restricted share units were granted pursuant to the 2003 plan. 16,071 of these units vested on August 25, 2022 and the remaining units vest in equal installments on February 25, 2023 and February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56515</wp:posOffset>
            </wp:positionV>
            <wp:extent cx="3971925" cy="21717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6"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55</w:t>
      </w:r>
    </w:p>
    <w:p>
      <w:pPr>
        <w:sectPr>
          <w:pgSz w:w="11900" w:h="16838" w:orient="portrait"/>
          <w:cols w:equalWidth="0" w:num="1">
            <w:col w:w="10159"/>
          </w:cols>
          <w:pgMar w:left="300" w:top="372" w:right="1440" w:bottom="1440" w:gutter="0" w:footer="0" w:header="0"/>
        </w:sectPr>
      </w:pPr>
    </w:p>
    <w:bookmarkStart w:id="77" w:name="page78"/>
    <w:bookmarkEnd w:id="7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8" w:lineRule="exact"/>
        <w:rPr>
          <w:sz w:val="20"/>
          <w:szCs w:val="20"/>
          <w:color w:val="auto"/>
        </w:rPr>
      </w:pPr>
    </w:p>
    <w:p>
      <w:pPr>
        <w:ind w:left="2260" w:right="859" w:hanging="288"/>
        <w:spacing w:after="0" w:line="227" w:lineRule="auto"/>
        <w:tabs>
          <w:tab w:leader="none" w:pos="2260" w:val="left"/>
        </w:tabs>
        <w:numPr>
          <w:ilvl w:val="0"/>
          <w:numId w:val="52"/>
        </w:numPr>
        <w:rPr>
          <w:rFonts w:ascii="Arial" w:cs="Arial" w:eastAsia="Arial" w:hAnsi="Arial"/>
          <w:sz w:val="10"/>
          <w:szCs w:val="10"/>
          <w:color w:val="auto"/>
        </w:rPr>
      </w:pPr>
      <w:r>
        <w:rPr>
          <w:rFonts w:ascii="Arial" w:cs="Arial" w:eastAsia="Arial" w:hAnsi="Arial"/>
          <w:sz w:val="10"/>
          <w:szCs w:val="10"/>
          <w:color w:val="auto"/>
        </w:rPr>
        <w:t>The Grant Date Fair Values for options for the Named Executive Officers were determined using the standard application of the Black-Scholes option pricing model using the following weighted average assumptions: The Grant Date Fair Values for options for the Named Executive Officers were determined using the standard application of the Black-Scholes option pricing model. The following weighted average assumptions were used for executive officer awards: volatility 36.59%, dividend yield 2.95% and a risk-free interest rate of 1.81% based on the options being outstanding for approximately 4 years. Please see note 15 to the financial statements included in the Company’s Annual Report on Form 10-K, for the year ended December 25, 2022, for a detailed discussion of the assumptions used in valuing these options and stock awards.</w:t>
      </w:r>
    </w:p>
    <w:p>
      <w:pPr>
        <w:spacing w:after="0" w:line="49" w:lineRule="exact"/>
        <w:rPr>
          <w:rFonts w:ascii="Arial" w:cs="Arial" w:eastAsia="Arial" w:hAnsi="Arial"/>
          <w:sz w:val="10"/>
          <w:szCs w:val="10"/>
          <w:color w:val="auto"/>
        </w:rPr>
      </w:pPr>
    </w:p>
    <w:p>
      <w:pPr>
        <w:ind w:left="2260" w:right="919" w:hanging="288"/>
        <w:spacing w:after="0" w:line="232" w:lineRule="auto"/>
        <w:tabs>
          <w:tab w:leader="none" w:pos="2260" w:val="left"/>
        </w:tabs>
        <w:numPr>
          <w:ilvl w:val="0"/>
          <w:numId w:val="52"/>
        </w:numPr>
        <w:rPr>
          <w:rFonts w:ascii="Arial" w:cs="Arial" w:eastAsia="Arial" w:hAnsi="Arial"/>
          <w:sz w:val="10"/>
          <w:szCs w:val="10"/>
          <w:color w:val="auto"/>
        </w:rPr>
      </w:pPr>
      <w:r>
        <w:rPr>
          <w:rFonts w:ascii="Arial" w:cs="Arial" w:eastAsia="Arial" w:hAnsi="Arial"/>
          <w:sz w:val="10"/>
          <w:szCs w:val="10"/>
          <w:color w:val="auto"/>
        </w:rPr>
        <w:t>These shares were granted pursuant to the 2003 Plan and were fully vested on the grant date. The Company issued these shares to Mr. Stoddart for his service as a director during 2022. For a description of our director compensation program, see “Director Compensation” in this Proxy Statement.</w:t>
      </w:r>
    </w:p>
    <w:p>
      <w:pPr>
        <w:spacing w:after="0" w:line="136" w:lineRule="exact"/>
        <w:rPr>
          <w:sz w:val="20"/>
          <w:szCs w:val="20"/>
          <w:color w:val="auto"/>
        </w:rPr>
      </w:pPr>
    </w:p>
    <w:p>
      <w:pPr>
        <w:ind w:left="1980" w:right="939"/>
        <w:spacing w:after="0" w:line="245" w:lineRule="auto"/>
        <w:rPr>
          <w:sz w:val="20"/>
          <w:szCs w:val="20"/>
          <w:color w:val="auto"/>
        </w:rPr>
      </w:pPr>
      <w:r>
        <w:rPr>
          <w:rFonts w:ascii="Arial" w:cs="Arial" w:eastAsia="Arial" w:hAnsi="Arial"/>
          <w:sz w:val="11"/>
          <w:szCs w:val="11"/>
          <w:color w:val="auto"/>
        </w:rPr>
        <w:t>The following table sets forth information for equity awards held by the named individuals as of the end of the 2022 fiscal year. Mr. Stoddart did not have any outstanding equity awards as of the end of the 2022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98425</wp:posOffset>
            </wp:positionV>
            <wp:extent cx="4663440" cy="22288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4663440" cy="222885"/>
                    </a:xfrm>
                    <a:prstGeom prst="rect">
                      <a:avLst/>
                    </a:prstGeom>
                    <a:noFill/>
                  </pic:spPr>
                </pic:pic>
              </a:graphicData>
            </a:graphic>
          </wp:anchor>
        </w:drawing>
      </w:r>
    </w:p>
    <w:p>
      <w:pPr>
        <w:spacing w:after="0" w:line="18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Outstanding Equity Awards at Fiscal Year-End</w:t>
      </w:r>
    </w:p>
    <w:p>
      <w:pPr>
        <w:spacing w:after="0" w:line="54" w:lineRule="exact"/>
        <w:rPr>
          <w:sz w:val="20"/>
          <w:szCs w:val="20"/>
          <w:color w:val="auto"/>
        </w:rPr>
      </w:pPr>
    </w:p>
    <w:tbl>
      <w:tblPr>
        <w:tblLayout w:type="fixed"/>
        <w:tblInd w:w="1980" w:type="dxa"/>
        <w:tblCellMar>
          <w:top w:w="0" w:type="dxa"/>
          <w:left w:w="0" w:type="dxa"/>
          <w:bottom w:w="0" w:type="dxa"/>
          <w:right w:w="0" w:type="dxa"/>
        </w:tblCellMar>
      </w:tblPr>
      <w:tr>
        <w:trPr>
          <w:trHeight w:val="183"/>
        </w:trPr>
        <w:tc>
          <w:tcPr>
            <w:tcW w:w="1320" w:type="dxa"/>
            <w:vAlign w:val="bottom"/>
            <w:tcBorders>
              <w:top w:val="single" w:sz="8" w:color="0060ED"/>
              <w:bottom w:val="single" w:sz="8" w:color="CCEBF8"/>
            </w:tcBorders>
            <w:shd w:val="clear" w:color="auto" w:fill="CCEBF8"/>
          </w:tcPr>
          <w:p>
            <w:pPr>
              <w:spacing w:after="0"/>
              <w:rPr>
                <w:sz w:val="15"/>
                <w:szCs w:val="15"/>
                <w:color w:val="auto"/>
              </w:rPr>
            </w:pPr>
          </w:p>
        </w:tc>
        <w:tc>
          <w:tcPr>
            <w:tcW w:w="140" w:type="dxa"/>
            <w:vAlign w:val="bottom"/>
            <w:tcBorders>
              <w:top w:val="single" w:sz="8" w:color="0060ED"/>
              <w:bottom w:val="single" w:sz="8" w:color="CCEBF8"/>
            </w:tcBorders>
            <w:shd w:val="clear" w:color="auto" w:fill="CCEBF8"/>
          </w:tcPr>
          <w:p>
            <w:pPr>
              <w:spacing w:after="0"/>
              <w:rPr>
                <w:sz w:val="15"/>
                <w:szCs w:val="15"/>
                <w:color w:val="auto"/>
              </w:rPr>
            </w:pPr>
          </w:p>
        </w:tc>
        <w:tc>
          <w:tcPr>
            <w:tcW w:w="660" w:type="dxa"/>
            <w:vAlign w:val="bottom"/>
            <w:tcBorders>
              <w:top w:val="single" w:sz="8" w:color="0060ED"/>
              <w:bottom w:val="single" w:sz="8" w:color="009BDE"/>
            </w:tcBorders>
            <w:shd w:val="clear" w:color="auto" w:fill="CCEBF8"/>
          </w:tcPr>
          <w:p>
            <w:pPr>
              <w:spacing w:after="0"/>
              <w:rPr>
                <w:sz w:val="15"/>
                <w:szCs w:val="15"/>
                <w:color w:val="auto"/>
              </w:rPr>
            </w:pPr>
          </w:p>
        </w:tc>
        <w:tc>
          <w:tcPr>
            <w:tcW w:w="1520" w:type="dxa"/>
            <w:vAlign w:val="bottom"/>
            <w:tcBorders>
              <w:top w:val="single" w:sz="8" w:color="0060ED"/>
              <w:bottom w:val="single" w:sz="8" w:color="009BDE"/>
            </w:tcBorders>
            <w:gridSpan w:val="2"/>
            <w:shd w:val="clear" w:color="auto" w:fill="CCEBF8"/>
          </w:tcPr>
          <w:p>
            <w:pPr>
              <w:ind w:left="640"/>
              <w:spacing w:after="0"/>
              <w:rPr>
                <w:sz w:val="20"/>
                <w:szCs w:val="20"/>
                <w:color w:val="auto"/>
              </w:rPr>
            </w:pPr>
            <w:r>
              <w:rPr>
                <w:rFonts w:ascii="Arial" w:cs="Arial" w:eastAsia="Arial" w:hAnsi="Arial"/>
                <w:sz w:val="8"/>
                <w:szCs w:val="8"/>
                <w:b w:val="1"/>
                <w:bCs w:val="1"/>
                <w:color w:val="009BDE"/>
              </w:rPr>
              <w:t>Option Awards</w:t>
            </w:r>
          </w:p>
        </w:tc>
        <w:tc>
          <w:tcPr>
            <w:tcW w:w="520" w:type="dxa"/>
            <w:vAlign w:val="bottom"/>
            <w:tcBorders>
              <w:top w:val="single" w:sz="8" w:color="0060ED"/>
              <w:bottom w:val="single" w:sz="8" w:color="009BDE"/>
            </w:tcBorders>
            <w:shd w:val="clear" w:color="auto" w:fill="CCEBF8"/>
          </w:tcPr>
          <w:p>
            <w:pPr>
              <w:spacing w:after="0"/>
              <w:rPr>
                <w:sz w:val="15"/>
                <w:szCs w:val="15"/>
                <w:color w:val="auto"/>
              </w:rPr>
            </w:pPr>
          </w:p>
        </w:tc>
        <w:tc>
          <w:tcPr>
            <w:tcW w:w="500" w:type="dxa"/>
            <w:vAlign w:val="bottom"/>
            <w:tcBorders>
              <w:top w:val="single" w:sz="8" w:color="0060ED"/>
              <w:bottom w:val="single" w:sz="8" w:color="009BDE"/>
            </w:tcBorders>
            <w:shd w:val="clear" w:color="auto" w:fill="CCEBF8"/>
          </w:tcPr>
          <w:p>
            <w:pPr>
              <w:spacing w:after="0"/>
              <w:rPr>
                <w:sz w:val="15"/>
                <w:szCs w:val="15"/>
                <w:color w:val="auto"/>
              </w:rPr>
            </w:pPr>
          </w:p>
        </w:tc>
        <w:tc>
          <w:tcPr>
            <w:tcW w:w="140" w:type="dxa"/>
            <w:vAlign w:val="bottom"/>
            <w:tcBorders>
              <w:top w:val="single" w:sz="8" w:color="0060ED"/>
              <w:bottom w:val="single" w:sz="8" w:color="CCEBF8"/>
            </w:tcBorders>
            <w:shd w:val="clear" w:color="auto" w:fill="CCEBF8"/>
          </w:tcPr>
          <w:p>
            <w:pPr>
              <w:spacing w:after="0"/>
              <w:rPr>
                <w:sz w:val="15"/>
                <w:szCs w:val="15"/>
                <w:color w:val="auto"/>
              </w:rPr>
            </w:pPr>
          </w:p>
        </w:tc>
        <w:tc>
          <w:tcPr>
            <w:tcW w:w="540" w:type="dxa"/>
            <w:vAlign w:val="bottom"/>
            <w:tcBorders>
              <w:top w:val="single" w:sz="8" w:color="0060ED"/>
              <w:bottom w:val="single" w:sz="8" w:color="009BDE"/>
            </w:tcBorders>
            <w:shd w:val="clear" w:color="auto" w:fill="CCEBF8"/>
          </w:tcPr>
          <w:p>
            <w:pPr>
              <w:spacing w:after="0"/>
              <w:rPr>
                <w:sz w:val="15"/>
                <w:szCs w:val="15"/>
                <w:color w:val="auto"/>
              </w:rPr>
            </w:pPr>
          </w:p>
        </w:tc>
        <w:tc>
          <w:tcPr>
            <w:tcW w:w="140" w:type="dxa"/>
            <w:vAlign w:val="bottom"/>
            <w:tcBorders>
              <w:top w:val="single" w:sz="8" w:color="0060ED"/>
              <w:bottom w:val="single" w:sz="8" w:color="009BDE"/>
            </w:tcBorders>
            <w:shd w:val="clear" w:color="auto" w:fill="CCEBF8"/>
          </w:tcPr>
          <w:p>
            <w:pPr>
              <w:spacing w:after="0"/>
              <w:rPr>
                <w:sz w:val="15"/>
                <w:szCs w:val="15"/>
                <w:color w:val="auto"/>
              </w:rPr>
            </w:pPr>
          </w:p>
        </w:tc>
        <w:tc>
          <w:tcPr>
            <w:tcW w:w="1160" w:type="dxa"/>
            <w:vAlign w:val="bottom"/>
            <w:tcBorders>
              <w:top w:val="single" w:sz="8" w:color="0060ED"/>
              <w:bottom w:val="single" w:sz="8" w:color="009BDE"/>
            </w:tcBorders>
            <w:gridSpan w:val="2"/>
            <w:shd w:val="clear" w:color="auto" w:fill="CCEBF8"/>
          </w:tcPr>
          <w:p>
            <w:pPr>
              <w:jc w:val="right"/>
              <w:ind w:right="258"/>
              <w:spacing w:after="0"/>
              <w:rPr>
                <w:sz w:val="20"/>
                <w:szCs w:val="20"/>
                <w:color w:val="auto"/>
              </w:rPr>
            </w:pPr>
            <w:r>
              <w:rPr>
                <w:rFonts w:ascii="Arial" w:cs="Arial" w:eastAsia="Arial" w:hAnsi="Arial"/>
                <w:sz w:val="8"/>
                <w:szCs w:val="8"/>
                <w:b w:val="1"/>
                <w:bCs w:val="1"/>
                <w:color w:val="009BDE"/>
              </w:rPr>
              <w:t>Stock Awards</w:t>
            </w:r>
          </w:p>
        </w:tc>
        <w:tc>
          <w:tcPr>
            <w:tcW w:w="320" w:type="dxa"/>
            <w:vAlign w:val="bottom"/>
            <w:tcBorders>
              <w:top w:val="single" w:sz="8" w:color="0060ED"/>
              <w:bottom w:val="single" w:sz="8" w:color="009BDE"/>
            </w:tcBorders>
            <w:shd w:val="clear" w:color="auto" w:fill="CCEBF8"/>
          </w:tcPr>
          <w:p>
            <w:pPr>
              <w:spacing w:after="0"/>
              <w:rPr>
                <w:sz w:val="15"/>
                <w:szCs w:val="15"/>
                <w:color w:val="auto"/>
              </w:rPr>
            </w:pPr>
          </w:p>
        </w:tc>
        <w:tc>
          <w:tcPr>
            <w:tcW w:w="380" w:type="dxa"/>
            <w:vAlign w:val="bottom"/>
            <w:tcBorders>
              <w:top w:val="single" w:sz="8" w:color="0060ED"/>
              <w:bottom w:val="single" w:sz="8" w:color="009BDE"/>
            </w:tcBorders>
            <w:shd w:val="clear" w:color="auto" w:fill="CCEBF8"/>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320" w:type="dxa"/>
            <w:vAlign w:val="bottom"/>
            <w:shd w:val="clear" w:color="auto" w:fill="CCEBF8"/>
          </w:tcPr>
          <w:p>
            <w:pPr>
              <w:spacing w:after="0"/>
              <w:rPr>
                <w:sz w:val="9"/>
                <w:szCs w:val="9"/>
                <w:color w:val="auto"/>
              </w:rPr>
            </w:pPr>
          </w:p>
        </w:tc>
        <w:tc>
          <w:tcPr>
            <w:tcW w:w="140" w:type="dxa"/>
            <w:vAlign w:val="bottom"/>
            <w:shd w:val="clear" w:color="auto" w:fill="CCEBF8"/>
          </w:tcPr>
          <w:p>
            <w:pPr>
              <w:spacing w:after="0"/>
              <w:rPr>
                <w:sz w:val="9"/>
                <w:szCs w:val="9"/>
                <w:color w:val="auto"/>
              </w:rPr>
            </w:pPr>
          </w:p>
        </w:tc>
        <w:tc>
          <w:tcPr>
            <w:tcW w:w="660" w:type="dxa"/>
            <w:vAlign w:val="bottom"/>
            <w:shd w:val="clear" w:color="auto" w:fill="CCEBF8"/>
          </w:tcPr>
          <w:p>
            <w:pPr>
              <w:spacing w:after="0"/>
              <w:rPr>
                <w:sz w:val="9"/>
                <w:szCs w:val="9"/>
                <w:color w:val="auto"/>
              </w:rPr>
            </w:pPr>
          </w:p>
        </w:tc>
        <w:tc>
          <w:tcPr>
            <w:tcW w:w="860" w:type="dxa"/>
            <w:vAlign w:val="bottom"/>
            <w:shd w:val="clear" w:color="auto" w:fill="CCEBF8"/>
          </w:tcPr>
          <w:p>
            <w:pPr>
              <w:spacing w:after="0"/>
              <w:rPr>
                <w:sz w:val="9"/>
                <w:szCs w:val="9"/>
                <w:color w:val="auto"/>
              </w:rPr>
            </w:pPr>
          </w:p>
        </w:tc>
        <w:tc>
          <w:tcPr>
            <w:tcW w:w="660" w:type="dxa"/>
            <w:vAlign w:val="bottom"/>
            <w:shd w:val="clear" w:color="auto" w:fill="CCEBF8"/>
          </w:tcPr>
          <w:p>
            <w:pPr>
              <w:spacing w:after="0"/>
              <w:rPr>
                <w:sz w:val="9"/>
                <w:szCs w:val="9"/>
                <w:color w:val="auto"/>
              </w:rPr>
            </w:pPr>
          </w:p>
        </w:tc>
        <w:tc>
          <w:tcPr>
            <w:tcW w:w="520" w:type="dxa"/>
            <w:vAlign w:val="bottom"/>
            <w:shd w:val="clear" w:color="auto" w:fill="CCEBF8"/>
          </w:tcPr>
          <w:p>
            <w:pPr>
              <w:spacing w:after="0"/>
              <w:rPr>
                <w:sz w:val="9"/>
                <w:szCs w:val="9"/>
                <w:color w:val="auto"/>
              </w:rPr>
            </w:pPr>
          </w:p>
        </w:tc>
        <w:tc>
          <w:tcPr>
            <w:tcW w:w="500" w:type="dxa"/>
            <w:vAlign w:val="bottom"/>
            <w:shd w:val="clear" w:color="auto" w:fill="CCEBF8"/>
          </w:tcPr>
          <w:p>
            <w:pPr>
              <w:spacing w:after="0"/>
              <w:rPr>
                <w:sz w:val="9"/>
                <w:szCs w:val="9"/>
                <w:color w:val="auto"/>
              </w:rPr>
            </w:pPr>
          </w:p>
        </w:tc>
        <w:tc>
          <w:tcPr>
            <w:tcW w:w="140" w:type="dxa"/>
            <w:vAlign w:val="bottom"/>
            <w:shd w:val="clear" w:color="auto" w:fill="CCEBF8"/>
          </w:tcPr>
          <w:p>
            <w:pPr>
              <w:spacing w:after="0"/>
              <w:rPr>
                <w:sz w:val="9"/>
                <w:szCs w:val="9"/>
                <w:color w:val="auto"/>
              </w:rPr>
            </w:pPr>
          </w:p>
        </w:tc>
        <w:tc>
          <w:tcPr>
            <w:tcW w:w="540" w:type="dxa"/>
            <w:vAlign w:val="bottom"/>
            <w:shd w:val="clear" w:color="auto" w:fill="CCEBF8"/>
          </w:tcPr>
          <w:p>
            <w:pPr>
              <w:spacing w:after="0"/>
              <w:rPr>
                <w:sz w:val="9"/>
                <w:szCs w:val="9"/>
                <w:color w:val="auto"/>
              </w:rPr>
            </w:pPr>
          </w:p>
        </w:tc>
        <w:tc>
          <w:tcPr>
            <w:tcW w:w="140" w:type="dxa"/>
            <w:vAlign w:val="bottom"/>
            <w:shd w:val="clear" w:color="auto" w:fill="CCEBF8"/>
          </w:tcPr>
          <w:p>
            <w:pPr>
              <w:spacing w:after="0"/>
              <w:rPr>
                <w:sz w:val="9"/>
                <w:szCs w:val="9"/>
                <w:color w:val="auto"/>
              </w:rPr>
            </w:pPr>
          </w:p>
        </w:tc>
        <w:tc>
          <w:tcPr>
            <w:tcW w:w="480" w:type="dxa"/>
            <w:vAlign w:val="bottom"/>
            <w:shd w:val="clear" w:color="auto" w:fill="CCEBF8"/>
          </w:tcPr>
          <w:p>
            <w:pPr>
              <w:spacing w:after="0"/>
              <w:rPr>
                <w:sz w:val="9"/>
                <w:szCs w:val="9"/>
                <w:color w:val="auto"/>
              </w:rPr>
            </w:pPr>
          </w:p>
        </w:tc>
        <w:tc>
          <w:tcPr>
            <w:tcW w:w="680" w:type="dxa"/>
            <w:vAlign w:val="bottom"/>
            <w:shd w:val="clear" w:color="auto" w:fill="CCEBF8"/>
          </w:tcPr>
          <w:p>
            <w:pPr>
              <w:jc w:val="center"/>
              <w:spacing w:after="0"/>
              <w:rPr>
                <w:sz w:val="20"/>
                <w:szCs w:val="20"/>
                <w:color w:val="auto"/>
              </w:rPr>
            </w:pPr>
            <w:r>
              <w:rPr>
                <w:rFonts w:ascii="Arial" w:cs="Arial" w:eastAsia="Arial" w:hAnsi="Arial"/>
                <w:sz w:val="8"/>
                <w:szCs w:val="8"/>
                <w:b w:val="1"/>
                <w:bCs w:val="1"/>
                <w:color w:val="009BDE"/>
              </w:rPr>
              <w:t>Equity</w:t>
            </w:r>
          </w:p>
        </w:tc>
        <w:tc>
          <w:tcPr>
            <w:tcW w:w="700" w:type="dxa"/>
            <w:vAlign w:val="bottom"/>
            <w:gridSpan w:val="2"/>
            <w:shd w:val="clear" w:color="auto" w:fill="CCEBF8"/>
          </w:tcPr>
          <w:p>
            <w:pPr>
              <w:ind w:left="240"/>
              <w:spacing w:after="0"/>
              <w:rPr>
                <w:sz w:val="20"/>
                <w:szCs w:val="20"/>
                <w:color w:val="auto"/>
              </w:rPr>
            </w:pPr>
            <w:r>
              <w:rPr>
                <w:rFonts w:ascii="Arial" w:cs="Arial" w:eastAsia="Arial" w:hAnsi="Arial"/>
                <w:sz w:val="8"/>
                <w:szCs w:val="8"/>
                <w:b w:val="1"/>
                <w:bCs w:val="1"/>
                <w:color w:val="009BDE"/>
              </w:rPr>
              <w:t>Equity</w:t>
            </w:r>
          </w:p>
        </w:tc>
        <w:tc>
          <w:tcPr>
            <w:tcW w:w="0" w:type="dxa"/>
            <w:vAlign w:val="bottom"/>
          </w:tcPr>
          <w:p>
            <w:pPr>
              <w:spacing w:after="0"/>
              <w:rPr>
                <w:sz w:val="1"/>
                <w:szCs w:val="1"/>
                <w:color w:val="auto"/>
              </w:rPr>
            </w:pPr>
          </w:p>
        </w:tc>
      </w:tr>
      <w:tr>
        <w:trPr>
          <w:trHeight w:val="90"/>
        </w:trPr>
        <w:tc>
          <w:tcPr>
            <w:tcW w:w="132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660" w:type="dxa"/>
            <w:vAlign w:val="bottom"/>
            <w:shd w:val="clear" w:color="auto" w:fill="CCEBF8"/>
          </w:tcPr>
          <w:p>
            <w:pPr>
              <w:spacing w:after="0"/>
              <w:rPr>
                <w:sz w:val="7"/>
                <w:szCs w:val="7"/>
                <w:color w:val="auto"/>
              </w:rPr>
            </w:pPr>
          </w:p>
        </w:tc>
        <w:tc>
          <w:tcPr>
            <w:tcW w:w="860" w:type="dxa"/>
            <w:vAlign w:val="bottom"/>
            <w:shd w:val="clear" w:color="auto" w:fill="CCEBF8"/>
          </w:tcPr>
          <w:p>
            <w:pPr>
              <w:spacing w:after="0"/>
              <w:rPr>
                <w:sz w:val="7"/>
                <w:szCs w:val="7"/>
                <w:color w:val="auto"/>
              </w:rPr>
            </w:pPr>
          </w:p>
        </w:tc>
        <w:tc>
          <w:tcPr>
            <w:tcW w:w="660" w:type="dxa"/>
            <w:vAlign w:val="bottom"/>
            <w:shd w:val="clear" w:color="auto" w:fill="CCEBF8"/>
          </w:tcPr>
          <w:p>
            <w:pPr>
              <w:spacing w:after="0"/>
              <w:rPr>
                <w:sz w:val="7"/>
                <w:szCs w:val="7"/>
                <w:color w:val="auto"/>
              </w:rPr>
            </w:pPr>
          </w:p>
        </w:tc>
        <w:tc>
          <w:tcPr>
            <w:tcW w:w="520" w:type="dxa"/>
            <w:vAlign w:val="bottom"/>
            <w:shd w:val="clear" w:color="auto" w:fill="CCEBF8"/>
          </w:tcPr>
          <w:p>
            <w:pPr>
              <w:spacing w:after="0"/>
              <w:rPr>
                <w:sz w:val="7"/>
                <w:szCs w:val="7"/>
                <w:color w:val="auto"/>
              </w:rPr>
            </w:pPr>
          </w:p>
        </w:tc>
        <w:tc>
          <w:tcPr>
            <w:tcW w:w="50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54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480" w:type="dxa"/>
            <w:vAlign w:val="bottom"/>
            <w:shd w:val="clear" w:color="auto" w:fill="CCEBF8"/>
          </w:tcPr>
          <w:p>
            <w:pPr>
              <w:spacing w:after="0"/>
              <w:rPr>
                <w:sz w:val="7"/>
                <w:szCs w:val="7"/>
                <w:color w:val="auto"/>
              </w:rPr>
            </w:pPr>
          </w:p>
        </w:tc>
        <w:tc>
          <w:tcPr>
            <w:tcW w:w="68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Incentive</w:t>
            </w:r>
          </w:p>
        </w:tc>
        <w:tc>
          <w:tcPr>
            <w:tcW w:w="7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Incentive Plan</w:t>
            </w:r>
          </w:p>
        </w:tc>
        <w:tc>
          <w:tcPr>
            <w:tcW w:w="0" w:type="dxa"/>
            <w:vAlign w:val="bottom"/>
          </w:tcPr>
          <w:p>
            <w:pPr>
              <w:spacing w:after="0"/>
              <w:rPr>
                <w:sz w:val="1"/>
                <w:szCs w:val="1"/>
                <w:color w:val="auto"/>
              </w:rPr>
            </w:pPr>
          </w:p>
        </w:tc>
      </w:tr>
      <w:tr>
        <w:trPr>
          <w:trHeight w:val="90"/>
        </w:trPr>
        <w:tc>
          <w:tcPr>
            <w:tcW w:w="132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660" w:type="dxa"/>
            <w:vAlign w:val="bottom"/>
            <w:shd w:val="clear" w:color="auto" w:fill="CCEBF8"/>
          </w:tcPr>
          <w:p>
            <w:pPr>
              <w:spacing w:after="0"/>
              <w:rPr>
                <w:sz w:val="7"/>
                <w:szCs w:val="7"/>
                <w:color w:val="auto"/>
              </w:rPr>
            </w:pPr>
          </w:p>
        </w:tc>
        <w:tc>
          <w:tcPr>
            <w:tcW w:w="860" w:type="dxa"/>
            <w:vAlign w:val="bottom"/>
            <w:shd w:val="clear" w:color="auto" w:fill="CCEBF8"/>
          </w:tcPr>
          <w:p>
            <w:pPr>
              <w:spacing w:after="0"/>
              <w:rPr>
                <w:sz w:val="7"/>
                <w:szCs w:val="7"/>
                <w:color w:val="auto"/>
              </w:rPr>
            </w:pPr>
          </w:p>
        </w:tc>
        <w:tc>
          <w:tcPr>
            <w:tcW w:w="6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Equity</w:t>
            </w:r>
          </w:p>
        </w:tc>
        <w:tc>
          <w:tcPr>
            <w:tcW w:w="520" w:type="dxa"/>
            <w:vAlign w:val="bottom"/>
            <w:shd w:val="clear" w:color="auto" w:fill="CCEBF8"/>
          </w:tcPr>
          <w:p>
            <w:pPr>
              <w:spacing w:after="0"/>
              <w:rPr>
                <w:sz w:val="7"/>
                <w:szCs w:val="7"/>
                <w:color w:val="auto"/>
              </w:rPr>
            </w:pPr>
          </w:p>
        </w:tc>
        <w:tc>
          <w:tcPr>
            <w:tcW w:w="50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54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480" w:type="dxa"/>
            <w:vAlign w:val="bottom"/>
            <w:shd w:val="clear" w:color="auto" w:fill="CCEBF8"/>
          </w:tcPr>
          <w:p>
            <w:pPr>
              <w:spacing w:after="0"/>
              <w:rPr>
                <w:sz w:val="7"/>
                <w:szCs w:val="7"/>
                <w:color w:val="auto"/>
              </w:rPr>
            </w:pPr>
          </w:p>
        </w:tc>
        <w:tc>
          <w:tcPr>
            <w:tcW w:w="68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Plan Awards:</w:t>
            </w:r>
          </w:p>
        </w:tc>
        <w:tc>
          <w:tcPr>
            <w:tcW w:w="7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Awards:</w:t>
            </w:r>
          </w:p>
        </w:tc>
        <w:tc>
          <w:tcPr>
            <w:tcW w:w="0" w:type="dxa"/>
            <w:vAlign w:val="bottom"/>
          </w:tcPr>
          <w:p>
            <w:pPr>
              <w:spacing w:after="0"/>
              <w:rPr>
                <w:sz w:val="1"/>
                <w:szCs w:val="1"/>
                <w:color w:val="auto"/>
              </w:rPr>
            </w:pPr>
          </w:p>
        </w:tc>
      </w:tr>
      <w:tr>
        <w:trPr>
          <w:trHeight w:val="90"/>
        </w:trPr>
        <w:tc>
          <w:tcPr>
            <w:tcW w:w="132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660" w:type="dxa"/>
            <w:vAlign w:val="bottom"/>
            <w:shd w:val="clear" w:color="auto" w:fill="CCEBF8"/>
          </w:tcPr>
          <w:p>
            <w:pPr>
              <w:spacing w:after="0"/>
              <w:rPr>
                <w:sz w:val="7"/>
                <w:szCs w:val="7"/>
                <w:color w:val="auto"/>
              </w:rPr>
            </w:pPr>
          </w:p>
        </w:tc>
        <w:tc>
          <w:tcPr>
            <w:tcW w:w="860" w:type="dxa"/>
            <w:vAlign w:val="bottom"/>
            <w:shd w:val="clear" w:color="auto" w:fill="CCEBF8"/>
          </w:tcPr>
          <w:p>
            <w:pPr>
              <w:spacing w:after="0"/>
              <w:rPr>
                <w:sz w:val="7"/>
                <w:szCs w:val="7"/>
                <w:color w:val="auto"/>
              </w:rPr>
            </w:pPr>
          </w:p>
        </w:tc>
        <w:tc>
          <w:tcPr>
            <w:tcW w:w="6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Incentive</w:t>
            </w:r>
          </w:p>
        </w:tc>
        <w:tc>
          <w:tcPr>
            <w:tcW w:w="520" w:type="dxa"/>
            <w:vAlign w:val="bottom"/>
            <w:shd w:val="clear" w:color="auto" w:fill="CCEBF8"/>
          </w:tcPr>
          <w:p>
            <w:pPr>
              <w:spacing w:after="0"/>
              <w:rPr>
                <w:sz w:val="7"/>
                <w:szCs w:val="7"/>
                <w:color w:val="auto"/>
              </w:rPr>
            </w:pPr>
          </w:p>
        </w:tc>
        <w:tc>
          <w:tcPr>
            <w:tcW w:w="50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54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480" w:type="dxa"/>
            <w:vAlign w:val="bottom"/>
            <w:shd w:val="clear" w:color="auto" w:fill="CCEBF8"/>
          </w:tcPr>
          <w:p>
            <w:pPr>
              <w:jc w:val="center"/>
              <w:ind w:right="118"/>
              <w:spacing w:after="0" w:line="90" w:lineRule="exact"/>
              <w:rPr>
                <w:sz w:val="20"/>
                <w:szCs w:val="20"/>
                <w:color w:val="auto"/>
              </w:rPr>
            </w:pPr>
            <w:r>
              <w:rPr>
                <w:rFonts w:ascii="Arial" w:cs="Arial" w:eastAsia="Arial" w:hAnsi="Arial"/>
                <w:sz w:val="8"/>
                <w:szCs w:val="8"/>
                <w:b w:val="1"/>
                <w:bCs w:val="1"/>
                <w:color w:val="009BDE"/>
              </w:rPr>
              <w:t>Market</w:t>
            </w:r>
          </w:p>
        </w:tc>
        <w:tc>
          <w:tcPr>
            <w:tcW w:w="68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Number of</w:t>
            </w:r>
          </w:p>
        </w:tc>
        <w:tc>
          <w:tcPr>
            <w:tcW w:w="7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Market or</w:t>
            </w:r>
          </w:p>
        </w:tc>
        <w:tc>
          <w:tcPr>
            <w:tcW w:w="0" w:type="dxa"/>
            <w:vAlign w:val="bottom"/>
          </w:tcPr>
          <w:p>
            <w:pPr>
              <w:spacing w:after="0"/>
              <w:rPr>
                <w:sz w:val="1"/>
                <w:szCs w:val="1"/>
                <w:color w:val="auto"/>
              </w:rPr>
            </w:pPr>
          </w:p>
        </w:tc>
      </w:tr>
      <w:tr>
        <w:trPr>
          <w:trHeight w:val="90"/>
        </w:trPr>
        <w:tc>
          <w:tcPr>
            <w:tcW w:w="132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660" w:type="dxa"/>
            <w:vAlign w:val="bottom"/>
            <w:shd w:val="clear" w:color="auto" w:fill="CCEBF8"/>
          </w:tcPr>
          <w:p>
            <w:pPr>
              <w:spacing w:after="0"/>
              <w:rPr>
                <w:sz w:val="7"/>
                <w:szCs w:val="7"/>
                <w:color w:val="auto"/>
              </w:rPr>
            </w:pPr>
          </w:p>
        </w:tc>
        <w:tc>
          <w:tcPr>
            <w:tcW w:w="860" w:type="dxa"/>
            <w:vAlign w:val="bottom"/>
            <w:shd w:val="clear" w:color="auto" w:fill="CCEBF8"/>
          </w:tcPr>
          <w:p>
            <w:pPr>
              <w:spacing w:after="0"/>
              <w:rPr>
                <w:sz w:val="7"/>
                <w:szCs w:val="7"/>
                <w:color w:val="auto"/>
              </w:rPr>
            </w:pPr>
          </w:p>
        </w:tc>
        <w:tc>
          <w:tcPr>
            <w:tcW w:w="6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Plan Awards:</w:t>
            </w:r>
          </w:p>
        </w:tc>
        <w:tc>
          <w:tcPr>
            <w:tcW w:w="520" w:type="dxa"/>
            <w:vAlign w:val="bottom"/>
            <w:shd w:val="clear" w:color="auto" w:fill="CCEBF8"/>
          </w:tcPr>
          <w:p>
            <w:pPr>
              <w:spacing w:after="0"/>
              <w:rPr>
                <w:sz w:val="7"/>
                <w:szCs w:val="7"/>
                <w:color w:val="auto"/>
              </w:rPr>
            </w:pPr>
          </w:p>
        </w:tc>
        <w:tc>
          <w:tcPr>
            <w:tcW w:w="50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540" w:type="dxa"/>
            <w:vAlign w:val="bottom"/>
            <w:shd w:val="clear" w:color="auto" w:fill="CCEBF8"/>
          </w:tcPr>
          <w:p>
            <w:pPr>
              <w:jc w:val="center"/>
              <w:ind w:right="58"/>
              <w:spacing w:after="0" w:line="90" w:lineRule="exact"/>
              <w:rPr>
                <w:sz w:val="20"/>
                <w:szCs w:val="20"/>
                <w:color w:val="auto"/>
              </w:rPr>
            </w:pPr>
            <w:r>
              <w:rPr>
                <w:rFonts w:ascii="Arial" w:cs="Arial" w:eastAsia="Arial" w:hAnsi="Arial"/>
                <w:sz w:val="8"/>
                <w:szCs w:val="8"/>
                <w:b w:val="1"/>
                <w:bCs w:val="1"/>
                <w:color w:val="009BDE"/>
              </w:rPr>
              <w:t>Number</w:t>
            </w:r>
          </w:p>
        </w:tc>
        <w:tc>
          <w:tcPr>
            <w:tcW w:w="140" w:type="dxa"/>
            <w:vAlign w:val="bottom"/>
            <w:shd w:val="clear" w:color="auto" w:fill="CCEBF8"/>
          </w:tcPr>
          <w:p>
            <w:pPr>
              <w:spacing w:after="0"/>
              <w:rPr>
                <w:sz w:val="7"/>
                <w:szCs w:val="7"/>
                <w:color w:val="auto"/>
              </w:rPr>
            </w:pPr>
          </w:p>
        </w:tc>
        <w:tc>
          <w:tcPr>
            <w:tcW w:w="480" w:type="dxa"/>
            <w:vAlign w:val="bottom"/>
            <w:shd w:val="clear" w:color="auto" w:fill="CCEBF8"/>
          </w:tcPr>
          <w:p>
            <w:pPr>
              <w:jc w:val="center"/>
              <w:ind w:right="118"/>
              <w:spacing w:after="0" w:line="90" w:lineRule="exact"/>
              <w:rPr>
                <w:sz w:val="20"/>
                <w:szCs w:val="20"/>
                <w:color w:val="auto"/>
              </w:rPr>
            </w:pPr>
            <w:r>
              <w:rPr>
                <w:rFonts w:ascii="Arial" w:cs="Arial" w:eastAsia="Arial" w:hAnsi="Arial"/>
                <w:sz w:val="8"/>
                <w:szCs w:val="8"/>
                <w:b w:val="1"/>
                <w:bCs w:val="1"/>
                <w:color w:val="009BDE"/>
              </w:rPr>
              <w:t>Value of</w:t>
            </w:r>
          </w:p>
        </w:tc>
        <w:tc>
          <w:tcPr>
            <w:tcW w:w="68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Unearned</w:t>
            </w:r>
          </w:p>
        </w:tc>
        <w:tc>
          <w:tcPr>
            <w:tcW w:w="7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Payout Value</w:t>
            </w:r>
          </w:p>
        </w:tc>
        <w:tc>
          <w:tcPr>
            <w:tcW w:w="0" w:type="dxa"/>
            <w:vAlign w:val="bottom"/>
          </w:tcPr>
          <w:p>
            <w:pPr>
              <w:spacing w:after="0"/>
              <w:rPr>
                <w:sz w:val="1"/>
                <w:szCs w:val="1"/>
                <w:color w:val="auto"/>
              </w:rPr>
            </w:pPr>
          </w:p>
        </w:tc>
      </w:tr>
      <w:tr>
        <w:trPr>
          <w:trHeight w:val="90"/>
        </w:trPr>
        <w:tc>
          <w:tcPr>
            <w:tcW w:w="132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660" w:type="dxa"/>
            <w:vAlign w:val="bottom"/>
            <w:shd w:val="clear" w:color="auto" w:fill="CCEBF8"/>
          </w:tcPr>
          <w:p>
            <w:pPr>
              <w:spacing w:after="0"/>
              <w:rPr>
                <w:sz w:val="7"/>
                <w:szCs w:val="7"/>
                <w:color w:val="auto"/>
              </w:rPr>
            </w:pPr>
          </w:p>
        </w:tc>
        <w:tc>
          <w:tcPr>
            <w:tcW w:w="860" w:type="dxa"/>
            <w:vAlign w:val="bottom"/>
            <w:shd w:val="clear" w:color="auto" w:fill="CCEBF8"/>
          </w:tcPr>
          <w:p>
            <w:pPr>
              <w:spacing w:after="0"/>
              <w:rPr>
                <w:sz w:val="7"/>
                <w:szCs w:val="7"/>
                <w:color w:val="auto"/>
              </w:rPr>
            </w:pPr>
          </w:p>
        </w:tc>
        <w:tc>
          <w:tcPr>
            <w:tcW w:w="6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Number of</w:t>
            </w:r>
          </w:p>
        </w:tc>
        <w:tc>
          <w:tcPr>
            <w:tcW w:w="520" w:type="dxa"/>
            <w:vAlign w:val="bottom"/>
            <w:shd w:val="clear" w:color="auto" w:fill="CCEBF8"/>
          </w:tcPr>
          <w:p>
            <w:pPr>
              <w:spacing w:after="0"/>
              <w:rPr>
                <w:sz w:val="7"/>
                <w:szCs w:val="7"/>
                <w:color w:val="auto"/>
              </w:rPr>
            </w:pPr>
          </w:p>
        </w:tc>
        <w:tc>
          <w:tcPr>
            <w:tcW w:w="50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540" w:type="dxa"/>
            <w:vAlign w:val="bottom"/>
            <w:shd w:val="clear" w:color="auto" w:fill="CCEBF8"/>
          </w:tcPr>
          <w:p>
            <w:pPr>
              <w:jc w:val="center"/>
              <w:ind w:right="38"/>
              <w:spacing w:after="0" w:line="90" w:lineRule="exact"/>
              <w:rPr>
                <w:sz w:val="20"/>
                <w:szCs w:val="20"/>
                <w:color w:val="auto"/>
              </w:rPr>
            </w:pPr>
            <w:r>
              <w:rPr>
                <w:rFonts w:ascii="Arial" w:cs="Arial" w:eastAsia="Arial" w:hAnsi="Arial"/>
                <w:sz w:val="8"/>
                <w:szCs w:val="8"/>
                <w:b w:val="1"/>
                <w:bCs w:val="1"/>
                <w:color w:val="009BDE"/>
              </w:rPr>
              <w:t>of Shares</w:t>
            </w:r>
          </w:p>
        </w:tc>
        <w:tc>
          <w:tcPr>
            <w:tcW w:w="62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Shares or</w:t>
            </w:r>
          </w:p>
        </w:tc>
        <w:tc>
          <w:tcPr>
            <w:tcW w:w="68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Shares,</w:t>
            </w:r>
          </w:p>
        </w:tc>
        <w:tc>
          <w:tcPr>
            <w:tcW w:w="7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of Unearned</w:t>
            </w:r>
          </w:p>
        </w:tc>
        <w:tc>
          <w:tcPr>
            <w:tcW w:w="0" w:type="dxa"/>
            <w:vAlign w:val="bottom"/>
          </w:tcPr>
          <w:p>
            <w:pPr>
              <w:spacing w:after="0"/>
              <w:rPr>
                <w:sz w:val="1"/>
                <w:szCs w:val="1"/>
                <w:color w:val="auto"/>
              </w:rPr>
            </w:pPr>
          </w:p>
        </w:tc>
      </w:tr>
      <w:tr>
        <w:trPr>
          <w:trHeight w:val="90"/>
        </w:trPr>
        <w:tc>
          <w:tcPr>
            <w:tcW w:w="132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660" w:type="dxa"/>
            <w:vAlign w:val="bottom"/>
            <w:shd w:val="clear" w:color="auto" w:fill="CCEBF8"/>
          </w:tcPr>
          <w:p>
            <w:pPr>
              <w:jc w:val="center"/>
              <w:ind w:right="38"/>
              <w:spacing w:after="0" w:line="90" w:lineRule="exact"/>
              <w:rPr>
                <w:sz w:val="20"/>
                <w:szCs w:val="20"/>
                <w:color w:val="auto"/>
              </w:rPr>
            </w:pPr>
            <w:r>
              <w:rPr>
                <w:rFonts w:ascii="Arial" w:cs="Arial" w:eastAsia="Arial" w:hAnsi="Arial"/>
                <w:sz w:val="8"/>
                <w:szCs w:val="8"/>
                <w:b w:val="1"/>
                <w:bCs w:val="1"/>
                <w:color w:val="009BDE"/>
              </w:rPr>
              <w:t>Number of</w:t>
            </w:r>
          </w:p>
        </w:tc>
        <w:tc>
          <w:tcPr>
            <w:tcW w:w="8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Number of</w:t>
            </w:r>
          </w:p>
        </w:tc>
        <w:tc>
          <w:tcPr>
            <w:tcW w:w="6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Securities</w:t>
            </w:r>
          </w:p>
        </w:tc>
        <w:tc>
          <w:tcPr>
            <w:tcW w:w="520" w:type="dxa"/>
            <w:vAlign w:val="bottom"/>
            <w:shd w:val="clear" w:color="auto" w:fill="CCEBF8"/>
          </w:tcPr>
          <w:p>
            <w:pPr>
              <w:spacing w:after="0"/>
              <w:rPr>
                <w:sz w:val="7"/>
                <w:szCs w:val="7"/>
                <w:color w:val="auto"/>
              </w:rPr>
            </w:pPr>
          </w:p>
        </w:tc>
        <w:tc>
          <w:tcPr>
            <w:tcW w:w="50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540" w:type="dxa"/>
            <w:vAlign w:val="bottom"/>
            <w:shd w:val="clear" w:color="auto" w:fill="CCEBF8"/>
          </w:tcPr>
          <w:p>
            <w:pPr>
              <w:jc w:val="center"/>
              <w:ind w:right="58"/>
              <w:spacing w:after="0" w:line="90" w:lineRule="exact"/>
              <w:rPr>
                <w:sz w:val="20"/>
                <w:szCs w:val="20"/>
                <w:color w:val="auto"/>
              </w:rPr>
            </w:pPr>
            <w:r>
              <w:rPr>
                <w:rFonts w:ascii="Arial" w:cs="Arial" w:eastAsia="Arial" w:hAnsi="Arial"/>
                <w:sz w:val="8"/>
                <w:szCs w:val="8"/>
                <w:b w:val="1"/>
                <w:bCs w:val="1"/>
                <w:color w:val="009BDE"/>
              </w:rPr>
              <w:t>or Units</w:t>
            </w:r>
          </w:p>
        </w:tc>
        <w:tc>
          <w:tcPr>
            <w:tcW w:w="140" w:type="dxa"/>
            <w:vAlign w:val="bottom"/>
            <w:shd w:val="clear" w:color="auto" w:fill="CCEBF8"/>
          </w:tcPr>
          <w:p>
            <w:pPr>
              <w:spacing w:after="0"/>
              <w:rPr>
                <w:sz w:val="7"/>
                <w:szCs w:val="7"/>
                <w:color w:val="auto"/>
              </w:rPr>
            </w:pPr>
          </w:p>
        </w:tc>
        <w:tc>
          <w:tcPr>
            <w:tcW w:w="480" w:type="dxa"/>
            <w:vAlign w:val="bottom"/>
            <w:shd w:val="clear" w:color="auto" w:fill="CCEBF8"/>
          </w:tcPr>
          <w:p>
            <w:pPr>
              <w:jc w:val="center"/>
              <w:ind w:right="118"/>
              <w:spacing w:after="0" w:line="90" w:lineRule="exact"/>
              <w:rPr>
                <w:sz w:val="20"/>
                <w:szCs w:val="20"/>
                <w:color w:val="auto"/>
              </w:rPr>
            </w:pPr>
            <w:r>
              <w:rPr>
                <w:rFonts w:ascii="Arial" w:cs="Arial" w:eastAsia="Arial" w:hAnsi="Arial"/>
                <w:sz w:val="8"/>
                <w:szCs w:val="8"/>
                <w:b w:val="1"/>
                <w:bCs w:val="1"/>
                <w:color w:val="009BDE"/>
              </w:rPr>
              <w:t>Units of</w:t>
            </w:r>
          </w:p>
        </w:tc>
        <w:tc>
          <w:tcPr>
            <w:tcW w:w="68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Units, or</w:t>
            </w:r>
          </w:p>
        </w:tc>
        <w:tc>
          <w:tcPr>
            <w:tcW w:w="7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Shares, Units</w:t>
            </w:r>
          </w:p>
        </w:tc>
        <w:tc>
          <w:tcPr>
            <w:tcW w:w="0" w:type="dxa"/>
            <w:vAlign w:val="bottom"/>
          </w:tcPr>
          <w:p>
            <w:pPr>
              <w:spacing w:after="0"/>
              <w:rPr>
                <w:sz w:val="1"/>
                <w:szCs w:val="1"/>
                <w:color w:val="auto"/>
              </w:rPr>
            </w:pPr>
          </w:p>
        </w:tc>
      </w:tr>
      <w:tr>
        <w:trPr>
          <w:trHeight w:val="90"/>
        </w:trPr>
        <w:tc>
          <w:tcPr>
            <w:tcW w:w="132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660" w:type="dxa"/>
            <w:vAlign w:val="bottom"/>
            <w:shd w:val="clear" w:color="auto" w:fill="CCEBF8"/>
          </w:tcPr>
          <w:p>
            <w:pPr>
              <w:jc w:val="center"/>
              <w:ind w:right="18"/>
              <w:spacing w:after="0" w:line="90" w:lineRule="exact"/>
              <w:rPr>
                <w:sz w:val="20"/>
                <w:szCs w:val="20"/>
                <w:color w:val="auto"/>
              </w:rPr>
            </w:pPr>
            <w:r>
              <w:rPr>
                <w:rFonts w:ascii="Arial" w:cs="Arial" w:eastAsia="Arial" w:hAnsi="Arial"/>
                <w:sz w:val="8"/>
                <w:szCs w:val="8"/>
                <w:b w:val="1"/>
                <w:bCs w:val="1"/>
                <w:color w:val="009BDE"/>
              </w:rPr>
              <w:t>Securities</w:t>
            </w:r>
          </w:p>
        </w:tc>
        <w:tc>
          <w:tcPr>
            <w:tcW w:w="8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Securities</w:t>
            </w:r>
          </w:p>
        </w:tc>
        <w:tc>
          <w:tcPr>
            <w:tcW w:w="6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Underlying</w:t>
            </w:r>
          </w:p>
        </w:tc>
        <w:tc>
          <w:tcPr>
            <w:tcW w:w="520" w:type="dxa"/>
            <w:vAlign w:val="bottom"/>
            <w:shd w:val="clear" w:color="auto" w:fill="CCEBF8"/>
          </w:tcPr>
          <w:p>
            <w:pPr>
              <w:spacing w:after="0"/>
              <w:rPr>
                <w:sz w:val="7"/>
                <w:szCs w:val="7"/>
                <w:color w:val="auto"/>
              </w:rPr>
            </w:pPr>
          </w:p>
        </w:tc>
        <w:tc>
          <w:tcPr>
            <w:tcW w:w="50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540" w:type="dxa"/>
            <w:vAlign w:val="bottom"/>
            <w:shd w:val="clear" w:color="auto" w:fill="CCEBF8"/>
          </w:tcPr>
          <w:p>
            <w:pPr>
              <w:jc w:val="center"/>
              <w:ind w:right="38"/>
              <w:spacing w:after="0" w:line="90" w:lineRule="exact"/>
              <w:rPr>
                <w:sz w:val="20"/>
                <w:szCs w:val="20"/>
                <w:color w:val="auto"/>
              </w:rPr>
            </w:pPr>
            <w:r>
              <w:rPr>
                <w:rFonts w:ascii="Arial" w:cs="Arial" w:eastAsia="Arial" w:hAnsi="Arial"/>
                <w:sz w:val="8"/>
                <w:szCs w:val="8"/>
                <w:b w:val="1"/>
                <w:bCs w:val="1"/>
                <w:color w:val="009BDE"/>
              </w:rPr>
              <w:t>of Stock</w:t>
            </w:r>
          </w:p>
        </w:tc>
        <w:tc>
          <w:tcPr>
            <w:tcW w:w="140" w:type="dxa"/>
            <w:vAlign w:val="bottom"/>
            <w:shd w:val="clear" w:color="auto" w:fill="CCEBF8"/>
          </w:tcPr>
          <w:p>
            <w:pPr>
              <w:spacing w:after="0"/>
              <w:rPr>
                <w:sz w:val="7"/>
                <w:szCs w:val="7"/>
                <w:color w:val="auto"/>
              </w:rPr>
            </w:pPr>
          </w:p>
        </w:tc>
        <w:tc>
          <w:tcPr>
            <w:tcW w:w="480" w:type="dxa"/>
            <w:vAlign w:val="bottom"/>
            <w:shd w:val="clear" w:color="auto" w:fill="CCEBF8"/>
          </w:tcPr>
          <w:p>
            <w:pPr>
              <w:jc w:val="center"/>
              <w:ind w:right="118"/>
              <w:spacing w:after="0" w:line="90" w:lineRule="exact"/>
              <w:rPr>
                <w:sz w:val="20"/>
                <w:szCs w:val="20"/>
                <w:color w:val="auto"/>
              </w:rPr>
            </w:pPr>
            <w:r>
              <w:rPr>
                <w:rFonts w:ascii="Arial" w:cs="Arial" w:eastAsia="Arial" w:hAnsi="Arial"/>
                <w:sz w:val="8"/>
                <w:szCs w:val="8"/>
                <w:b w:val="1"/>
                <w:bCs w:val="1"/>
                <w:color w:val="009BDE"/>
              </w:rPr>
              <w:t>Stock</w:t>
            </w:r>
          </w:p>
        </w:tc>
        <w:tc>
          <w:tcPr>
            <w:tcW w:w="68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Other Rights</w:t>
            </w:r>
          </w:p>
        </w:tc>
        <w:tc>
          <w:tcPr>
            <w:tcW w:w="7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or Other</w:t>
            </w:r>
          </w:p>
        </w:tc>
        <w:tc>
          <w:tcPr>
            <w:tcW w:w="0" w:type="dxa"/>
            <w:vAlign w:val="bottom"/>
          </w:tcPr>
          <w:p>
            <w:pPr>
              <w:spacing w:after="0"/>
              <w:rPr>
                <w:sz w:val="1"/>
                <w:szCs w:val="1"/>
                <w:color w:val="auto"/>
              </w:rPr>
            </w:pPr>
          </w:p>
        </w:tc>
      </w:tr>
      <w:tr>
        <w:trPr>
          <w:trHeight w:val="90"/>
        </w:trPr>
        <w:tc>
          <w:tcPr>
            <w:tcW w:w="132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660" w:type="dxa"/>
            <w:vAlign w:val="bottom"/>
            <w:shd w:val="clear" w:color="auto" w:fill="CCEBF8"/>
          </w:tcPr>
          <w:p>
            <w:pPr>
              <w:jc w:val="center"/>
              <w:ind w:right="18"/>
              <w:spacing w:after="0" w:line="90" w:lineRule="exact"/>
              <w:rPr>
                <w:sz w:val="20"/>
                <w:szCs w:val="20"/>
                <w:color w:val="auto"/>
              </w:rPr>
            </w:pPr>
            <w:r>
              <w:rPr>
                <w:rFonts w:ascii="Arial" w:cs="Arial" w:eastAsia="Arial" w:hAnsi="Arial"/>
                <w:sz w:val="8"/>
                <w:szCs w:val="8"/>
                <w:b w:val="1"/>
                <w:bCs w:val="1"/>
                <w:color w:val="009BDE"/>
              </w:rPr>
              <w:t>Underlying</w:t>
            </w:r>
          </w:p>
        </w:tc>
        <w:tc>
          <w:tcPr>
            <w:tcW w:w="8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Underlying</w:t>
            </w:r>
          </w:p>
        </w:tc>
        <w:tc>
          <w:tcPr>
            <w:tcW w:w="6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Unexercised</w:t>
            </w:r>
          </w:p>
        </w:tc>
        <w:tc>
          <w:tcPr>
            <w:tcW w:w="52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Option</w:t>
            </w:r>
          </w:p>
        </w:tc>
        <w:tc>
          <w:tcPr>
            <w:tcW w:w="50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540" w:type="dxa"/>
            <w:vAlign w:val="bottom"/>
            <w:shd w:val="clear" w:color="auto" w:fill="CCEBF8"/>
          </w:tcPr>
          <w:p>
            <w:pPr>
              <w:jc w:val="center"/>
              <w:ind w:right="38"/>
              <w:spacing w:after="0" w:line="90" w:lineRule="exact"/>
              <w:rPr>
                <w:sz w:val="20"/>
                <w:szCs w:val="20"/>
                <w:color w:val="auto"/>
              </w:rPr>
            </w:pPr>
            <w:r>
              <w:rPr>
                <w:rFonts w:ascii="Arial" w:cs="Arial" w:eastAsia="Arial" w:hAnsi="Arial"/>
                <w:sz w:val="8"/>
                <w:szCs w:val="8"/>
                <w:b w:val="1"/>
                <w:bCs w:val="1"/>
                <w:color w:val="009BDE"/>
              </w:rPr>
              <w:t>That</w:t>
            </w:r>
          </w:p>
        </w:tc>
        <w:tc>
          <w:tcPr>
            <w:tcW w:w="140" w:type="dxa"/>
            <w:vAlign w:val="bottom"/>
            <w:shd w:val="clear" w:color="auto" w:fill="CCEBF8"/>
          </w:tcPr>
          <w:p>
            <w:pPr>
              <w:spacing w:after="0"/>
              <w:rPr>
                <w:sz w:val="7"/>
                <w:szCs w:val="7"/>
                <w:color w:val="auto"/>
              </w:rPr>
            </w:pPr>
          </w:p>
        </w:tc>
        <w:tc>
          <w:tcPr>
            <w:tcW w:w="480" w:type="dxa"/>
            <w:vAlign w:val="bottom"/>
            <w:shd w:val="clear" w:color="auto" w:fill="CCEBF8"/>
          </w:tcPr>
          <w:p>
            <w:pPr>
              <w:jc w:val="center"/>
              <w:ind w:right="98"/>
              <w:spacing w:after="0" w:line="90" w:lineRule="exact"/>
              <w:rPr>
                <w:sz w:val="20"/>
                <w:szCs w:val="20"/>
                <w:color w:val="auto"/>
              </w:rPr>
            </w:pPr>
            <w:r>
              <w:rPr>
                <w:rFonts w:ascii="Arial" w:cs="Arial" w:eastAsia="Arial" w:hAnsi="Arial"/>
                <w:sz w:val="8"/>
                <w:szCs w:val="8"/>
                <w:b w:val="1"/>
                <w:bCs w:val="1"/>
                <w:color w:val="009BDE"/>
              </w:rPr>
              <w:t>That</w:t>
            </w:r>
          </w:p>
        </w:tc>
        <w:tc>
          <w:tcPr>
            <w:tcW w:w="68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That Have</w:t>
            </w:r>
          </w:p>
        </w:tc>
        <w:tc>
          <w:tcPr>
            <w:tcW w:w="7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Rights That</w:t>
            </w:r>
          </w:p>
        </w:tc>
        <w:tc>
          <w:tcPr>
            <w:tcW w:w="0" w:type="dxa"/>
            <w:vAlign w:val="bottom"/>
          </w:tcPr>
          <w:p>
            <w:pPr>
              <w:spacing w:after="0"/>
              <w:rPr>
                <w:sz w:val="1"/>
                <w:szCs w:val="1"/>
                <w:color w:val="auto"/>
              </w:rPr>
            </w:pPr>
          </w:p>
        </w:tc>
      </w:tr>
      <w:tr>
        <w:trPr>
          <w:trHeight w:val="95"/>
        </w:trPr>
        <w:tc>
          <w:tcPr>
            <w:tcW w:w="1320" w:type="dxa"/>
            <w:vAlign w:val="bottom"/>
            <w:shd w:val="clear" w:color="auto" w:fill="CCEBF8"/>
          </w:tcPr>
          <w:p>
            <w:pPr>
              <w:spacing w:after="0"/>
              <w:rPr>
                <w:sz w:val="8"/>
                <w:szCs w:val="8"/>
                <w:color w:val="auto"/>
              </w:rPr>
            </w:pPr>
          </w:p>
        </w:tc>
        <w:tc>
          <w:tcPr>
            <w:tcW w:w="140" w:type="dxa"/>
            <w:vAlign w:val="bottom"/>
            <w:shd w:val="clear" w:color="auto" w:fill="CCEBF8"/>
          </w:tcPr>
          <w:p>
            <w:pPr>
              <w:spacing w:after="0"/>
              <w:rPr>
                <w:sz w:val="8"/>
                <w:szCs w:val="8"/>
                <w:color w:val="auto"/>
              </w:rPr>
            </w:pPr>
          </w:p>
        </w:tc>
        <w:tc>
          <w:tcPr>
            <w:tcW w:w="660" w:type="dxa"/>
            <w:vAlign w:val="bottom"/>
            <w:shd w:val="clear" w:color="auto" w:fill="CCEBF8"/>
          </w:tcPr>
          <w:p>
            <w:pPr>
              <w:jc w:val="center"/>
              <w:ind w:right="38"/>
              <w:spacing w:after="0"/>
              <w:rPr>
                <w:sz w:val="20"/>
                <w:szCs w:val="20"/>
                <w:color w:val="auto"/>
              </w:rPr>
            </w:pPr>
            <w:r>
              <w:rPr>
                <w:rFonts w:ascii="Arial" w:cs="Arial" w:eastAsia="Arial" w:hAnsi="Arial"/>
                <w:sz w:val="8"/>
                <w:szCs w:val="8"/>
                <w:b w:val="1"/>
                <w:bCs w:val="1"/>
                <w:color w:val="009BDE"/>
              </w:rPr>
              <w:t>Unexercised</w:t>
            </w:r>
          </w:p>
        </w:tc>
        <w:tc>
          <w:tcPr>
            <w:tcW w:w="860" w:type="dxa"/>
            <w:vAlign w:val="bottom"/>
            <w:shd w:val="clear" w:color="auto" w:fill="CCEBF8"/>
          </w:tcPr>
          <w:p>
            <w:pPr>
              <w:jc w:val="center"/>
              <w:spacing w:after="0"/>
              <w:rPr>
                <w:sz w:val="20"/>
                <w:szCs w:val="20"/>
                <w:color w:val="auto"/>
              </w:rPr>
            </w:pPr>
            <w:r>
              <w:rPr>
                <w:rFonts w:ascii="Arial" w:cs="Arial" w:eastAsia="Arial" w:hAnsi="Arial"/>
                <w:sz w:val="8"/>
                <w:szCs w:val="8"/>
                <w:b w:val="1"/>
                <w:bCs w:val="1"/>
                <w:color w:val="009BDE"/>
              </w:rPr>
              <w:t>Unexercised</w:t>
            </w:r>
          </w:p>
        </w:tc>
        <w:tc>
          <w:tcPr>
            <w:tcW w:w="660" w:type="dxa"/>
            <w:vAlign w:val="bottom"/>
            <w:shd w:val="clear" w:color="auto" w:fill="CCEBF8"/>
          </w:tcPr>
          <w:p>
            <w:pPr>
              <w:jc w:val="center"/>
              <w:spacing w:after="0"/>
              <w:rPr>
                <w:sz w:val="20"/>
                <w:szCs w:val="20"/>
                <w:color w:val="auto"/>
              </w:rPr>
            </w:pPr>
            <w:r>
              <w:rPr>
                <w:rFonts w:ascii="Arial" w:cs="Arial" w:eastAsia="Arial" w:hAnsi="Arial"/>
                <w:sz w:val="8"/>
                <w:szCs w:val="8"/>
                <w:b w:val="1"/>
                <w:bCs w:val="1"/>
                <w:color w:val="009BDE"/>
              </w:rPr>
              <w:t>Unearned</w:t>
            </w:r>
          </w:p>
        </w:tc>
        <w:tc>
          <w:tcPr>
            <w:tcW w:w="520" w:type="dxa"/>
            <w:vAlign w:val="bottom"/>
            <w:shd w:val="clear" w:color="auto" w:fill="CCEBF8"/>
          </w:tcPr>
          <w:p>
            <w:pPr>
              <w:jc w:val="right"/>
              <w:ind w:right="58"/>
              <w:spacing w:after="0"/>
              <w:rPr>
                <w:sz w:val="20"/>
                <w:szCs w:val="20"/>
                <w:color w:val="auto"/>
              </w:rPr>
            </w:pPr>
            <w:r>
              <w:rPr>
                <w:rFonts w:ascii="Arial" w:cs="Arial" w:eastAsia="Arial" w:hAnsi="Arial"/>
                <w:sz w:val="8"/>
                <w:szCs w:val="8"/>
                <w:b w:val="1"/>
                <w:bCs w:val="1"/>
                <w:color w:val="009BDE"/>
              </w:rPr>
              <w:t>Exercise</w:t>
            </w:r>
          </w:p>
        </w:tc>
        <w:tc>
          <w:tcPr>
            <w:tcW w:w="640" w:type="dxa"/>
            <w:vAlign w:val="bottom"/>
            <w:gridSpan w:val="2"/>
            <w:shd w:val="clear" w:color="auto" w:fill="CCEBF8"/>
          </w:tcPr>
          <w:p>
            <w:pPr>
              <w:jc w:val="center"/>
              <w:ind w:right="80"/>
              <w:spacing w:after="0"/>
              <w:rPr>
                <w:sz w:val="20"/>
                <w:szCs w:val="20"/>
                <w:color w:val="auto"/>
              </w:rPr>
            </w:pPr>
            <w:r>
              <w:rPr>
                <w:rFonts w:ascii="Arial" w:cs="Arial" w:eastAsia="Arial" w:hAnsi="Arial"/>
                <w:sz w:val="8"/>
                <w:szCs w:val="8"/>
                <w:b w:val="1"/>
                <w:bCs w:val="1"/>
                <w:color w:val="009BDE"/>
              </w:rPr>
              <w:t>Option</w:t>
            </w:r>
          </w:p>
        </w:tc>
        <w:tc>
          <w:tcPr>
            <w:tcW w:w="540" w:type="dxa"/>
            <w:vAlign w:val="bottom"/>
            <w:shd w:val="clear" w:color="auto" w:fill="CCEBF8"/>
          </w:tcPr>
          <w:p>
            <w:pPr>
              <w:jc w:val="center"/>
              <w:ind w:right="58"/>
              <w:spacing w:after="0"/>
              <w:rPr>
                <w:sz w:val="20"/>
                <w:szCs w:val="20"/>
                <w:color w:val="auto"/>
              </w:rPr>
            </w:pPr>
            <w:r>
              <w:rPr>
                <w:rFonts w:ascii="Arial" w:cs="Arial" w:eastAsia="Arial" w:hAnsi="Arial"/>
                <w:sz w:val="8"/>
                <w:szCs w:val="8"/>
                <w:b w:val="1"/>
                <w:bCs w:val="1"/>
                <w:color w:val="009BDE"/>
              </w:rPr>
              <w:t>Have Not</w:t>
            </w:r>
          </w:p>
        </w:tc>
        <w:tc>
          <w:tcPr>
            <w:tcW w:w="620" w:type="dxa"/>
            <w:vAlign w:val="bottom"/>
            <w:gridSpan w:val="2"/>
            <w:shd w:val="clear" w:color="auto" w:fill="CCEBF8"/>
          </w:tcPr>
          <w:p>
            <w:pPr>
              <w:jc w:val="center"/>
              <w:spacing w:after="0"/>
              <w:rPr>
                <w:sz w:val="20"/>
                <w:szCs w:val="20"/>
                <w:color w:val="auto"/>
              </w:rPr>
            </w:pPr>
            <w:r>
              <w:rPr>
                <w:rFonts w:ascii="Arial" w:cs="Arial" w:eastAsia="Arial" w:hAnsi="Arial"/>
                <w:sz w:val="8"/>
                <w:szCs w:val="8"/>
                <w:b w:val="1"/>
                <w:bCs w:val="1"/>
                <w:color w:val="009BDE"/>
              </w:rPr>
              <w:t>Have Not</w:t>
            </w:r>
          </w:p>
        </w:tc>
        <w:tc>
          <w:tcPr>
            <w:tcW w:w="680" w:type="dxa"/>
            <w:vAlign w:val="bottom"/>
            <w:shd w:val="clear" w:color="auto" w:fill="CCEBF8"/>
          </w:tcPr>
          <w:p>
            <w:pPr>
              <w:jc w:val="center"/>
              <w:spacing w:after="0"/>
              <w:rPr>
                <w:sz w:val="20"/>
                <w:szCs w:val="20"/>
                <w:color w:val="auto"/>
              </w:rPr>
            </w:pPr>
            <w:r>
              <w:rPr>
                <w:rFonts w:ascii="Arial" w:cs="Arial" w:eastAsia="Arial" w:hAnsi="Arial"/>
                <w:sz w:val="8"/>
                <w:szCs w:val="8"/>
                <w:b w:val="1"/>
                <w:bCs w:val="1"/>
                <w:color w:val="009BDE"/>
              </w:rPr>
              <w:t>Not</w:t>
            </w:r>
          </w:p>
        </w:tc>
        <w:tc>
          <w:tcPr>
            <w:tcW w:w="700" w:type="dxa"/>
            <w:vAlign w:val="bottom"/>
            <w:gridSpan w:val="2"/>
            <w:shd w:val="clear" w:color="auto" w:fill="CCEBF8"/>
          </w:tcPr>
          <w:p>
            <w:pPr>
              <w:jc w:val="center"/>
              <w:spacing w:after="0"/>
              <w:rPr>
                <w:sz w:val="20"/>
                <w:szCs w:val="20"/>
                <w:color w:val="auto"/>
              </w:rPr>
            </w:pPr>
            <w:r>
              <w:rPr>
                <w:rFonts w:ascii="Arial" w:cs="Arial" w:eastAsia="Arial" w:hAnsi="Arial"/>
                <w:sz w:val="8"/>
                <w:szCs w:val="8"/>
                <w:b w:val="1"/>
                <w:bCs w:val="1"/>
                <w:color w:val="009BDE"/>
              </w:rPr>
              <w:t>Have Not</w:t>
            </w:r>
          </w:p>
        </w:tc>
        <w:tc>
          <w:tcPr>
            <w:tcW w:w="0" w:type="dxa"/>
            <w:vAlign w:val="bottom"/>
          </w:tcPr>
          <w:p>
            <w:pPr>
              <w:spacing w:after="0"/>
              <w:rPr>
                <w:sz w:val="1"/>
                <w:szCs w:val="1"/>
                <w:color w:val="auto"/>
              </w:rPr>
            </w:pPr>
          </w:p>
        </w:tc>
      </w:tr>
      <w:tr>
        <w:trPr>
          <w:trHeight w:val="90"/>
        </w:trPr>
        <w:tc>
          <w:tcPr>
            <w:tcW w:w="132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660" w:type="dxa"/>
            <w:vAlign w:val="bottom"/>
            <w:shd w:val="clear" w:color="auto" w:fill="CCEBF8"/>
          </w:tcPr>
          <w:p>
            <w:pPr>
              <w:jc w:val="center"/>
              <w:ind w:right="18"/>
              <w:spacing w:after="0" w:line="90" w:lineRule="exact"/>
              <w:rPr>
                <w:sz w:val="20"/>
                <w:szCs w:val="20"/>
                <w:color w:val="auto"/>
              </w:rPr>
            </w:pPr>
            <w:r>
              <w:rPr>
                <w:rFonts w:ascii="Arial" w:cs="Arial" w:eastAsia="Arial" w:hAnsi="Arial"/>
                <w:sz w:val="8"/>
                <w:szCs w:val="8"/>
                <w:b w:val="1"/>
                <w:bCs w:val="1"/>
                <w:color w:val="009BDE"/>
              </w:rPr>
              <w:t>Options</w:t>
            </w:r>
          </w:p>
        </w:tc>
        <w:tc>
          <w:tcPr>
            <w:tcW w:w="8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Options</w:t>
            </w:r>
          </w:p>
        </w:tc>
        <w:tc>
          <w:tcPr>
            <w:tcW w:w="6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Options</w:t>
            </w:r>
          </w:p>
        </w:tc>
        <w:tc>
          <w:tcPr>
            <w:tcW w:w="52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Price</w:t>
            </w:r>
          </w:p>
        </w:tc>
        <w:tc>
          <w:tcPr>
            <w:tcW w:w="640" w:type="dxa"/>
            <w:vAlign w:val="bottom"/>
            <w:gridSpan w:val="2"/>
            <w:shd w:val="clear" w:color="auto" w:fill="CCEBF8"/>
          </w:tcPr>
          <w:p>
            <w:pPr>
              <w:jc w:val="center"/>
              <w:ind w:right="80"/>
              <w:spacing w:after="0" w:line="90" w:lineRule="exact"/>
              <w:rPr>
                <w:sz w:val="20"/>
                <w:szCs w:val="20"/>
                <w:color w:val="auto"/>
              </w:rPr>
            </w:pPr>
            <w:r>
              <w:rPr>
                <w:rFonts w:ascii="Arial" w:cs="Arial" w:eastAsia="Arial" w:hAnsi="Arial"/>
                <w:sz w:val="8"/>
                <w:szCs w:val="8"/>
                <w:b w:val="1"/>
                <w:bCs w:val="1"/>
                <w:color w:val="009BDE"/>
              </w:rPr>
              <w:t>Expiration</w:t>
            </w:r>
          </w:p>
        </w:tc>
        <w:tc>
          <w:tcPr>
            <w:tcW w:w="540" w:type="dxa"/>
            <w:vAlign w:val="bottom"/>
            <w:shd w:val="clear" w:color="auto" w:fill="CCEBF8"/>
          </w:tcPr>
          <w:p>
            <w:pPr>
              <w:jc w:val="center"/>
              <w:ind w:right="38"/>
              <w:spacing w:after="0" w:line="90" w:lineRule="exact"/>
              <w:rPr>
                <w:sz w:val="20"/>
                <w:szCs w:val="20"/>
                <w:color w:val="auto"/>
              </w:rPr>
            </w:pPr>
            <w:r>
              <w:rPr>
                <w:rFonts w:ascii="Arial" w:cs="Arial" w:eastAsia="Arial" w:hAnsi="Arial"/>
                <w:sz w:val="8"/>
                <w:szCs w:val="8"/>
                <w:b w:val="1"/>
                <w:bCs w:val="1"/>
                <w:color w:val="009BDE"/>
                <w:w w:val="98"/>
              </w:rPr>
              <w:t>Vested</w:t>
            </w:r>
          </w:p>
        </w:tc>
        <w:tc>
          <w:tcPr>
            <w:tcW w:w="140" w:type="dxa"/>
            <w:vAlign w:val="bottom"/>
            <w:shd w:val="clear" w:color="auto" w:fill="CCEBF8"/>
          </w:tcPr>
          <w:p>
            <w:pPr>
              <w:spacing w:after="0"/>
              <w:rPr>
                <w:sz w:val="7"/>
                <w:szCs w:val="7"/>
                <w:color w:val="auto"/>
              </w:rPr>
            </w:pPr>
          </w:p>
        </w:tc>
        <w:tc>
          <w:tcPr>
            <w:tcW w:w="480" w:type="dxa"/>
            <w:vAlign w:val="bottom"/>
            <w:shd w:val="clear" w:color="auto" w:fill="CCEBF8"/>
          </w:tcPr>
          <w:p>
            <w:pPr>
              <w:jc w:val="center"/>
              <w:ind w:right="118"/>
              <w:spacing w:after="0" w:line="90" w:lineRule="exact"/>
              <w:rPr>
                <w:sz w:val="20"/>
                <w:szCs w:val="20"/>
                <w:color w:val="auto"/>
              </w:rPr>
            </w:pPr>
            <w:r>
              <w:rPr>
                <w:rFonts w:ascii="Arial" w:cs="Arial" w:eastAsia="Arial" w:hAnsi="Arial"/>
                <w:sz w:val="8"/>
                <w:szCs w:val="8"/>
                <w:b w:val="1"/>
                <w:bCs w:val="1"/>
                <w:color w:val="009BDE"/>
              </w:rPr>
              <w:t>Vested</w:t>
            </w:r>
          </w:p>
        </w:tc>
        <w:tc>
          <w:tcPr>
            <w:tcW w:w="68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w w:val="98"/>
              </w:rPr>
              <w:t>Vested</w:t>
            </w:r>
          </w:p>
        </w:tc>
        <w:tc>
          <w:tcPr>
            <w:tcW w:w="7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w w:val="98"/>
              </w:rPr>
              <w:t>Vested</w:t>
            </w:r>
          </w:p>
        </w:tc>
        <w:tc>
          <w:tcPr>
            <w:tcW w:w="0" w:type="dxa"/>
            <w:vAlign w:val="bottom"/>
          </w:tcPr>
          <w:p>
            <w:pPr>
              <w:spacing w:after="0"/>
              <w:rPr>
                <w:sz w:val="1"/>
                <w:szCs w:val="1"/>
                <w:color w:val="auto"/>
              </w:rPr>
            </w:pPr>
          </w:p>
        </w:tc>
      </w:tr>
      <w:tr>
        <w:trPr>
          <w:trHeight w:val="114"/>
        </w:trPr>
        <w:tc>
          <w:tcPr>
            <w:tcW w:w="1320" w:type="dxa"/>
            <w:vAlign w:val="bottom"/>
            <w:shd w:val="clear" w:color="auto" w:fill="CCEBF8"/>
          </w:tcPr>
          <w:p>
            <w:pPr>
              <w:ind w:left="40"/>
              <w:spacing w:after="0"/>
              <w:rPr>
                <w:sz w:val="20"/>
                <w:szCs w:val="20"/>
                <w:color w:val="auto"/>
              </w:rPr>
            </w:pPr>
            <w:r>
              <w:rPr>
                <w:rFonts w:ascii="Arial" w:cs="Arial" w:eastAsia="Arial" w:hAnsi="Arial"/>
                <w:sz w:val="8"/>
                <w:szCs w:val="8"/>
                <w:b w:val="1"/>
                <w:bCs w:val="1"/>
                <w:color w:val="009BDE"/>
              </w:rPr>
              <w:t>Name</w:t>
            </w:r>
          </w:p>
        </w:tc>
        <w:tc>
          <w:tcPr>
            <w:tcW w:w="140" w:type="dxa"/>
            <w:vAlign w:val="bottom"/>
            <w:shd w:val="clear" w:color="auto" w:fill="CCEBF8"/>
          </w:tcPr>
          <w:p>
            <w:pPr>
              <w:spacing w:after="0"/>
              <w:rPr>
                <w:sz w:val="9"/>
                <w:szCs w:val="9"/>
                <w:color w:val="auto"/>
              </w:rPr>
            </w:pPr>
          </w:p>
        </w:tc>
        <w:tc>
          <w:tcPr>
            <w:tcW w:w="660" w:type="dxa"/>
            <w:vAlign w:val="bottom"/>
            <w:shd w:val="clear" w:color="auto" w:fill="CCEBF8"/>
          </w:tcPr>
          <w:p>
            <w:pPr>
              <w:jc w:val="center"/>
              <w:ind w:right="18"/>
              <w:spacing w:after="0"/>
              <w:rPr>
                <w:sz w:val="20"/>
                <w:szCs w:val="20"/>
                <w:color w:val="auto"/>
              </w:rPr>
            </w:pPr>
            <w:r>
              <w:rPr>
                <w:rFonts w:ascii="Arial" w:cs="Arial" w:eastAsia="Arial" w:hAnsi="Arial"/>
                <w:sz w:val="8"/>
                <w:szCs w:val="8"/>
                <w:b w:val="1"/>
                <w:bCs w:val="1"/>
                <w:color w:val="009BDE"/>
              </w:rPr>
              <w:t>(# Exercisable)</w:t>
            </w:r>
          </w:p>
        </w:tc>
        <w:tc>
          <w:tcPr>
            <w:tcW w:w="860" w:type="dxa"/>
            <w:vAlign w:val="bottom"/>
            <w:shd w:val="clear" w:color="auto" w:fill="CCEBF8"/>
          </w:tcPr>
          <w:p>
            <w:pPr>
              <w:jc w:val="center"/>
              <w:spacing w:after="0"/>
              <w:rPr>
                <w:sz w:val="20"/>
                <w:szCs w:val="20"/>
                <w:color w:val="auto"/>
              </w:rPr>
            </w:pPr>
            <w:r>
              <w:rPr>
                <w:rFonts w:ascii="Arial" w:cs="Arial" w:eastAsia="Arial" w:hAnsi="Arial"/>
                <w:sz w:val="8"/>
                <w:szCs w:val="8"/>
                <w:b w:val="1"/>
                <w:bCs w:val="1"/>
                <w:color w:val="009BDE"/>
              </w:rPr>
              <w:t>(# Unexercisable)</w:t>
            </w:r>
          </w:p>
        </w:tc>
        <w:tc>
          <w:tcPr>
            <w:tcW w:w="660" w:type="dxa"/>
            <w:vAlign w:val="bottom"/>
            <w:shd w:val="clear" w:color="auto" w:fill="CCEBF8"/>
          </w:tcPr>
          <w:p>
            <w:pPr>
              <w:jc w:val="center"/>
              <w:spacing w:after="0"/>
              <w:rPr>
                <w:sz w:val="20"/>
                <w:szCs w:val="20"/>
                <w:color w:val="auto"/>
              </w:rPr>
            </w:pPr>
            <w:r>
              <w:rPr>
                <w:rFonts w:ascii="Arial" w:cs="Arial" w:eastAsia="Arial" w:hAnsi="Arial"/>
                <w:sz w:val="8"/>
                <w:szCs w:val="8"/>
                <w:b w:val="1"/>
                <w:bCs w:val="1"/>
                <w:color w:val="009BDE"/>
              </w:rPr>
              <w:t>(#)</w:t>
            </w:r>
          </w:p>
        </w:tc>
        <w:tc>
          <w:tcPr>
            <w:tcW w:w="520" w:type="dxa"/>
            <w:vAlign w:val="bottom"/>
            <w:shd w:val="clear" w:color="auto" w:fill="CCEBF8"/>
          </w:tcPr>
          <w:p>
            <w:pPr>
              <w:jc w:val="center"/>
              <w:spacing w:after="0"/>
              <w:rPr>
                <w:sz w:val="20"/>
                <w:szCs w:val="20"/>
                <w:color w:val="auto"/>
              </w:rPr>
            </w:pPr>
            <w:r>
              <w:rPr>
                <w:rFonts w:ascii="Arial" w:cs="Arial" w:eastAsia="Arial" w:hAnsi="Arial"/>
                <w:sz w:val="8"/>
                <w:szCs w:val="8"/>
                <w:b w:val="1"/>
                <w:bCs w:val="1"/>
                <w:color w:val="009BDE"/>
              </w:rPr>
              <w:t>($)</w:t>
            </w:r>
          </w:p>
        </w:tc>
        <w:tc>
          <w:tcPr>
            <w:tcW w:w="640" w:type="dxa"/>
            <w:vAlign w:val="bottom"/>
            <w:gridSpan w:val="2"/>
            <w:shd w:val="clear" w:color="auto" w:fill="CCEBF8"/>
          </w:tcPr>
          <w:p>
            <w:pPr>
              <w:jc w:val="center"/>
              <w:ind w:right="100"/>
              <w:spacing w:after="0"/>
              <w:rPr>
                <w:sz w:val="20"/>
                <w:szCs w:val="20"/>
                <w:color w:val="auto"/>
              </w:rPr>
            </w:pPr>
            <w:r>
              <w:rPr>
                <w:rFonts w:ascii="Arial" w:cs="Arial" w:eastAsia="Arial" w:hAnsi="Arial"/>
                <w:sz w:val="8"/>
                <w:szCs w:val="8"/>
                <w:b w:val="1"/>
                <w:bCs w:val="1"/>
                <w:color w:val="009BDE"/>
              </w:rPr>
              <w:t>Date</w:t>
            </w:r>
          </w:p>
        </w:tc>
        <w:tc>
          <w:tcPr>
            <w:tcW w:w="540" w:type="dxa"/>
            <w:vAlign w:val="bottom"/>
            <w:shd w:val="clear" w:color="auto" w:fill="CCEBF8"/>
          </w:tcPr>
          <w:p>
            <w:pPr>
              <w:jc w:val="center"/>
              <w:ind w:right="38"/>
              <w:spacing w:after="0"/>
              <w:rPr>
                <w:sz w:val="20"/>
                <w:szCs w:val="20"/>
                <w:color w:val="auto"/>
              </w:rPr>
            </w:pPr>
            <w:r>
              <w:rPr>
                <w:rFonts w:ascii="Arial" w:cs="Arial" w:eastAsia="Arial" w:hAnsi="Arial"/>
                <w:sz w:val="8"/>
                <w:szCs w:val="8"/>
                <w:b w:val="1"/>
                <w:bCs w:val="1"/>
                <w:color w:val="009BDE"/>
              </w:rPr>
              <w:t>(#)</w:t>
            </w:r>
          </w:p>
        </w:tc>
        <w:tc>
          <w:tcPr>
            <w:tcW w:w="140" w:type="dxa"/>
            <w:vAlign w:val="bottom"/>
            <w:shd w:val="clear" w:color="auto" w:fill="CCEBF8"/>
          </w:tcPr>
          <w:p>
            <w:pPr>
              <w:spacing w:after="0"/>
              <w:rPr>
                <w:sz w:val="9"/>
                <w:szCs w:val="9"/>
                <w:color w:val="auto"/>
              </w:rPr>
            </w:pPr>
          </w:p>
        </w:tc>
        <w:tc>
          <w:tcPr>
            <w:tcW w:w="480" w:type="dxa"/>
            <w:vAlign w:val="bottom"/>
            <w:shd w:val="clear" w:color="auto" w:fill="CCEBF8"/>
          </w:tcPr>
          <w:p>
            <w:pPr>
              <w:jc w:val="center"/>
              <w:ind w:right="98"/>
              <w:spacing w:after="0"/>
              <w:rPr>
                <w:sz w:val="20"/>
                <w:szCs w:val="20"/>
                <w:color w:val="auto"/>
              </w:rPr>
            </w:pPr>
            <w:r>
              <w:rPr>
                <w:rFonts w:ascii="Arial" w:cs="Arial" w:eastAsia="Arial" w:hAnsi="Arial"/>
                <w:sz w:val="8"/>
                <w:szCs w:val="8"/>
                <w:b w:val="1"/>
                <w:bCs w:val="1"/>
                <w:color w:val="009BDE"/>
              </w:rPr>
              <w:t>($)</w:t>
            </w:r>
          </w:p>
        </w:tc>
        <w:tc>
          <w:tcPr>
            <w:tcW w:w="680" w:type="dxa"/>
            <w:vAlign w:val="bottom"/>
            <w:shd w:val="clear" w:color="auto" w:fill="CCEBF8"/>
          </w:tcPr>
          <w:p>
            <w:pPr>
              <w:jc w:val="center"/>
              <w:spacing w:after="0"/>
              <w:rPr>
                <w:sz w:val="20"/>
                <w:szCs w:val="20"/>
                <w:color w:val="auto"/>
              </w:rPr>
            </w:pPr>
            <w:r>
              <w:rPr>
                <w:rFonts w:ascii="Arial" w:cs="Arial" w:eastAsia="Arial" w:hAnsi="Arial"/>
                <w:sz w:val="8"/>
                <w:szCs w:val="8"/>
                <w:b w:val="1"/>
                <w:bCs w:val="1"/>
                <w:color w:val="009BDE"/>
              </w:rPr>
              <w:t>(#)</w:t>
            </w:r>
          </w:p>
        </w:tc>
        <w:tc>
          <w:tcPr>
            <w:tcW w:w="700" w:type="dxa"/>
            <w:vAlign w:val="bottom"/>
            <w:gridSpan w:val="2"/>
            <w:shd w:val="clear" w:color="auto" w:fill="CCEBF8"/>
          </w:tcPr>
          <w:p>
            <w:pPr>
              <w:jc w:val="center"/>
              <w:spacing w:after="0"/>
              <w:rPr>
                <w:sz w:val="20"/>
                <w:szCs w:val="20"/>
                <w:color w:val="auto"/>
              </w:rPr>
            </w:pPr>
            <w:r>
              <w:rPr>
                <w:rFonts w:ascii="Arial" w:cs="Arial" w:eastAsia="Arial" w:hAnsi="Arial"/>
                <w:sz w:val="8"/>
                <w:szCs w:val="8"/>
                <w:b w:val="1"/>
                <w:bCs w:val="1"/>
                <w:color w:val="009BDE"/>
              </w:rPr>
              <w:t>($)(j)</w:t>
            </w:r>
          </w:p>
        </w:tc>
        <w:tc>
          <w:tcPr>
            <w:tcW w:w="0" w:type="dxa"/>
            <w:vAlign w:val="bottom"/>
          </w:tcPr>
          <w:p>
            <w:pPr>
              <w:spacing w:after="0"/>
              <w:rPr>
                <w:sz w:val="1"/>
                <w:szCs w:val="1"/>
                <w:color w:val="auto"/>
              </w:rPr>
            </w:pPr>
          </w:p>
        </w:tc>
      </w:tr>
      <w:tr>
        <w:trPr>
          <w:trHeight w:val="84"/>
        </w:trPr>
        <w:tc>
          <w:tcPr>
            <w:tcW w:w="1320" w:type="dxa"/>
            <w:vAlign w:val="bottom"/>
            <w:tcBorders>
              <w:bottom w:val="single" w:sz="8" w:color="009BDE"/>
            </w:tcBorders>
            <w:shd w:val="clear" w:color="auto" w:fill="CCEBF8"/>
          </w:tcPr>
          <w:p>
            <w:pPr>
              <w:spacing w:after="0"/>
              <w:rPr>
                <w:sz w:val="7"/>
                <w:szCs w:val="7"/>
                <w:color w:val="auto"/>
              </w:rPr>
            </w:pPr>
          </w:p>
        </w:tc>
        <w:tc>
          <w:tcPr>
            <w:tcW w:w="140" w:type="dxa"/>
            <w:vAlign w:val="bottom"/>
            <w:tcBorders>
              <w:bottom w:val="single" w:sz="8" w:color="009BDE"/>
            </w:tcBorders>
            <w:shd w:val="clear" w:color="auto" w:fill="CCEBF8"/>
          </w:tcPr>
          <w:p>
            <w:pPr>
              <w:spacing w:after="0"/>
              <w:rPr>
                <w:sz w:val="7"/>
                <w:szCs w:val="7"/>
                <w:color w:val="auto"/>
              </w:rPr>
            </w:pPr>
          </w:p>
        </w:tc>
        <w:tc>
          <w:tcPr>
            <w:tcW w:w="660" w:type="dxa"/>
            <w:vAlign w:val="bottom"/>
            <w:tcBorders>
              <w:bottom w:val="single" w:sz="8" w:color="009BDE"/>
            </w:tcBorders>
            <w:shd w:val="clear" w:color="auto" w:fill="CCEBF8"/>
          </w:tcPr>
          <w:p>
            <w:pPr>
              <w:spacing w:after="0"/>
              <w:rPr>
                <w:sz w:val="7"/>
                <w:szCs w:val="7"/>
                <w:color w:val="auto"/>
              </w:rPr>
            </w:pPr>
          </w:p>
        </w:tc>
        <w:tc>
          <w:tcPr>
            <w:tcW w:w="860" w:type="dxa"/>
            <w:vAlign w:val="bottom"/>
            <w:tcBorders>
              <w:bottom w:val="single" w:sz="8" w:color="009BDE"/>
            </w:tcBorders>
            <w:shd w:val="clear" w:color="auto" w:fill="CCEBF8"/>
          </w:tcPr>
          <w:p>
            <w:pPr>
              <w:spacing w:after="0"/>
              <w:rPr>
                <w:sz w:val="7"/>
                <w:szCs w:val="7"/>
                <w:color w:val="auto"/>
              </w:rPr>
            </w:pPr>
          </w:p>
        </w:tc>
        <w:tc>
          <w:tcPr>
            <w:tcW w:w="660" w:type="dxa"/>
            <w:vAlign w:val="bottom"/>
            <w:tcBorders>
              <w:bottom w:val="single" w:sz="8" w:color="009BDE"/>
            </w:tcBorders>
            <w:shd w:val="clear" w:color="auto" w:fill="CCEBF8"/>
          </w:tcPr>
          <w:p>
            <w:pPr>
              <w:spacing w:after="0"/>
              <w:rPr>
                <w:sz w:val="7"/>
                <w:szCs w:val="7"/>
                <w:color w:val="auto"/>
              </w:rPr>
            </w:pPr>
          </w:p>
        </w:tc>
        <w:tc>
          <w:tcPr>
            <w:tcW w:w="520" w:type="dxa"/>
            <w:vAlign w:val="bottom"/>
            <w:tcBorders>
              <w:bottom w:val="single" w:sz="8" w:color="009BDE"/>
            </w:tcBorders>
            <w:shd w:val="clear" w:color="auto" w:fill="CCEBF8"/>
          </w:tcPr>
          <w:p>
            <w:pPr>
              <w:spacing w:after="0"/>
              <w:rPr>
                <w:sz w:val="7"/>
                <w:szCs w:val="7"/>
                <w:color w:val="auto"/>
              </w:rPr>
            </w:pPr>
          </w:p>
        </w:tc>
        <w:tc>
          <w:tcPr>
            <w:tcW w:w="500" w:type="dxa"/>
            <w:vAlign w:val="bottom"/>
            <w:tcBorders>
              <w:bottom w:val="single" w:sz="8" w:color="009BDE"/>
            </w:tcBorders>
            <w:shd w:val="clear" w:color="auto" w:fill="CCEBF8"/>
          </w:tcPr>
          <w:p>
            <w:pPr>
              <w:spacing w:after="0"/>
              <w:rPr>
                <w:sz w:val="7"/>
                <w:szCs w:val="7"/>
                <w:color w:val="auto"/>
              </w:rPr>
            </w:pPr>
          </w:p>
        </w:tc>
        <w:tc>
          <w:tcPr>
            <w:tcW w:w="140" w:type="dxa"/>
            <w:vAlign w:val="bottom"/>
            <w:tcBorders>
              <w:bottom w:val="single" w:sz="8" w:color="009BDE"/>
            </w:tcBorders>
            <w:shd w:val="clear" w:color="auto" w:fill="CCEBF8"/>
          </w:tcPr>
          <w:p>
            <w:pPr>
              <w:spacing w:after="0"/>
              <w:rPr>
                <w:sz w:val="7"/>
                <w:szCs w:val="7"/>
                <w:color w:val="auto"/>
              </w:rPr>
            </w:pPr>
          </w:p>
        </w:tc>
        <w:tc>
          <w:tcPr>
            <w:tcW w:w="540" w:type="dxa"/>
            <w:vAlign w:val="bottom"/>
            <w:tcBorders>
              <w:bottom w:val="single" w:sz="8" w:color="009BDE"/>
            </w:tcBorders>
            <w:shd w:val="clear" w:color="auto" w:fill="CCEBF8"/>
          </w:tcPr>
          <w:p>
            <w:pPr>
              <w:spacing w:after="0"/>
              <w:rPr>
                <w:sz w:val="7"/>
                <w:szCs w:val="7"/>
                <w:color w:val="auto"/>
              </w:rPr>
            </w:pPr>
          </w:p>
        </w:tc>
        <w:tc>
          <w:tcPr>
            <w:tcW w:w="140" w:type="dxa"/>
            <w:vAlign w:val="bottom"/>
            <w:tcBorders>
              <w:bottom w:val="single" w:sz="8" w:color="009BDE"/>
            </w:tcBorders>
            <w:shd w:val="clear" w:color="auto" w:fill="CCEBF8"/>
          </w:tcPr>
          <w:p>
            <w:pPr>
              <w:spacing w:after="0"/>
              <w:rPr>
                <w:sz w:val="7"/>
                <w:szCs w:val="7"/>
                <w:color w:val="auto"/>
              </w:rPr>
            </w:pPr>
          </w:p>
        </w:tc>
        <w:tc>
          <w:tcPr>
            <w:tcW w:w="480" w:type="dxa"/>
            <w:vAlign w:val="bottom"/>
            <w:tcBorders>
              <w:bottom w:val="single" w:sz="8" w:color="009BDE"/>
            </w:tcBorders>
            <w:shd w:val="clear" w:color="auto" w:fill="CCEBF8"/>
          </w:tcPr>
          <w:p>
            <w:pPr>
              <w:spacing w:after="0"/>
              <w:rPr>
                <w:sz w:val="7"/>
                <w:szCs w:val="7"/>
                <w:color w:val="auto"/>
              </w:rPr>
            </w:pPr>
          </w:p>
        </w:tc>
        <w:tc>
          <w:tcPr>
            <w:tcW w:w="680" w:type="dxa"/>
            <w:vAlign w:val="bottom"/>
            <w:tcBorders>
              <w:bottom w:val="single" w:sz="8" w:color="009BDE"/>
            </w:tcBorders>
            <w:shd w:val="clear" w:color="auto" w:fill="CCEBF8"/>
          </w:tcPr>
          <w:p>
            <w:pPr>
              <w:spacing w:after="0"/>
              <w:rPr>
                <w:sz w:val="7"/>
                <w:szCs w:val="7"/>
                <w:color w:val="auto"/>
              </w:rPr>
            </w:pPr>
          </w:p>
        </w:tc>
        <w:tc>
          <w:tcPr>
            <w:tcW w:w="320" w:type="dxa"/>
            <w:vAlign w:val="bottom"/>
            <w:tcBorders>
              <w:bottom w:val="single" w:sz="8" w:color="009BDE"/>
            </w:tcBorders>
            <w:shd w:val="clear" w:color="auto" w:fill="CCEBF8"/>
          </w:tcPr>
          <w:p>
            <w:pPr>
              <w:spacing w:after="0"/>
              <w:rPr>
                <w:sz w:val="7"/>
                <w:szCs w:val="7"/>
                <w:color w:val="auto"/>
              </w:rPr>
            </w:pPr>
          </w:p>
        </w:tc>
        <w:tc>
          <w:tcPr>
            <w:tcW w:w="380" w:type="dxa"/>
            <w:vAlign w:val="bottom"/>
            <w:tcBorders>
              <w:bottom w:val="single" w:sz="8" w:color="009BDE"/>
            </w:tcBorders>
            <w:shd w:val="clear" w:color="auto" w:fill="CCEBF8"/>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320" w:type="dxa"/>
            <w:vAlign w:val="bottom"/>
          </w:tcPr>
          <w:p>
            <w:pPr>
              <w:ind w:left="40"/>
              <w:spacing w:after="0"/>
              <w:rPr>
                <w:sz w:val="20"/>
                <w:szCs w:val="20"/>
                <w:color w:val="auto"/>
              </w:rPr>
            </w:pPr>
            <w:r>
              <w:rPr>
                <w:rFonts w:ascii="Arial" w:cs="Arial" w:eastAsia="Arial" w:hAnsi="Arial"/>
                <w:sz w:val="8"/>
                <w:szCs w:val="8"/>
                <w:b w:val="1"/>
                <w:bCs w:val="1"/>
                <w:color w:val="auto"/>
              </w:rPr>
              <w:t>Chris Cocks</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vMerge w:val="restart"/>
          </w:tcPr>
          <w:p>
            <w:pPr>
              <w:jc w:val="right"/>
              <w:ind w:right="58"/>
              <w:spacing w:after="0"/>
              <w:rPr>
                <w:sz w:val="20"/>
                <w:szCs w:val="20"/>
                <w:color w:val="auto"/>
              </w:rPr>
            </w:pPr>
            <w:r>
              <w:rPr>
                <w:rFonts w:ascii="Arial" w:cs="Arial" w:eastAsia="Arial" w:hAnsi="Arial"/>
                <w:sz w:val="8"/>
                <w:szCs w:val="8"/>
                <w:color w:val="auto"/>
              </w:rPr>
              <w:t>2,325(f)</w:t>
            </w:r>
          </w:p>
        </w:tc>
        <w:tc>
          <w:tcPr>
            <w:tcW w:w="320" w:type="dxa"/>
            <w:vAlign w:val="bottom"/>
            <w:vMerge w:val="restart"/>
          </w:tcPr>
          <w:p>
            <w:pPr>
              <w:ind w:left="240"/>
              <w:spacing w:after="0"/>
              <w:rPr>
                <w:sz w:val="20"/>
                <w:szCs w:val="20"/>
                <w:color w:val="auto"/>
              </w:rPr>
            </w:pPr>
            <w:r>
              <w:rPr>
                <w:rFonts w:ascii="Arial" w:cs="Arial" w:eastAsia="Arial" w:hAnsi="Arial"/>
                <w:sz w:val="8"/>
                <w:szCs w:val="8"/>
                <w:color w:val="auto"/>
              </w:rPr>
              <w:t>$</w:t>
            </w:r>
          </w:p>
        </w:tc>
        <w:tc>
          <w:tcPr>
            <w:tcW w:w="380" w:type="dxa"/>
            <w:vAlign w:val="bottom"/>
            <w:vMerge w:val="restart"/>
          </w:tcPr>
          <w:p>
            <w:pPr>
              <w:jc w:val="right"/>
              <w:spacing w:after="0"/>
              <w:rPr>
                <w:sz w:val="20"/>
                <w:szCs w:val="20"/>
                <w:color w:val="auto"/>
              </w:rPr>
            </w:pPr>
            <w:r>
              <w:rPr>
                <w:rFonts w:ascii="Arial" w:cs="Arial" w:eastAsia="Arial" w:hAnsi="Arial"/>
                <w:sz w:val="8"/>
                <w:szCs w:val="8"/>
                <w:color w:val="auto"/>
              </w:rPr>
              <w:t>135,338</w:t>
            </w:r>
          </w:p>
        </w:tc>
        <w:tc>
          <w:tcPr>
            <w:tcW w:w="0" w:type="dxa"/>
            <w:vAlign w:val="bottom"/>
          </w:tcPr>
          <w:p>
            <w:pPr>
              <w:spacing w:after="0"/>
              <w:rPr>
                <w:sz w:val="1"/>
                <w:szCs w:val="1"/>
                <w:color w:val="auto"/>
              </w:rPr>
            </w:pPr>
          </w:p>
        </w:tc>
      </w:tr>
      <w:tr>
        <w:trPr>
          <w:trHeight w:val="66"/>
        </w:trPr>
        <w:tc>
          <w:tcPr>
            <w:tcW w:w="1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jc w:val="right"/>
              <w:ind w:right="38"/>
              <w:spacing w:after="0" w:line="90" w:lineRule="exact"/>
              <w:rPr>
                <w:sz w:val="20"/>
                <w:szCs w:val="20"/>
                <w:color w:val="auto"/>
              </w:rPr>
            </w:pPr>
            <w:r>
              <w:rPr>
                <w:rFonts w:ascii="Arial" w:cs="Arial" w:eastAsia="Arial" w:hAnsi="Arial"/>
                <w:sz w:val="8"/>
                <w:szCs w:val="8"/>
                <w:color w:val="auto"/>
              </w:rPr>
              <w:t>10,332(g)</w:t>
            </w:r>
          </w:p>
        </w:tc>
        <w:tc>
          <w:tcPr>
            <w:tcW w:w="320" w:type="dxa"/>
            <w:vAlign w:val="bottom"/>
          </w:tcPr>
          <w:p>
            <w:pPr>
              <w:ind w:left="240"/>
              <w:spacing w:after="0" w:line="90" w:lineRule="exact"/>
              <w:rPr>
                <w:sz w:val="20"/>
                <w:szCs w:val="20"/>
                <w:color w:val="auto"/>
              </w:rPr>
            </w:pPr>
            <w:r>
              <w:rPr>
                <w:rFonts w:ascii="Arial" w:cs="Arial" w:eastAsia="Arial" w:hAnsi="Arial"/>
                <w:sz w:val="8"/>
                <w:szCs w:val="8"/>
                <w:color w:val="auto"/>
              </w:rPr>
              <w:t>$</w:t>
            </w:r>
          </w:p>
        </w:tc>
        <w:tc>
          <w:tcPr>
            <w:tcW w:w="380" w:type="dxa"/>
            <w:vAlign w:val="bottom"/>
          </w:tcPr>
          <w:p>
            <w:pPr>
              <w:jc w:val="right"/>
              <w:spacing w:after="0" w:line="90" w:lineRule="exact"/>
              <w:rPr>
                <w:sz w:val="20"/>
                <w:szCs w:val="20"/>
                <w:color w:val="auto"/>
              </w:rPr>
            </w:pPr>
            <w:r>
              <w:rPr>
                <w:rFonts w:ascii="Arial" w:cs="Arial" w:eastAsia="Arial" w:hAnsi="Arial"/>
                <w:sz w:val="8"/>
                <w:szCs w:val="8"/>
                <w:color w:val="auto"/>
              </w:rPr>
              <w:t>601,426</w:t>
            </w: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jc w:val="right"/>
              <w:ind w:right="38"/>
              <w:spacing w:after="0" w:line="90" w:lineRule="exact"/>
              <w:rPr>
                <w:sz w:val="20"/>
                <w:szCs w:val="20"/>
                <w:color w:val="auto"/>
              </w:rPr>
            </w:pPr>
            <w:r>
              <w:rPr>
                <w:rFonts w:ascii="Arial" w:cs="Arial" w:eastAsia="Arial" w:hAnsi="Arial"/>
                <w:sz w:val="8"/>
                <w:szCs w:val="8"/>
                <w:color w:val="auto"/>
              </w:rPr>
              <w:t>2,603(h)</w:t>
            </w:r>
          </w:p>
        </w:tc>
        <w:tc>
          <w:tcPr>
            <w:tcW w:w="320" w:type="dxa"/>
            <w:vAlign w:val="bottom"/>
          </w:tcPr>
          <w:p>
            <w:pPr>
              <w:ind w:left="240"/>
              <w:spacing w:after="0" w:line="90" w:lineRule="exact"/>
              <w:rPr>
                <w:sz w:val="20"/>
                <w:szCs w:val="20"/>
                <w:color w:val="auto"/>
              </w:rPr>
            </w:pPr>
            <w:r>
              <w:rPr>
                <w:rFonts w:ascii="Arial" w:cs="Arial" w:eastAsia="Arial" w:hAnsi="Arial"/>
                <w:sz w:val="8"/>
                <w:szCs w:val="8"/>
                <w:color w:val="auto"/>
              </w:rPr>
              <w:t>$</w:t>
            </w:r>
          </w:p>
        </w:tc>
        <w:tc>
          <w:tcPr>
            <w:tcW w:w="380" w:type="dxa"/>
            <w:vAlign w:val="bottom"/>
          </w:tcPr>
          <w:p>
            <w:pPr>
              <w:jc w:val="right"/>
              <w:spacing w:after="0" w:line="90" w:lineRule="exact"/>
              <w:rPr>
                <w:sz w:val="20"/>
                <w:szCs w:val="20"/>
                <w:color w:val="auto"/>
              </w:rPr>
            </w:pPr>
            <w:r>
              <w:rPr>
                <w:rFonts w:ascii="Arial" w:cs="Arial" w:eastAsia="Arial" w:hAnsi="Arial"/>
                <w:sz w:val="8"/>
                <w:szCs w:val="8"/>
                <w:color w:val="auto"/>
              </w:rPr>
              <w:t>151,521</w:t>
            </w: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jc w:val="right"/>
              <w:ind w:right="58"/>
              <w:spacing w:after="0" w:line="90" w:lineRule="exact"/>
              <w:rPr>
                <w:sz w:val="20"/>
                <w:szCs w:val="20"/>
                <w:color w:val="auto"/>
              </w:rPr>
            </w:pPr>
            <w:r>
              <w:rPr>
                <w:rFonts w:ascii="Arial" w:cs="Arial" w:eastAsia="Arial" w:hAnsi="Arial"/>
                <w:sz w:val="8"/>
                <w:szCs w:val="8"/>
                <w:color w:val="auto"/>
              </w:rPr>
              <w:t>1,302(i)</w:t>
            </w:r>
          </w:p>
        </w:tc>
        <w:tc>
          <w:tcPr>
            <w:tcW w:w="320" w:type="dxa"/>
            <w:vAlign w:val="bottom"/>
          </w:tcPr>
          <w:p>
            <w:pPr>
              <w:ind w:left="240"/>
              <w:spacing w:after="0" w:line="90" w:lineRule="exact"/>
              <w:rPr>
                <w:sz w:val="20"/>
                <w:szCs w:val="20"/>
                <w:color w:val="auto"/>
              </w:rPr>
            </w:pPr>
            <w:r>
              <w:rPr>
                <w:rFonts w:ascii="Arial" w:cs="Arial" w:eastAsia="Arial" w:hAnsi="Arial"/>
                <w:sz w:val="8"/>
                <w:szCs w:val="8"/>
                <w:color w:val="auto"/>
              </w:rPr>
              <w:t>$</w:t>
            </w:r>
          </w:p>
        </w:tc>
        <w:tc>
          <w:tcPr>
            <w:tcW w:w="380" w:type="dxa"/>
            <w:vAlign w:val="bottom"/>
          </w:tcPr>
          <w:p>
            <w:pPr>
              <w:jc w:val="right"/>
              <w:spacing w:after="0" w:line="90" w:lineRule="exact"/>
              <w:rPr>
                <w:sz w:val="20"/>
                <w:szCs w:val="20"/>
                <w:color w:val="auto"/>
              </w:rPr>
            </w:pPr>
            <w:r>
              <w:rPr>
                <w:rFonts w:ascii="Arial" w:cs="Arial" w:eastAsia="Arial" w:hAnsi="Arial"/>
                <w:sz w:val="8"/>
                <w:szCs w:val="8"/>
                <w:color w:val="auto"/>
              </w:rPr>
              <w:t>75,789</w:t>
            </w:r>
          </w:p>
        </w:tc>
        <w:tc>
          <w:tcPr>
            <w:tcW w:w="0" w:type="dxa"/>
            <w:vAlign w:val="bottom"/>
          </w:tcPr>
          <w:p>
            <w:pPr>
              <w:spacing w:after="0"/>
              <w:rPr>
                <w:sz w:val="1"/>
                <w:szCs w:val="1"/>
                <w:color w:val="auto"/>
              </w:rPr>
            </w:pPr>
          </w:p>
        </w:tc>
      </w:tr>
      <w:tr>
        <w:trPr>
          <w:trHeight w:val="100"/>
        </w:trPr>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ind w:right="78"/>
              <w:spacing w:after="0"/>
              <w:rPr>
                <w:sz w:val="20"/>
                <w:szCs w:val="20"/>
                <w:color w:val="auto"/>
              </w:rPr>
            </w:pPr>
            <w:r>
              <w:rPr>
                <w:rFonts w:ascii="Arial" w:cs="Arial" w:eastAsia="Arial" w:hAnsi="Arial"/>
                <w:sz w:val="8"/>
                <w:szCs w:val="8"/>
                <w:color w:val="auto"/>
              </w:rPr>
              <w:t>5,178(k)</w:t>
            </w:r>
          </w:p>
        </w:tc>
        <w:tc>
          <w:tcPr>
            <w:tcW w:w="14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480" w:type="dxa"/>
            <w:vAlign w:val="bottom"/>
            <w:vMerge w:val="restart"/>
          </w:tcPr>
          <w:p>
            <w:pPr>
              <w:jc w:val="right"/>
              <w:ind w:right="58"/>
              <w:spacing w:after="0"/>
              <w:rPr>
                <w:sz w:val="20"/>
                <w:szCs w:val="20"/>
                <w:color w:val="auto"/>
              </w:rPr>
            </w:pPr>
            <w:r>
              <w:rPr>
                <w:rFonts w:ascii="Arial" w:cs="Arial" w:eastAsia="Arial" w:hAnsi="Arial"/>
                <w:sz w:val="8"/>
                <w:szCs w:val="8"/>
                <w:color w:val="auto"/>
              </w:rPr>
              <w:t>301,411</w:t>
            </w: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40,650(j)</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$ 2,366,237</w:t>
            </w: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ind w:right="98"/>
              <w:spacing w:after="0" w:line="90" w:lineRule="exact"/>
              <w:rPr>
                <w:sz w:val="20"/>
                <w:szCs w:val="20"/>
                <w:color w:val="auto"/>
              </w:rPr>
            </w:pPr>
            <w:r>
              <w:rPr>
                <w:rFonts w:ascii="Arial" w:cs="Arial" w:eastAsia="Arial" w:hAnsi="Arial"/>
                <w:sz w:val="8"/>
                <w:szCs w:val="8"/>
                <w:color w:val="auto"/>
              </w:rPr>
              <w:t>860(l)</w:t>
            </w:r>
          </w:p>
        </w:tc>
        <w:tc>
          <w:tcPr>
            <w:tcW w:w="14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480" w:type="dxa"/>
            <w:vAlign w:val="bottom"/>
          </w:tcPr>
          <w:p>
            <w:pPr>
              <w:jc w:val="right"/>
              <w:ind w:right="58"/>
              <w:spacing w:after="0" w:line="90" w:lineRule="exact"/>
              <w:rPr>
                <w:sz w:val="20"/>
                <w:szCs w:val="20"/>
                <w:color w:val="auto"/>
              </w:rPr>
            </w:pPr>
            <w:r>
              <w:rPr>
                <w:rFonts w:ascii="Arial" w:cs="Arial" w:eastAsia="Arial" w:hAnsi="Arial"/>
                <w:sz w:val="8"/>
                <w:szCs w:val="8"/>
                <w:color w:val="auto"/>
              </w:rPr>
              <w:t>50,061</w:t>
            </w: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ind w:right="98"/>
              <w:spacing w:after="0" w:line="90" w:lineRule="exact"/>
              <w:rPr>
                <w:sz w:val="20"/>
                <w:szCs w:val="20"/>
                <w:color w:val="auto"/>
              </w:rPr>
            </w:pPr>
            <w:r>
              <w:rPr>
                <w:rFonts w:ascii="Arial" w:cs="Arial" w:eastAsia="Arial" w:hAnsi="Arial"/>
                <w:sz w:val="8"/>
                <w:szCs w:val="8"/>
                <w:color w:val="auto"/>
              </w:rPr>
              <w:t>3,443(l)</w:t>
            </w:r>
          </w:p>
        </w:tc>
        <w:tc>
          <w:tcPr>
            <w:tcW w:w="14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480" w:type="dxa"/>
            <w:vAlign w:val="bottom"/>
          </w:tcPr>
          <w:p>
            <w:pPr>
              <w:jc w:val="right"/>
              <w:ind w:right="58"/>
              <w:spacing w:after="0" w:line="90" w:lineRule="exact"/>
              <w:rPr>
                <w:sz w:val="20"/>
                <w:szCs w:val="20"/>
                <w:color w:val="auto"/>
              </w:rPr>
            </w:pPr>
            <w:r>
              <w:rPr>
                <w:rFonts w:ascii="Arial" w:cs="Arial" w:eastAsia="Arial" w:hAnsi="Arial"/>
                <w:sz w:val="8"/>
                <w:szCs w:val="8"/>
                <w:color w:val="auto"/>
              </w:rPr>
              <w:t>200,417</w:t>
            </w: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ind w:right="58"/>
              <w:spacing w:after="0" w:line="90" w:lineRule="exact"/>
              <w:rPr>
                <w:sz w:val="20"/>
                <w:szCs w:val="20"/>
                <w:color w:val="auto"/>
              </w:rPr>
            </w:pPr>
            <w:r>
              <w:rPr>
                <w:rFonts w:ascii="Arial" w:cs="Arial" w:eastAsia="Arial" w:hAnsi="Arial"/>
                <w:sz w:val="8"/>
                <w:szCs w:val="8"/>
                <w:color w:val="auto"/>
              </w:rPr>
              <w:t>3,696(m)</w:t>
            </w:r>
          </w:p>
        </w:tc>
        <w:tc>
          <w:tcPr>
            <w:tcW w:w="14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480" w:type="dxa"/>
            <w:vAlign w:val="bottom"/>
          </w:tcPr>
          <w:p>
            <w:pPr>
              <w:jc w:val="right"/>
              <w:ind w:right="58"/>
              <w:spacing w:after="0" w:line="90" w:lineRule="exact"/>
              <w:rPr>
                <w:sz w:val="20"/>
                <w:szCs w:val="20"/>
                <w:color w:val="auto"/>
              </w:rPr>
            </w:pPr>
            <w:r>
              <w:rPr>
                <w:rFonts w:ascii="Arial" w:cs="Arial" w:eastAsia="Arial" w:hAnsi="Arial"/>
                <w:sz w:val="8"/>
                <w:szCs w:val="8"/>
                <w:color w:val="auto"/>
              </w:rPr>
              <w:t>215,144</w:t>
            </w: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ind w:right="78"/>
              <w:spacing w:after="0" w:line="90" w:lineRule="exact"/>
              <w:rPr>
                <w:sz w:val="20"/>
                <w:szCs w:val="20"/>
                <w:color w:val="auto"/>
              </w:rPr>
            </w:pPr>
            <w:r>
              <w:rPr>
                <w:rFonts w:ascii="Arial" w:cs="Arial" w:eastAsia="Arial" w:hAnsi="Arial"/>
                <w:sz w:val="8"/>
                <w:szCs w:val="8"/>
                <w:color w:val="auto"/>
              </w:rPr>
              <w:t>1,848(o)</w:t>
            </w:r>
          </w:p>
        </w:tc>
        <w:tc>
          <w:tcPr>
            <w:tcW w:w="14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480" w:type="dxa"/>
            <w:vAlign w:val="bottom"/>
          </w:tcPr>
          <w:p>
            <w:pPr>
              <w:jc w:val="right"/>
              <w:ind w:right="58"/>
              <w:spacing w:after="0" w:line="90" w:lineRule="exact"/>
              <w:rPr>
                <w:sz w:val="20"/>
                <w:szCs w:val="20"/>
                <w:color w:val="auto"/>
              </w:rPr>
            </w:pPr>
            <w:r>
              <w:rPr>
                <w:rFonts w:ascii="Arial" w:cs="Arial" w:eastAsia="Arial" w:hAnsi="Arial"/>
                <w:sz w:val="8"/>
                <w:szCs w:val="8"/>
                <w:color w:val="auto"/>
              </w:rPr>
              <w:t>107,572</w:t>
            </w: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320" w:type="dxa"/>
            <w:vAlign w:val="bottom"/>
          </w:tcPr>
          <w:p>
            <w:pPr>
              <w:spacing w:after="0"/>
              <w:rPr>
                <w:sz w:val="8"/>
                <w:szCs w:val="8"/>
                <w:color w:val="auto"/>
              </w:rPr>
            </w:pPr>
          </w:p>
        </w:tc>
        <w:tc>
          <w:tcPr>
            <w:tcW w:w="800" w:type="dxa"/>
            <w:vAlign w:val="bottom"/>
            <w:gridSpan w:val="2"/>
            <w:vMerge w:val="restart"/>
          </w:tcPr>
          <w:p>
            <w:pPr>
              <w:jc w:val="right"/>
              <w:ind w:right="138"/>
              <w:spacing w:after="0"/>
              <w:rPr>
                <w:sz w:val="20"/>
                <w:szCs w:val="20"/>
                <w:color w:val="auto"/>
              </w:rPr>
            </w:pPr>
            <w:r>
              <w:rPr>
                <w:rFonts w:ascii="Arial" w:cs="Arial" w:eastAsia="Arial" w:hAnsi="Arial"/>
                <w:sz w:val="8"/>
                <w:szCs w:val="8"/>
                <w:color w:val="auto"/>
              </w:rPr>
              <w:t>1,686</w:t>
            </w:r>
          </w:p>
        </w:tc>
        <w:tc>
          <w:tcPr>
            <w:tcW w:w="860" w:type="dxa"/>
            <w:vAlign w:val="bottom"/>
            <w:vMerge w:val="restart"/>
          </w:tcPr>
          <w:p>
            <w:pPr>
              <w:jc w:val="right"/>
              <w:ind w:right="138"/>
              <w:spacing w:after="0"/>
              <w:rPr>
                <w:sz w:val="20"/>
                <w:szCs w:val="20"/>
                <w:color w:val="auto"/>
              </w:rPr>
            </w:pPr>
            <w:r>
              <w:rPr>
                <w:rFonts w:ascii="Arial" w:cs="Arial" w:eastAsia="Arial" w:hAnsi="Arial"/>
                <w:sz w:val="8"/>
                <w:szCs w:val="8"/>
                <w:color w:val="auto"/>
              </w:rPr>
              <w:t>0</w:t>
            </w:r>
          </w:p>
        </w:tc>
        <w:tc>
          <w:tcPr>
            <w:tcW w:w="660" w:type="dxa"/>
            <w:vAlign w:val="bottom"/>
            <w:vMerge w:val="restart"/>
          </w:tcPr>
          <w:p>
            <w:pPr>
              <w:ind w:left="340"/>
              <w:spacing w:after="0"/>
              <w:rPr>
                <w:sz w:val="20"/>
                <w:szCs w:val="20"/>
                <w:color w:val="auto"/>
              </w:rPr>
            </w:pPr>
            <w:r>
              <w:rPr>
                <w:rFonts w:ascii="Arial" w:cs="Arial" w:eastAsia="Arial" w:hAnsi="Arial"/>
                <w:sz w:val="8"/>
                <w:szCs w:val="8"/>
                <w:color w:val="auto"/>
              </w:rPr>
              <w:t>—</w:t>
            </w:r>
          </w:p>
        </w:tc>
        <w:tc>
          <w:tcPr>
            <w:tcW w:w="520" w:type="dxa"/>
            <w:vAlign w:val="bottom"/>
            <w:vMerge w:val="restart"/>
          </w:tcPr>
          <w:p>
            <w:pPr>
              <w:jc w:val="right"/>
              <w:ind w:right="58"/>
              <w:spacing w:after="0"/>
              <w:rPr>
                <w:sz w:val="20"/>
                <w:szCs w:val="20"/>
                <w:color w:val="auto"/>
              </w:rPr>
            </w:pPr>
            <w:r>
              <w:rPr>
                <w:rFonts w:ascii="Arial" w:cs="Arial" w:eastAsia="Arial" w:hAnsi="Arial"/>
                <w:sz w:val="8"/>
                <w:szCs w:val="8"/>
                <w:color w:val="auto"/>
              </w:rPr>
              <w:t>$ 98.80</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8"/>
                <w:szCs w:val="8"/>
                <w:color w:val="auto"/>
              </w:rPr>
              <w:t>2/20/2024</w:t>
            </w: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20,325(p)</w:t>
            </w:r>
          </w:p>
        </w:tc>
        <w:tc>
          <w:tcPr>
            <w:tcW w:w="620" w:type="dxa"/>
            <w:vAlign w:val="bottom"/>
            <w:gridSpan w:val="2"/>
          </w:tcPr>
          <w:p>
            <w:pPr>
              <w:jc w:val="right"/>
              <w:ind w:right="58"/>
              <w:spacing w:after="0"/>
              <w:rPr>
                <w:sz w:val="20"/>
                <w:szCs w:val="20"/>
                <w:color w:val="auto"/>
              </w:rPr>
            </w:pPr>
            <w:r>
              <w:rPr>
                <w:rFonts w:ascii="Arial" w:cs="Arial" w:eastAsia="Arial" w:hAnsi="Arial"/>
                <w:sz w:val="8"/>
                <w:szCs w:val="8"/>
                <w:color w:val="auto"/>
              </w:rPr>
              <w:t>$ 1,183,118</w:t>
            </w: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800" w:type="dxa"/>
            <w:vAlign w:val="bottom"/>
            <w:gridSpan w:val="2"/>
          </w:tcPr>
          <w:p>
            <w:pPr>
              <w:jc w:val="right"/>
              <w:ind w:right="138"/>
              <w:spacing w:after="0" w:line="90" w:lineRule="exact"/>
              <w:rPr>
                <w:sz w:val="20"/>
                <w:szCs w:val="20"/>
                <w:color w:val="auto"/>
              </w:rPr>
            </w:pPr>
            <w:r>
              <w:rPr>
                <w:rFonts w:ascii="Arial" w:cs="Arial" w:eastAsia="Arial" w:hAnsi="Arial"/>
                <w:sz w:val="8"/>
                <w:szCs w:val="8"/>
                <w:color w:val="auto"/>
              </w:rPr>
              <w:t>3,396</w:t>
            </w:r>
          </w:p>
        </w:tc>
        <w:tc>
          <w:tcPr>
            <w:tcW w:w="860" w:type="dxa"/>
            <w:vAlign w:val="bottom"/>
          </w:tcPr>
          <w:p>
            <w:pPr>
              <w:jc w:val="right"/>
              <w:ind w:right="138"/>
              <w:spacing w:after="0" w:line="90" w:lineRule="exact"/>
              <w:rPr>
                <w:sz w:val="20"/>
                <w:szCs w:val="20"/>
                <w:color w:val="auto"/>
              </w:rPr>
            </w:pPr>
            <w:r>
              <w:rPr>
                <w:rFonts w:ascii="Arial" w:cs="Arial" w:eastAsia="Arial" w:hAnsi="Arial"/>
                <w:sz w:val="8"/>
                <w:szCs w:val="8"/>
                <w:color w:val="auto"/>
              </w:rPr>
              <w:t>0</w:t>
            </w:r>
          </w:p>
        </w:tc>
        <w:tc>
          <w:tcPr>
            <w:tcW w:w="660" w:type="dxa"/>
            <w:vAlign w:val="bottom"/>
          </w:tcPr>
          <w:p>
            <w:pPr>
              <w:ind w:left="340"/>
              <w:spacing w:after="0" w:line="90" w:lineRule="exact"/>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line="90" w:lineRule="exact"/>
              <w:rPr>
                <w:sz w:val="20"/>
                <w:szCs w:val="20"/>
                <w:color w:val="auto"/>
              </w:rPr>
            </w:pPr>
            <w:r>
              <w:rPr>
                <w:rFonts w:ascii="Arial" w:cs="Arial" w:eastAsia="Arial" w:hAnsi="Arial"/>
                <w:sz w:val="8"/>
                <w:szCs w:val="8"/>
                <w:color w:val="auto"/>
              </w:rPr>
              <w:t>$ 98.10</w:t>
            </w:r>
          </w:p>
        </w:tc>
        <w:tc>
          <w:tcPr>
            <w:tcW w:w="640" w:type="dxa"/>
            <w:vAlign w:val="bottom"/>
            <w:gridSpan w:val="2"/>
          </w:tcPr>
          <w:p>
            <w:pPr>
              <w:jc w:val="right"/>
              <w:ind w:right="140"/>
              <w:spacing w:after="0" w:line="90" w:lineRule="exact"/>
              <w:rPr>
                <w:sz w:val="20"/>
                <w:szCs w:val="20"/>
                <w:color w:val="auto"/>
              </w:rPr>
            </w:pPr>
            <w:r>
              <w:rPr>
                <w:rFonts w:ascii="Arial" w:cs="Arial" w:eastAsia="Arial" w:hAnsi="Arial"/>
                <w:sz w:val="8"/>
                <w:szCs w:val="8"/>
                <w:color w:val="auto"/>
              </w:rPr>
              <w:t>2/19/2025</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800" w:type="dxa"/>
            <w:vAlign w:val="bottom"/>
            <w:gridSpan w:val="2"/>
          </w:tcPr>
          <w:p>
            <w:pPr>
              <w:jc w:val="right"/>
              <w:ind w:right="138"/>
              <w:spacing w:after="0" w:line="90" w:lineRule="exact"/>
              <w:rPr>
                <w:sz w:val="20"/>
                <w:szCs w:val="20"/>
                <w:color w:val="auto"/>
              </w:rPr>
            </w:pPr>
            <w:r>
              <w:rPr>
                <w:rFonts w:ascii="Arial" w:cs="Arial" w:eastAsia="Arial" w:hAnsi="Arial"/>
                <w:sz w:val="8"/>
                <w:szCs w:val="8"/>
                <w:color w:val="auto"/>
              </w:rPr>
              <w:t>10,279</w:t>
            </w:r>
          </w:p>
        </w:tc>
        <w:tc>
          <w:tcPr>
            <w:tcW w:w="860" w:type="dxa"/>
            <w:vAlign w:val="bottom"/>
          </w:tcPr>
          <w:p>
            <w:pPr>
              <w:jc w:val="right"/>
              <w:ind w:right="138"/>
              <w:spacing w:after="0" w:line="90" w:lineRule="exact"/>
              <w:rPr>
                <w:sz w:val="20"/>
                <w:szCs w:val="20"/>
                <w:color w:val="auto"/>
              </w:rPr>
            </w:pPr>
            <w:r>
              <w:rPr>
                <w:rFonts w:ascii="Arial" w:cs="Arial" w:eastAsia="Arial" w:hAnsi="Arial"/>
                <w:sz w:val="8"/>
                <w:szCs w:val="8"/>
                <w:color w:val="auto"/>
              </w:rPr>
              <w:t>0</w:t>
            </w:r>
          </w:p>
        </w:tc>
        <w:tc>
          <w:tcPr>
            <w:tcW w:w="660" w:type="dxa"/>
            <w:vAlign w:val="bottom"/>
          </w:tcPr>
          <w:p>
            <w:pPr>
              <w:ind w:left="340"/>
              <w:spacing w:after="0" w:line="90" w:lineRule="exact"/>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line="90" w:lineRule="exact"/>
              <w:rPr>
                <w:sz w:val="20"/>
                <w:szCs w:val="20"/>
                <w:color w:val="auto"/>
              </w:rPr>
            </w:pPr>
            <w:r>
              <w:rPr>
                <w:rFonts w:ascii="Arial" w:cs="Arial" w:eastAsia="Arial" w:hAnsi="Arial"/>
                <w:sz w:val="8"/>
                <w:szCs w:val="8"/>
                <w:color w:val="auto"/>
              </w:rPr>
              <w:t>$ 86.66</w:t>
            </w:r>
          </w:p>
        </w:tc>
        <w:tc>
          <w:tcPr>
            <w:tcW w:w="640" w:type="dxa"/>
            <w:vAlign w:val="bottom"/>
            <w:gridSpan w:val="2"/>
          </w:tcPr>
          <w:p>
            <w:pPr>
              <w:jc w:val="right"/>
              <w:ind w:right="140"/>
              <w:spacing w:after="0" w:line="90" w:lineRule="exact"/>
              <w:rPr>
                <w:sz w:val="20"/>
                <w:szCs w:val="20"/>
                <w:color w:val="auto"/>
              </w:rPr>
            </w:pPr>
            <w:r>
              <w:rPr>
                <w:rFonts w:ascii="Arial" w:cs="Arial" w:eastAsia="Arial" w:hAnsi="Arial"/>
                <w:sz w:val="8"/>
                <w:szCs w:val="8"/>
                <w:color w:val="auto"/>
              </w:rPr>
              <w:t>2/18/2026</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jc w:val="right"/>
              <w:ind w:right="38"/>
              <w:spacing w:after="0" w:line="90" w:lineRule="exact"/>
              <w:rPr>
                <w:sz w:val="20"/>
                <w:szCs w:val="20"/>
                <w:color w:val="auto"/>
              </w:rPr>
            </w:pPr>
            <w:r>
              <w:rPr>
                <w:rFonts w:ascii="Arial" w:cs="Arial" w:eastAsia="Arial" w:hAnsi="Arial"/>
                <w:sz w:val="8"/>
                <w:szCs w:val="8"/>
                <w:color w:val="auto"/>
              </w:rPr>
              <w:t>8,611(a)</w:t>
            </w:r>
          </w:p>
        </w:tc>
        <w:tc>
          <w:tcPr>
            <w:tcW w:w="860" w:type="dxa"/>
            <w:vAlign w:val="bottom"/>
          </w:tcPr>
          <w:p>
            <w:pPr>
              <w:jc w:val="right"/>
              <w:ind w:right="138"/>
              <w:spacing w:after="0" w:line="90" w:lineRule="exact"/>
              <w:rPr>
                <w:sz w:val="20"/>
                <w:szCs w:val="20"/>
                <w:color w:val="auto"/>
              </w:rPr>
            </w:pPr>
            <w:r>
              <w:rPr>
                <w:rFonts w:ascii="Arial" w:cs="Arial" w:eastAsia="Arial" w:hAnsi="Arial"/>
                <w:sz w:val="8"/>
                <w:szCs w:val="8"/>
                <w:color w:val="auto"/>
              </w:rPr>
              <w:t>4,304</w:t>
            </w:r>
          </w:p>
        </w:tc>
        <w:tc>
          <w:tcPr>
            <w:tcW w:w="660" w:type="dxa"/>
            <w:vAlign w:val="bottom"/>
          </w:tcPr>
          <w:p>
            <w:pPr>
              <w:ind w:left="340"/>
              <w:spacing w:after="0" w:line="90" w:lineRule="exact"/>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line="90" w:lineRule="exact"/>
              <w:rPr>
                <w:sz w:val="20"/>
                <w:szCs w:val="20"/>
                <w:color w:val="auto"/>
              </w:rPr>
            </w:pPr>
            <w:r>
              <w:rPr>
                <w:rFonts w:ascii="Arial" w:cs="Arial" w:eastAsia="Arial" w:hAnsi="Arial"/>
                <w:sz w:val="8"/>
                <w:szCs w:val="8"/>
                <w:color w:val="auto"/>
              </w:rPr>
              <w:t>$ 96.79</w:t>
            </w:r>
          </w:p>
        </w:tc>
        <w:tc>
          <w:tcPr>
            <w:tcW w:w="640" w:type="dxa"/>
            <w:vAlign w:val="bottom"/>
            <w:gridSpan w:val="2"/>
          </w:tcPr>
          <w:p>
            <w:pPr>
              <w:jc w:val="right"/>
              <w:ind w:right="140"/>
              <w:spacing w:after="0" w:line="90" w:lineRule="exact"/>
              <w:rPr>
                <w:sz w:val="20"/>
                <w:szCs w:val="20"/>
                <w:color w:val="auto"/>
              </w:rPr>
            </w:pPr>
            <w:r>
              <w:rPr>
                <w:rFonts w:ascii="Arial" w:cs="Arial" w:eastAsia="Arial" w:hAnsi="Arial"/>
                <w:sz w:val="8"/>
                <w:szCs w:val="8"/>
                <w:color w:val="auto"/>
              </w:rPr>
              <w:t>2/17/2027</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jc w:val="right"/>
              <w:ind w:right="38"/>
              <w:spacing w:after="0" w:line="90" w:lineRule="exact"/>
              <w:rPr>
                <w:sz w:val="20"/>
                <w:szCs w:val="20"/>
                <w:color w:val="auto"/>
              </w:rPr>
            </w:pPr>
            <w:r>
              <w:rPr>
                <w:rFonts w:ascii="Arial" w:cs="Arial" w:eastAsia="Arial" w:hAnsi="Arial"/>
                <w:sz w:val="8"/>
                <w:szCs w:val="8"/>
                <w:color w:val="auto"/>
              </w:rPr>
              <w:t>4,622(b)</w:t>
            </w:r>
          </w:p>
        </w:tc>
        <w:tc>
          <w:tcPr>
            <w:tcW w:w="860" w:type="dxa"/>
            <w:vAlign w:val="bottom"/>
          </w:tcPr>
          <w:p>
            <w:pPr>
              <w:jc w:val="right"/>
              <w:ind w:right="138"/>
              <w:spacing w:after="0" w:line="90" w:lineRule="exact"/>
              <w:rPr>
                <w:sz w:val="20"/>
                <w:szCs w:val="20"/>
                <w:color w:val="auto"/>
              </w:rPr>
            </w:pPr>
            <w:r>
              <w:rPr>
                <w:rFonts w:ascii="Arial" w:cs="Arial" w:eastAsia="Arial" w:hAnsi="Arial"/>
                <w:sz w:val="8"/>
                <w:szCs w:val="8"/>
                <w:color w:val="auto"/>
              </w:rPr>
              <w:t>9,240</w:t>
            </w:r>
          </w:p>
        </w:tc>
        <w:tc>
          <w:tcPr>
            <w:tcW w:w="660" w:type="dxa"/>
            <w:vAlign w:val="bottom"/>
          </w:tcPr>
          <w:p>
            <w:pPr>
              <w:ind w:left="340"/>
              <w:spacing w:after="0" w:line="90" w:lineRule="exact"/>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line="90" w:lineRule="exact"/>
              <w:rPr>
                <w:sz w:val="20"/>
                <w:szCs w:val="20"/>
                <w:color w:val="auto"/>
              </w:rPr>
            </w:pPr>
            <w:r>
              <w:rPr>
                <w:rFonts w:ascii="Arial" w:cs="Arial" w:eastAsia="Arial" w:hAnsi="Arial"/>
                <w:sz w:val="8"/>
                <w:szCs w:val="8"/>
                <w:color w:val="auto"/>
              </w:rPr>
              <w:t>$ 90.18</w:t>
            </w:r>
          </w:p>
        </w:tc>
        <w:tc>
          <w:tcPr>
            <w:tcW w:w="640" w:type="dxa"/>
            <w:vAlign w:val="bottom"/>
            <w:gridSpan w:val="2"/>
          </w:tcPr>
          <w:p>
            <w:pPr>
              <w:jc w:val="right"/>
              <w:ind w:right="140"/>
              <w:spacing w:after="0" w:line="90" w:lineRule="exact"/>
              <w:rPr>
                <w:sz w:val="20"/>
                <w:szCs w:val="20"/>
                <w:color w:val="auto"/>
              </w:rPr>
            </w:pPr>
            <w:r>
              <w:rPr>
                <w:rFonts w:ascii="Arial" w:cs="Arial" w:eastAsia="Arial" w:hAnsi="Arial"/>
                <w:sz w:val="8"/>
                <w:szCs w:val="8"/>
                <w:color w:val="auto"/>
              </w:rPr>
              <w:t>2/17/2028</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jc w:val="right"/>
              <w:ind w:right="38"/>
              <w:spacing w:after="0" w:line="90" w:lineRule="exact"/>
              <w:rPr>
                <w:sz w:val="20"/>
                <w:szCs w:val="20"/>
                <w:color w:val="auto"/>
              </w:rPr>
            </w:pPr>
            <w:r>
              <w:rPr>
                <w:rFonts w:ascii="Arial" w:cs="Arial" w:eastAsia="Arial" w:hAnsi="Arial"/>
                <w:sz w:val="8"/>
                <w:szCs w:val="8"/>
                <w:color w:val="auto"/>
              </w:rPr>
              <w:t>2,311(c)</w:t>
            </w:r>
          </w:p>
        </w:tc>
        <w:tc>
          <w:tcPr>
            <w:tcW w:w="860" w:type="dxa"/>
            <w:vAlign w:val="bottom"/>
          </w:tcPr>
          <w:p>
            <w:pPr>
              <w:jc w:val="right"/>
              <w:ind w:right="138"/>
              <w:spacing w:after="0" w:line="90" w:lineRule="exact"/>
              <w:rPr>
                <w:sz w:val="20"/>
                <w:szCs w:val="20"/>
                <w:color w:val="auto"/>
              </w:rPr>
            </w:pPr>
            <w:r>
              <w:rPr>
                <w:rFonts w:ascii="Arial" w:cs="Arial" w:eastAsia="Arial" w:hAnsi="Arial"/>
                <w:sz w:val="8"/>
                <w:szCs w:val="8"/>
                <w:color w:val="auto"/>
              </w:rPr>
              <w:t>4,620</w:t>
            </w:r>
          </w:p>
        </w:tc>
        <w:tc>
          <w:tcPr>
            <w:tcW w:w="660" w:type="dxa"/>
            <w:vAlign w:val="bottom"/>
          </w:tcPr>
          <w:p>
            <w:pPr>
              <w:ind w:left="340"/>
              <w:spacing w:after="0" w:line="90" w:lineRule="exact"/>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line="90" w:lineRule="exact"/>
              <w:rPr>
                <w:sz w:val="20"/>
                <w:szCs w:val="20"/>
                <w:color w:val="auto"/>
              </w:rPr>
            </w:pPr>
            <w:r>
              <w:rPr>
                <w:rFonts w:ascii="Arial" w:cs="Arial" w:eastAsia="Arial" w:hAnsi="Arial"/>
                <w:sz w:val="8"/>
                <w:szCs w:val="8"/>
                <w:color w:val="auto"/>
              </w:rPr>
              <w:t>$ 96.73</w:t>
            </w:r>
          </w:p>
        </w:tc>
        <w:tc>
          <w:tcPr>
            <w:tcW w:w="640" w:type="dxa"/>
            <w:vAlign w:val="bottom"/>
            <w:gridSpan w:val="2"/>
          </w:tcPr>
          <w:p>
            <w:pPr>
              <w:jc w:val="right"/>
              <w:ind w:right="140"/>
              <w:spacing w:after="0" w:line="90" w:lineRule="exact"/>
              <w:rPr>
                <w:sz w:val="20"/>
                <w:szCs w:val="20"/>
                <w:color w:val="auto"/>
              </w:rPr>
            </w:pPr>
            <w:r>
              <w:rPr>
                <w:rFonts w:ascii="Arial" w:cs="Arial" w:eastAsia="Arial" w:hAnsi="Arial"/>
                <w:sz w:val="8"/>
                <w:szCs w:val="8"/>
                <w:color w:val="auto"/>
              </w:rPr>
              <w:t>3/23/2028</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right"/>
              <w:ind w:right="38"/>
              <w:spacing w:after="0"/>
              <w:rPr>
                <w:sz w:val="20"/>
                <w:szCs w:val="20"/>
                <w:color w:val="auto"/>
              </w:rPr>
            </w:pPr>
            <w:r>
              <w:rPr>
                <w:rFonts w:ascii="Arial" w:cs="Arial" w:eastAsia="Arial" w:hAnsi="Arial"/>
                <w:sz w:val="8"/>
                <w:szCs w:val="8"/>
                <w:color w:val="auto"/>
              </w:rPr>
              <w:t>0(e)</w:t>
            </w:r>
          </w:p>
        </w:tc>
        <w:tc>
          <w:tcPr>
            <w:tcW w:w="860" w:type="dxa"/>
            <w:vAlign w:val="bottom"/>
          </w:tcPr>
          <w:p>
            <w:pPr>
              <w:jc w:val="right"/>
              <w:ind w:right="138"/>
              <w:spacing w:after="0"/>
              <w:rPr>
                <w:sz w:val="20"/>
                <w:szCs w:val="20"/>
                <w:color w:val="auto"/>
              </w:rPr>
            </w:pPr>
            <w:r>
              <w:rPr>
                <w:rFonts w:ascii="Arial" w:cs="Arial" w:eastAsia="Arial" w:hAnsi="Arial"/>
                <w:sz w:val="8"/>
                <w:szCs w:val="8"/>
                <w:color w:val="auto"/>
              </w:rPr>
              <w:t>98,799</w:t>
            </w:r>
          </w:p>
        </w:tc>
        <w:tc>
          <w:tcPr>
            <w:tcW w:w="660" w:type="dxa"/>
            <w:vAlign w:val="bottom"/>
          </w:tcPr>
          <w:p>
            <w:pPr>
              <w:ind w:left="340"/>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rPr>
                <w:sz w:val="20"/>
                <w:szCs w:val="20"/>
                <w:color w:val="auto"/>
              </w:rPr>
            </w:pPr>
            <w:r>
              <w:rPr>
                <w:rFonts w:ascii="Arial" w:cs="Arial" w:eastAsia="Arial" w:hAnsi="Arial"/>
                <w:sz w:val="8"/>
                <w:szCs w:val="8"/>
                <w:color w:val="auto"/>
              </w:rPr>
              <w:t>$ 94.89</w:t>
            </w:r>
          </w:p>
        </w:tc>
        <w:tc>
          <w:tcPr>
            <w:tcW w:w="640" w:type="dxa"/>
            <w:vAlign w:val="bottom"/>
            <w:gridSpan w:val="2"/>
          </w:tcPr>
          <w:p>
            <w:pPr>
              <w:jc w:val="right"/>
              <w:ind w:right="140"/>
              <w:spacing w:after="0"/>
              <w:rPr>
                <w:sz w:val="20"/>
                <w:szCs w:val="20"/>
                <w:color w:val="auto"/>
              </w:rPr>
            </w:pPr>
            <w:r>
              <w:rPr>
                <w:rFonts w:ascii="Arial" w:cs="Arial" w:eastAsia="Arial" w:hAnsi="Arial"/>
                <w:sz w:val="8"/>
                <w:szCs w:val="8"/>
                <w:color w:val="auto"/>
              </w:rPr>
              <w:t>2/25/2029</w:t>
            </w: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32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32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1320" w:type="dxa"/>
            <w:vAlign w:val="bottom"/>
          </w:tcPr>
          <w:p>
            <w:pPr>
              <w:ind w:left="40"/>
              <w:spacing w:after="0"/>
              <w:rPr>
                <w:sz w:val="20"/>
                <w:szCs w:val="20"/>
                <w:color w:val="auto"/>
              </w:rPr>
            </w:pPr>
            <w:r>
              <w:rPr>
                <w:rFonts w:ascii="Arial" w:cs="Arial" w:eastAsia="Arial" w:hAnsi="Arial"/>
                <w:sz w:val="8"/>
                <w:szCs w:val="8"/>
                <w:b w:val="1"/>
                <w:bCs w:val="1"/>
                <w:color w:val="auto"/>
              </w:rPr>
              <w:t>Deborah Thomas</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vMerge w:val="restart"/>
          </w:tcPr>
          <w:p>
            <w:pPr>
              <w:jc w:val="right"/>
              <w:ind w:right="58"/>
              <w:spacing w:after="0"/>
              <w:rPr>
                <w:sz w:val="20"/>
                <w:szCs w:val="20"/>
                <w:color w:val="auto"/>
              </w:rPr>
            </w:pPr>
            <w:r>
              <w:rPr>
                <w:rFonts w:ascii="Arial" w:cs="Arial" w:eastAsia="Arial" w:hAnsi="Arial"/>
                <w:sz w:val="8"/>
                <w:szCs w:val="8"/>
                <w:color w:val="auto"/>
              </w:rPr>
              <w:t>8,834(f)</w:t>
            </w:r>
          </w:p>
        </w:tc>
        <w:tc>
          <w:tcPr>
            <w:tcW w:w="320" w:type="dxa"/>
            <w:vAlign w:val="bottom"/>
            <w:vMerge w:val="restart"/>
          </w:tcPr>
          <w:p>
            <w:pPr>
              <w:ind w:left="240"/>
              <w:spacing w:after="0"/>
              <w:rPr>
                <w:sz w:val="20"/>
                <w:szCs w:val="20"/>
                <w:color w:val="auto"/>
              </w:rPr>
            </w:pPr>
            <w:r>
              <w:rPr>
                <w:rFonts w:ascii="Arial" w:cs="Arial" w:eastAsia="Arial" w:hAnsi="Arial"/>
                <w:sz w:val="8"/>
                <w:szCs w:val="8"/>
                <w:color w:val="auto"/>
              </w:rPr>
              <w:t>$</w:t>
            </w:r>
          </w:p>
        </w:tc>
        <w:tc>
          <w:tcPr>
            <w:tcW w:w="380" w:type="dxa"/>
            <w:vAlign w:val="bottom"/>
            <w:vMerge w:val="restart"/>
          </w:tcPr>
          <w:p>
            <w:pPr>
              <w:jc w:val="right"/>
              <w:spacing w:after="0"/>
              <w:rPr>
                <w:sz w:val="20"/>
                <w:szCs w:val="20"/>
                <w:color w:val="auto"/>
              </w:rPr>
            </w:pPr>
            <w:r>
              <w:rPr>
                <w:rFonts w:ascii="Arial" w:cs="Arial" w:eastAsia="Arial" w:hAnsi="Arial"/>
                <w:sz w:val="8"/>
                <w:szCs w:val="8"/>
                <w:color w:val="auto"/>
              </w:rPr>
              <w:t>514,227</w:t>
            </w:r>
          </w:p>
        </w:tc>
        <w:tc>
          <w:tcPr>
            <w:tcW w:w="0" w:type="dxa"/>
            <w:vAlign w:val="bottom"/>
          </w:tcPr>
          <w:p>
            <w:pPr>
              <w:spacing w:after="0"/>
              <w:rPr>
                <w:sz w:val="1"/>
                <w:szCs w:val="1"/>
                <w:color w:val="auto"/>
              </w:rPr>
            </w:pPr>
          </w:p>
        </w:tc>
      </w:tr>
      <w:tr>
        <w:trPr>
          <w:trHeight w:val="66"/>
        </w:trPr>
        <w:tc>
          <w:tcPr>
            <w:tcW w:w="1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jc w:val="right"/>
              <w:ind w:right="38"/>
              <w:spacing w:after="0" w:line="90" w:lineRule="exact"/>
              <w:rPr>
                <w:sz w:val="20"/>
                <w:szCs w:val="20"/>
                <w:color w:val="auto"/>
              </w:rPr>
            </w:pPr>
            <w:r>
              <w:rPr>
                <w:rFonts w:ascii="Arial" w:cs="Arial" w:eastAsia="Arial" w:hAnsi="Arial"/>
                <w:sz w:val="8"/>
                <w:szCs w:val="8"/>
                <w:color w:val="auto"/>
              </w:rPr>
              <w:t>7,808(h)</w:t>
            </w:r>
          </w:p>
        </w:tc>
        <w:tc>
          <w:tcPr>
            <w:tcW w:w="320" w:type="dxa"/>
            <w:vAlign w:val="bottom"/>
          </w:tcPr>
          <w:p>
            <w:pPr>
              <w:ind w:left="240"/>
              <w:spacing w:after="0" w:line="90" w:lineRule="exact"/>
              <w:rPr>
                <w:sz w:val="20"/>
                <w:szCs w:val="20"/>
                <w:color w:val="auto"/>
              </w:rPr>
            </w:pPr>
            <w:r>
              <w:rPr>
                <w:rFonts w:ascii="Arial" w:cs="Arial" w:eastAsia="Arial" w:hAnsi="Arial"/>
                <w:sz w:val="8"/>
                <w:szCs w:val="8"/>
                <w:color w:val="auto"/>
              </w:rPr>
              <w:t>$</w:t>
            </w:r>
          </w:p>
        </w:tc>
        <w:tc>
          <w:tcPr>
            <w:tcW w:w="380" w:type="dxa"/>
            <w:vAlign w:val="bottom"/>
          </w:tcPr>
          <w:p>
            <w:pPr>
              <w:jc w:val="right"/>
              <w:spacing w:after="0" w:line="90" w:lineRule="exact"/>
              <w:rPr>
                <w:sz w:val="20"/>
                <w:szCs w:val="20"/>
                <w:color w:val="auto"/>
              </w:rPr>
            </w:pPr>
            <w:r>
              <w:rPr>
                <w:rFonts w:ascii="Arial" w:cs="Arial" w:eastAsia="Arial" w:hAnsi="Arial"/>
                <w:sz w:val="8"/>
                <w:szCs w:val="8"/>
                <w:color w:val="auto"/>
              </w:rPr>
              <w:t>454,504</w:t>
            </w:r>
          </w:p>
        </w:tc>
        <w:tc>
          <w:tcPr>
            <w:tcW w:w="0" w:type="dxa"/>
            <w:vAlign w:val="bottom"/>
          </w:tcPr>
          <w:p>
            <w:pPr>
              <w:spacing w:after="0"/>
              <w:rPr>
                <w:sz w:val="1"/>
                <w:szCs w:val="1"/>
                <w:color w:val="auto"/>
              </w:rPr>
            </w:pPr>
          </w:p>
        </w:tc>
      </w:tr>
      <w:tr>
        <w:trPr>
          <w:trHeight w:val="100"/>
        </w:trPr>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ind w:right="98"/>
              <w:spacing w:after="0"/>
              <w:rPr>
                <w:sz w:val="20"/>
                <w:szCs w:val="20"/>
                <w:color w:val="auto"/>
              </w:rPr>
            </w:pPr>
            <w:r>
              <w:rPr>
                <w:rFonts w:ascii="Arial" w:cs="Arial" w:eastAsia="Arial" w:hAnsi="Arial"/>
                <w:sz w:val="8"/>
                <w:szCs w:val="8"/>
                <w:color w:val="auto"/>
              </w:rPr>
              <w:t>2,582(l)</w:t>
            </w:r>
          </w:p>
        </w:tc>
        <w:tc>
          <w:tcPr>
            <w:tcW w:w="14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480" w:type="dxa"/>
            <w:vAlign w:val="bottom"/>
            <w:vMerge w:val="restart"/>
          </w:tcPr>
          <w:p>
            <w:pPr>
              <w:jc w:val="right"/>
              <w:ind w:right="58"/>
              <w:spacing w:after="0"/>
              <w:rPr>
                <w:sz w:val="20"/>
                <w:szCs w:val="20"/>
                <w:color w:val="auto"/>
              </w:rPr>
            </w:pPr>
            <w:r>
              <w:rPr>
                <w:rFonts w:ascii="Arial" w:cs="Arial" w:eastAsia="Arial" w:hAnsi="Arial"/>
                <w:sz w:val="8"/>
                <w:szCs w:val="8"/>
                <w:color w:val="auto"/>
              </w:rPr>
              <w:t>150,298</w:t>
            </w: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24,932(j)</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$ 1,451,292</w:t>
            </w: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ind w:right="58"/>
              <w:spacing w:after="0" w:line="90" w:lineRule="exact"/>
              <w:rPr>
                <w:sz w:val="20"/>
                <w:szCs w:val="20"/>
                <w:color w:val="auto"/>
              </w:rPr>
            </w:pPr>
            <w:r>
              <w:rPr>
                <w:rFonts w:ascii="Arial" w:cs="Arial" w:eastAsia="Arial" w:hAnsi="Arial"/>
                <w:sz w:val="8"/>
                <w:szCs w:val="8"/>
                <w:color w:val="auto"/>
              </w:rPr>
              <w:t>11,088(m)</w:t>
            </w:r>
          </w:p>
        </w:tc>
        <w:tc>
          <w:tcPr>
            <w:tcW w:w="14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480" w:type="dxa"/>
            <w:vAlign w:val="bottom"/>
          </w:tcPr>
          <w:p>
            <w:pPr>
              <w:jc w:val="right"/>
              <w:ind w:right="58"/>
              <w:spacing w:after="0" w:line="90" w:lineRule="exact"/>
              <w:rPr>
                <w:sz w:val="20"/>
                <w:szCs w:val="20"/>
                <w:color w:val="auto"/>
              </w:rPr>
            </w:pPr>
            <w:r>
              <w:rPr>
                <w:rFonts w:ascii="Arial" w:cs="Arial" w:eastAsia="Arial" w:hAnsi="Arial"/>
                <w:sz w:val="8"/>
                <w:szCs w:val="8"/>
                <w:color w:val="auto"/>
              </w:rPr>
              <w:t>645,432</w:t>
            </w: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320" w:type="dxa"/>
            <w:vAlign w:val="bottom"/>
          </w:tcPr>
          <w:p>
            <w:pPr>
              <w:spacing w:after="0"/>
              <w:rPr>
                <w:sz w:val="8"/>
                <w:szCs w:val="8"/>
                <w:color w:val="auto"/>
              </w:rPr>
            </w:pPr>
          </w:p>
        </w:tc>
        <w:tc>
          <w:tcPr>
            <w:tcW w:w="800" w:type="dxa"/>
            <w:vAlign w:val="bottom"/>
            <w:gridSpan w:val="2"/>
            <w:vMerge w:val="restart"/>
          </w:tcPr>
          <w:p>
            <w:pPr>
              <w:jc w:val="right"/>
              <w:ind w:right="138"/>
              <w:spacing w:after="0"/>
              <w:rPr>
                <w:sz w:val="20"/>
                <w:szCs w:val="20"/>
                <w:color w:val="auto"/>
              </w:rPr>
            </w:pPr>
            <w:r>
              <w:rPr>
                <w:rFonts w:ascii="Arial" w:cs="Arial" w:eastAsia="Arial" w:hAnsi="Arial"/>
                <w:sz w:val="8"/>
                <w:szCs w:val="8"/>
                <w:color w:val="auto"/>
              </w:rPr>
              <w:t>11,754</w:t>
            </w:r>
          </w:p>
        </w:tc>
        <w:tc>
          <w:tcPr>
            <w:tcW w:w="860" w:type="dxa"/>
            <w:vAlign w:val="bottom"/>
            <w:vMerge w:val="restart"/>
          </w:tcPr>
          <w:p>
            <w:pPr>
              <w:jc w:val="right"/>
              <w:ind w:right="138"/>
              <w:spacing w:after="0"/>
              <w:rPr>
                <w:sz w:val="20"/>
                <w:szCs w:val="20"/>
                <w:color w:val="auto"/>
              </w:rPr>
            </w:pPr>
            <w:r>
              <w:rPr>
                <w:rFonts w:ascii="Arial" w:cs="Arial" w:eastAsia="Arial" w:hAnsi="Arial"/>
                <w:sz w:val="8"/>
                <w:szCs w:val="8"/>
                <w:color w:val="auto"/>
              </w:rPr>
              <w:t>0</w:t>
            </w:r>
          </w:p>
        </w:tc>
        <w:tc>
          <w:tcPr>
            <w:tcW w:w="660" w:type="dxa"/>
            <w:vAlign w:val="bottom"/>
            <w:vMerge w:val="restart"/>
          </w:tcPr>
          <w:p>
            <w:pPr>
              <w:ind w:left="340"/>
              <w:spacing w:after="0"/>
              <w:rPr>
                <w:sz w:val="20"/>
                <w:szCs w:val="20"/>
                <w:color w:val="auto"/>
              </w:rPr>
            </w:pPr>
            <w:r>
              <w:rPr>
                <w:rFonts w:ascii="Arial" w:cs="Arial" w:eastAsia="Arial" w:hAnsi="Arial"/>
                <w:sz w:val="8"/>
                <w:szCs w:val="8"/>
                <w:color w:val="auto"/>
              </w:rPr>
              <w:t>—</w:t>
            </w:r>
          </w:p>
        </w:tc>
        <w:tc>
          <w:tcPr>
            <w:tcW w:w="520" w:type="dxa"/>
            <w:vAlign w:val="bottom"/>
            <w:vMerge w:val="restart"/>
          </w:tcPr>
          <w:p>
            <w:pPr>
              <w:jc w:val="right"/>
              <w:ind w:right="58"/>
              <w:spacing w:after="0"/>
              <w:rPr>
                <w:sz w:val="20"/>
                <w:szCs w:val="20"/>
                <w:color w:val="auto"/>
              </w:rPr>
            </w:pPr>
            <w:r>
              <w:rPr>
                <w:rFonts w:ascii="Arial" w:cs="Arial" w:eastAsia="Arial" w:hAnsi="Arial"/>
                <w:sz w:val="8"/>
                <w:szCs w:val="8"/>
                <w:color w:val="auto"/>
              </w:rPr>
              <w:t>$ 98.80</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8"/>
                <w:szCs w:val="8"/>
                <w:color w:val="auto"/>
              </w:rPr>
              <w:t>2/20/2024</w:t>
            </w: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12,466(p)</w:t>
            </w:r>
          </w:p>
        </w:tc>
        <w:tc>
          <w:tcPr>
            <w:tcW w:w="140" w:type="dxa"/>
            <w:vAlign w:val="bottom"/>
          </w:tcPr>
          <w:p>
            <w:pPr>
              <w:jc w:val="right"/>
              <w:spacing w:after="0"/>
              <w:rPr>
                <w:sz w:val="20"/>
                <w:szCs w:val="20"/>
                <w:color w:val="auto"/>
              </w:rPr>
            </w:pPr>
            <w:r>
              <w:rPr>
                <w:rFonts w:ascii="Arial" w:cs="Arial" w:eastAsia="Arial" w:hAnsi="Arial"/>
                <w:sz w:val="8"/>
                <w:szCs w:val="8"/>
                <w:color w:val="auto"/>
              </w:rPr>
              <w:t>$</w:t>
            </w:r>
          </w:p>
        </w:tc>
        <w:tc>
          <w:tcPr>
            <w:tcW w:w="480" w:type="dxa"/>
            <w:vAlign w:val="bottom"/>
          </w:tcPr>
          <w:p>
            <w:pPr>
              <w:jc w:val="right"/>
              <w:ind w:right="58"/>
              <w:spacing w:after="0"/>
              <w:rPr>
                <w:sz w:val="20"/>
                <w:szCs w:val="20"/>
                <w:color w:val="auto"/>
              </w:rPr>
            </w:pPr>
            <w:r>
              <w:rPr>
                <w:rFonts w:ascii="Arial" w:cs="Arial" w:eastAsia="Arial" w:hAnsi="Arial"/>
                <w:sz w:val="8"/>
                <w:szCs w:val="8"/>
                <w:color w:val="auto"/>
              </w:rPr>
              <w:t>725,646</w:t>
            </w: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800" w:type="dxa"/>
            <w:vAlign w:val="bottom"/>
            <w:gridSpan w:val="2"/>
          </w:tcPr>
          <w:p>
            <w:pPr>
              <w:jc w:val="right"/>
              <w:ind w:right="138"/>
              <w:spacing w:after="0" w:line="90" w:lineRule="exact"/>
              <w:rPr>
                <w:sz w:val="20"/>
                <w:szCs w:val="20"/>
                <w:color w:val="auto"/>
              </w:rPr>
            </w:pPr>
            <w:r>
              <w:rPr>
                <w:rFonts w:ascii="Arial" w:cs="Arial" w:eastAsia="Arial" w:hAnsi="Arial"/>
                <w:sz w:val="8"/>
                <w:szCs w:val="8"/>
                <w:color w:val="auto"/>
              </w:rPr>
              <w:t>28,033</w:t>
            </w:r>
          </w:p>
        </w:tc>
        <w:tc>
          <w:tcPr>
            <w:tcW w:w="860" w:type="dxa"/>
            <w:vAlign w:val="bottom"/>
          </w:tcPr>
          <w:p>
            <w:pPr>
              <w:jc w:val="right"/>
              <w:ind w:right="138"/>
              <w:spacing w:after="0" w:line="90" w:lineRule="exact"/>
              <w:rPr>
                <w:sz w:val="20"/>
                <w:szCs w:val="20"/>
                <w:color w:val="auto"/>
              </w:rPr>
            </w:pPr>
            <w:r>
              <w:rPr>
                <w:rFonts w:ascii="Arial" w:cs="Arial" w:eastAsia="Arial" w:hAnsi="Arial"/>
                <w:sz w:val="8"/>
                <w:szCs w:val="8"/>
                <w:color w:val="auto"/>
              </w:rPr>
              <w:t>0</w:t>
            </w:r>
          </w:p>
        </w:tc>
        <w:tc>
          <w:tcPr>
            <w:tcW w:w="660" w:type="dxa"/>
            <w:vAlign w:val="bottom"/>
          </w:tcPr>
          <w:p>
            <w:pPr>
              <w:ind w:left="340"/>
              <w:spacing w:after="0" w:line="90" w:lineRule="exact"/>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line="90" w:lineRule="exact"/>
              <w:rPr>
                <w:sz w:val="20"/>
                <w:szCs w:val="20"/>
                <w:color w:val="auto"/>
              </w:rPr>
            </w:pPr>
            <w:r>
              <w:rPr>
                <w:rFonts w:ascii="Arial" w:cs="Arial" w:eastAsia="Arial" w:hAnsi="Arial"/>
                <w:sz w:val="8"/>
                <w:szCs w:val="8"/>
                <w:color w:val="auto"/>
              </w:rPr>
              <w:t>$ 98.10</w:t>
            </w:r>
          </w:p>
        </w:tc>
        <w:tc>
          <w:tcPr>
            <w:tcW w:w="640" w:type="dxa"/>
            <w:vAlign w:val="bottom"/>
            <w:gridSpan w:val="2"/>
          </w:tcPr>
          <w:p>
            <w:pPr>
              <w:jc w:val="right"/>
              <w:ind w:right="140"/>
              <w:spacing w:after="0" w:line="90" w:lineRule="exact"/>
              <w:rPr>
                <w:sz w:val="20"/>
                <w:szCs w:val="20"/>
                <w:color w:val="auto"/>
              </w:rPr>
            </w:pPr>
            <w:r>
              <w:rPr>
                <w:rFonts w:ascii="Arial" w:cs="Arial" w:eastAsia="Arial" w:hAnsi="Arial"/>
                <w:sz w:val="8"/>
                <w:szCs w:val="8"/>
                <w:color w:val="auto"/>
              </w:rPr>
              <w:t>2/19/2025</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800" w:type="dxa"/>
            <w:vAlign w:val="bottom"/>
            <w:gridSpan w:val="2"/>
          </w:tcPr>
          <w:p>
            <w:pPr>
              <w:jc w:val="right"/>
              <w:ind w:right="138"/>
              <w:spacing w:after="0" w:line="90" w:lineRule="exact"/>
              <w:rPr>
                <w:sz w:val="20"/>
                <w:szCs w:val="20"/>
                <w:color w:val="auto"/>
              </w:rPr>
            </w:pPr>
            <w:r>
              <w:rPr>
                <w:rFonts w:ascii="Arial" w:cs="Arial" w:eastAsia="Arial" w:hAnsi="Arial"/>
                <w:sz w:val="8"/>
                <w:szCs w:val="8"/>
                <w:color w:val="auto"/>
              </w:rPr>
              <w:t>31,737</w:t>
            </w:r>
          </w:p>
        </w:tc>
        <w:tc>
          <w:tcPr>
            <w:tcW w:w="860" w:type="dxa"/>
            <w:vAlign w:val="bottom"/>
          </w:tcPr>
          <w:p>
            <w:pPr>
              <w:jc w:val="right"/>
              <w:ind w:right="138"/>
              <w:spacing w:after="0" w:line="90" w:lineRule="exact"/>
              <w:rPr>
                <w:sz w:val="20"/>
                <w:szCs w:val="20"/>
                <w:color w:val="auto"/>
              </w:rPr>
            </w:pPr>
            <w:r>
              <w:rPr>
                <w:rFonts w:ascii="Arial" w:cs="Arial" w:eastAsia="Arial" w:hAnsi="Arial"/>
                <w:sz w:val="8"/>
                <w:szCs w:val="8"/>
                <w:color w:val="auto"/>
              </w:rPr>
              <w:t>0</w:t>
            </w:r>
          </w:p>
        </w:tc>
        <w:tc>
          <w:tcPr>
            <w:tcW w:w="660" w:type="dxa"/>
            <w:vAlign w:val="bottom"/>
          </w:tcPr>
          <w:p>
            <w:pPr>
              <w:ind w:left="340"/>
              <w:spacing w:after="0" w:line="90" w:lineRule="exact"/>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line="90" w:lineRule="exact"/>
              <w:rPr>
                <w:sz w:val="20"/>
                <w:szCs w:val="20"/>
                <w:color w:val="auto"/>
              </w:rPr>
            </w:pPr>
            <w:r>
              <w:rPr>
                <w:rFonts w:ascii="Arial" w:cs="Arial" w:eastAsia="Arial" w:hAnsi="Arial"/>
                <w:sz w:val="8"/>
                <w:szCs w:val="8"/>
                <w:color w:val="auto"/>
              </w:rPr>
              <w:t>$ 86.66</w:t>
            </w:r>
          </w:p>
        </w:tc>
        <w:tc>
          <w:tcPr>
            <w:tcW w:w="640" w:type="dxa"/>
            <w:vAlign w:val="bottom"/>
            <w:gridSpan w:val="2"/>
          </w:tcPr>
          <w:p>
            <w:pPr>
              <w:jc w:val="right"/>
              <w:ind w:right="140"/>
              <w:spacing w:after="0" w:line="90" w:lineRule="exact"/>
              <w:rPr>
                <w:sz w:val="20"/>
                <w:szCs w:val="20"/>
                <w:color w:val="auto"/>
              </w:rPr>
            </w:pPr>
            <w:r>
              <w:rPr>
                <w:rFonts w:ascii="Arial" w:cs="Arial" w:eastAsia="Arial" w:hAnsi="Arial"/>
                <w:sz w:val="8"/>
                <w:szCs w:val="8"/>
                <w:color w:val="auto"/>
              </w:rPr>
              <w:t>2/18/2026</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jc w:val="right"/>
              <w:ind w:right="38"/>
              <w:spacing w:after="0" w:line="90" w:lineRule="exact"/>
              <w:rPr>
                <w:sz w:val="20"/>
                <w:szCs w:val="20"/>
                <w:color w:val="auto"/>
              </w:rPr>
            </w:pPr>
            <w:r>
              <w:rPr>
                <w:rFonts w:ascii="Arial" w:cs="Arial" w:eastAsia="Arial" w:hAnsi="Arial"/>
                <w:sz w:val="8"/>
                <w:szCs w:val="8"/>
                <w:color w:val="auto"/>
              </w:rPr>
              <w:t>25,831(a)</w:t>
            </w:r>
          </w:p>
        </w:tc>
        <w:tc>
          <w:tcPr>
            <w:tcW w:w="860" w:type="dxa"/>
            <w:vAlign w:val="bottom"/>
          </w:tcPr>
          <w:p>
            <w:pPr>
              <w:jc w:val="right"/>
              <w:ind w:right="138"/>
              <w:spacing w:after="0" w:line="90" w:lineRule="exact"/>
              <w:rPr>
                <w:sz w:val="20"/>
                <w:szCs w:val="20"/>
                <w:color w:val="auto"/>
              </w:rPr>
            </w:pPr>
            <w:r>
              <w:rPr>
                <w:rFonts w:ascii="Arial" w:cs="Arial" w:eastAsia="Arial" w:hAnsi="Arial"/>
                <w:sz w:val="8"/>
                <w:szCs w:val="8"/>
                <w:color w:val="auto"/>
              </w:rPr>
              <w:t>12,913</w:t>
            </w:r>
          </w:p>
        </w:tc>
        <w:tc>
          <w:tcPr>
            <w:tcW w:w="660" w:type="dxa"/>
            <w:vAlign w:val="bottom"/>
          </w:tcPr>
          <w:p>
            <w:pPr>
              <w:ind w:left="340"/>
              <w:spacing w:after="0" w:line="90" w:lineRule="exact"/>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line="90" w:lineRule="exact"/>
              <w:rPr>
                <w:sz w:val="20"/>
                <w:szCs w:val="20"/>
                <w:color w:val="auto"/>
              </w:rPr>
            </w:pPr>
            <w:r>
              <w:rPr>
                <w:rFonts w:ascii="Arial" w:cs="Arial" w:eastAsia="Arial" w:hAnsi="Arial"/>
                <w:sz w:val="8"/>
                <w:szCs w:val="8"/>
                <w:color w:val="auto"/>
              </w:rPr>
              <w:t>$ 96.79</w:t>
            </w:r>
          </w:p>
        </w:tc>
        <w:tc>
          <w:tcPr>
            <w:tcW w:w="640" w:type="dxa"/>
            <w:vAlign w:val="bottom"/>
            <w:gridSpan w:val="2"/>
          </w:tcPr>
          <w:p>
            <w:pPr>
              <w:jc w:val="right"/>
              <w:ind w:right="140"/>
              <w:spacing w:after="0" w:line="90" w:lineRule="exact"/>
              <w:rPr>
                <w:sz w:val="20"/>
                <w:szCs w:val="20"/>
                <w:color w:val="auto"/>
              </w:rPr>
            </w:pPr>
            <w:r>
              <w:rPr>
                <w:rFonts w:ascii="Arial" w:cs="Arial" w:eastAsia="Arial" w:hAnsi="Arial"/>
                <w:sz w:val="8"/>
                <w:szCs w:val="8"/>
                <w:color w:val="auto"/>
              </w:rPr>
              <w:t>2/17/2027</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jc w:val="right"/>
              <w:ind w:right="38"/>
              <w:spacing w:after="0" w:line="90" w:lineRule="exact"/>
              <w:rPr>
                <w:sz w:val="20"/>
                <w:szCs w:val="20"/>
                <w:color w:val="auto"/>
              </w:rPr>
            </w:pPr>
            <w:r>
              <w:rPr>
                <w:rFonts w:ascii="Arial" w:cs="Arial" w:eastAsia="Arial" w:hAnsi="Arial"/>
                <w:sz w:val="8"/>
                <w:szCs w:val="8"/>
                <w:color w:val="auto"/>
              </w:rPr>
              <w:t>13,866(b)</w:t>
            </w:r>
          </w:p>
        </w:tc>
        <w:tc>
          <w:tcPr>
            <w:tcW w:w="860" w:type="dxa"/>
            <w:vAlign w:val="bottom"/>
          </w:tcPr>
          <w:p>
            <w:pPr>
              <w:jc w:val="right"/>
              <w:ind w:right="138"/>
              <w:spacing w:after="0" w:line="90" w:lineRule="exact"/>
              <w:rPr>
                <w:sz w:val="20"/>
                <w:szCs w:val="20"/>
                <w:color w:val="auto"/>
              </w:rPr>
            </w:pPr>
            <w:r>
              <w:rPr>
                <w:rFonts w:ascii="Arial" w:cs="Arial" w:eastAsia="Arial" w:hAnsi="Arial"/>
                <w:sz w:val="8"/>
                <w:szCs w:val="8"/>
                <w:color w:val="auto"/>
              </w:rPr>
              <w:t>27,718</w:t>
            </w:r>
          </w:p>
        </w:tc>
        <w:tc>
          <w:tcPr>
            <w:tcW w:w="660" w:type="dxa"/>
            <w:vAlign w:val="bottom"/>
          </w:tcPr>
          <w:p>
            <w:pPr>
              <w:ind w:left="340"/>
              <w:spacing w:after="0" w:line="90" w:lineRule="exact"/>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line="90" w:lineRule="exact"/>
              <w:rPr>
                <w:sz w:val="20"/>
                <w:szCs w:val="20"/>
                <w:color w:val="auto"/>
              </w:rPr>
            </w:pPr>
            <w:r>
              <w:rPr>
                <w:rFonts w:ascii="Arial" w:cs="Arial" w:eastAsia="Arial" w:hAnsi="Arial"/>
                <w:sz w:val="8"/>
                <w:szCs w:val="8"/>
                <w:color w:val="auto"/>
              </w:rPr>
              <w:t>$ 90.18</w:t>
            </w:r>
          </w:p>
        </w:tc>
        <w:tc>
          <w:tcPr>
            <w:tcW w:w="640" w:type="dxa"/>
            <w:vAlign w:val="bottom"/>
            <w:gridSpan w:val="2"/>
          </w:tcPr>
          <w:p>
            <w:pPr>
              <w:jc w:val="right"/>
              <w:ind w:right="140"/>
              <w:spacing w:after="0" w:line="90" w:lineRule="exact"/>
              <w:rPr>
                <w:sz w:val="20"/>
                <w:szCs w:val="20"/>
                <w:color w:val="auto"/>
              </w:rPr>
            </w:pPr>
            <w:r>
              <w:rPr>
                <w:rFonts w:ascii="Arial" w:cs="Arial" w:eastAsia="Arial" w:hAnsi="Arial"/>
                <w:sz w:val="8"/>
                <w:szCs w:val="8"/>
                <w:color w:val="auto"/>
              </w:rPr>
              <w:t>2/17/2028</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right"/>
              <w:ind w:right="38"/>
              <w:spacing w:after="0"/>
              <w:rPr>
                <w:sz w:val="20"/>
                <w:szCs w:val="20"/>
                <w:color w:val="auto"/>
              </w:rPr>
            </w:pPr>
            <w:r>
              <w:rPr>
                <w:rFonts w:ascii="Arial" w:cs="Arial" w:eastAsia="Arial" w:hAnsi="Arial"/>
                <w:sz w:val="8"/>
                <w:szCs w:val="8"/>
                <w:color w:val="auto"/>
              </w:rPr>
              <w:t>0(e)</w:t>
            </w:r>
          </w:p>
        </w:tc>
        <w:tc>
          <w:tcPr>
            <w:tcW w:w="860" w:type="dxa"/>
            <w:vAlign w:val="bottom"/>
          </w:tcPr>
          <w:p>
            <w:pPr>
              <w:jc w:val="right"/>
              <w:ind w:right="138"/>
              <w:spacing w:after="0"/>
              <w:rPr>
                <w:sz w:val="20"/>
                <w:szCs w:val="20"/>
                <w:color w:val="auto"/>
              </w:rPr>
            </w:pPr>
            <w:r>
              <w:rPr>
                <w:rFonts w:ascii="Arial" w:cs="Arial" w:eastAsia="Arial" w:hAnsi="Arial"/>
                <w:sz w:val="8"/>
                <w:szCs w:val="8"/>
                <w:color w:val="auto"/>
              </w:rPr>
              <w:t>60,597</w:t>
            </w:r>
          </w:p>
        </w:tc>
        <w:tc>
          <w:tcPr>
            <w:tcW w:w="660" w:type="dxa"/>
            <w:vAlign w:val="bottom"/>
          </w:tcPr>
          <w:p>
            <w:pPr>
              <w:ind w:left="340"/>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rPr>
                <w:sz w:val="20"/>
                <w:szCs w:val="20"/>
                <w:color w:val="auto"/>
              </w:rPr>
            </w:pPr>
            <w:r>
              <w:rPr>
                <w:rFonts w:ascii="Arial" w:cs="Arial" w:eastAsia="Arial" w:hAnsi="Arial"/>
                <w:sz w:val="8"/>
                <w:szCs w:val="8"/>
                <w:color w:val="auto"/>
              </w:rPr>
              <w:t>$ 94.89</w:t>
            </w:r>
          </w:p>
        </w:tc>
        <w:tc>
          <w:tcPr>
            <w:tcW w:w="640" w:type="dxa"/>
            <w:vAlign w:val="bottom"/>
            <w:gridSpan w:val="2"/>
          </w:tcPr>
          <w:p>
            <w:pPr>
              <w:jc w:val="right"/>
              <w:ind w:right="140"/>
              <w:spacing w:after="0"/>
              <w:rPr>
                <w:sz w:val="20"/>
                <w:szCs w:val="20"/>
                <w:color w:val="auto"/>
              </w:rPr>
            </w:pPr>
            <w:r>
              <w:rPr>
                <w:rFonts w:ascii="Arial" w:cs="Arial" w:eastAsia="Arial" w:hAnsi="Arial"/>
                <w:sz w:val="8"/>
                <w:szCs w:val="8"/>
                <w:color w:val="auto"/>
              </w:rPr>
              <w:t>2/25/2029</w:t>
            </w: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32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32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320" w:type="dxa"/>
            <w:vAlign w:val="bottom"/>
          </w:tcPr>
          <w:p>
            <w:pPr>
              <w:ind w:left="40"/>
              <w:spacing w:after="0"/>
              <w:rPr>
                <w:sz w:val="20"/>
                <w:szCs w:val="20"/>
                <w:color w:val="auto"/>
              </w:rPr>
            </w:pPr>
            <w:r>
              <w:rPr>
                <w:rFonts w:ascii="Arial" w:cs="Arial" w:eastAsia="Arial" w:hAnsi="Arial"/>
                <w:sz w:val="8"/>
                <w:szCs w:val="8"/>
                <w:b w:val="1"/>
                <w:bCs w:val="1"/>
                <w:color w:val="auto"/>
              </w:rPr>
              <w:t>Cynthia Williams</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ind w:right="78"/>
              <w:spacing w:after="0"/>
              <w:rPr>
                <w:sz w:val="20"/>
                <w:szCs w:val="20"/>
                <w:color w:val="auto"/>
              </w:rPr>
            </w:pPr>
            <w:r>
              <w:rPr>
                <w:rFonts w:ascii="Arial" w:cs="Arial" w:eastAsia="Arial" w:hAnsi="Arial"/>
                <w:sz w:val="8"/>
                <w:szCs w:val="8"/>
                <w:color w:val="auto"/>
              </w:rPr>
              <w:t>3,252(p)</w:t>
            </w:r>
          </w:p>
        </w:tc>
        <w:tc>
          <w:tcPr>
            <w:tcW w:w="14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480" w:type="dxa"/>
            <w:vAlign w:val="bottom"/>
            <w:vMerge w:val="restart"/>
          </w:tcPr>
          <w:p>
            <w:pPr>
              <w:jc w:val="right"/>
              <w:ind w:right="58"/>
              <w:spacing w:after="0"/>
              <w:rPr>
                <w:sz w:val="20"/>
                <w:szCs w:val="20"/>
                <w:color w:val="auto"/>
              </w:rPr>
            </w:pPr>
            <w:r>
              <w:rPr>
                <w:rFonts w:ascii="Arial" w:cs="Arial" w:eastAsia="Arial" w:hAnsi="Arial"/>
                <w:sz w:val="8"/>
                <w:szCs w:val="8"/>
                <w:color w:val="auto"/>
              </w:rPr>
              <w:t>189,299</w:t>
            </w: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6,505(j)</w:t>
            </w:r>
          </w:p>
        </w:tc>
        <w:tc>
          <w:tcPr>
            <w:tcW w:w="320" w:type="dxa"/>
            <w:vAlign w:val="bottom"/>
          </w:tcPr>
          <w:p>
            <w:pPr>
              <w:ind w:left="24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378,656</w:t>
            </w: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restart"/>
          </w:tcPr>
          <w:p>
            <w:pPr>
              <w:jc w:val="right"/>
              <w:ind w:right="38"/>
              <w:spacing w:after="0"/>
              <w:rPr>
                <w:sz w:val="20"/>
                <w:szCs w:val="20"/>
                <w:color w:val="auto"/>
              </w:rPr>
            </w:pPr>
            <w:r>
              <w:rPr>
                <w:rFonts w:ascii="Arial" w:cs="Arial" w:eastAsia="Arial" w:hAnsi="Arial"/>
                <w:sz w:val="8"/>
                <w:szCs w:val="8"/>
                <w:color w:val="auto"/>
              </w:rPr>
              <w:t>0(e)</w:t>
            </w:r>
          </w:p>
        </w:tc>
        <w:tc>
          <w:tcPr>
            <w:tcW w:w="860" w:type="dxa"/>
            <w:vAlign w:val="bottom"/>
            <w:vMerge w:val="restart"/>
          </w:tcPr>
          <w:p>
            <w:pPr>
              <w:jc w:val="right"/>
              <w:ind w:right="138"/>
              <w:spacing w:after="0"/>
              <w:rPr>
                <w:sz w:val="20"/>
                <w:szCs w:val="20"/>
                <w:color w:val="auto"/>
              </w:rPr>
            </w:pPr>
            <w:r>
              <w:rPr>
                <w:rFonts w:ascii="Arial" w:cs="Arial" w:eastAsia="Arial" w:hAnsi="Arial"/>
                <w:sz w:val="8"/>
                <w:szCs w:val="8"/>
                <w:color w:val="auto"/>
              </w:rPr>
              <w:t>15,807</w:t>
            </w:r>
          </w:p>
        </w:tc>
        <w:tc>
          <w:tcPr>
            <w:tcW w:w="660" w:type="dxa"/>
            <w:vAlign w:val="bottom"/>
            <w:vMerge w:val="restart"/>
          </w:tcPr>
          <w:p>
            <w:pPr>
              <w:ind w:left="340"/>
              <w:spacing w:after="0"/>
              <w:rPr>
                <w:sz w:val="20"/>
                <w:szCs w:val="20"/>
                <w:color w:val="auto"/>
              </w:rPr>
            </w:pPr>
            <w:r>
              <w:rPr>
                <w:rFonts w:ascii="Arial" w:cs="Arial" w:eastAsia="Arial" w:hAnsi="Arial"/>
                <w:sz w:val="8"/>
                <w:szCs w:val="8"/>
                <w:color w:val="auto"/>
              </w:rPr>
              <w:t>—</w:t>
            </w:r>
          </w:p>
        </w:tc>
        <w:tc>
          <w:tcPr>
            <w:tcW w:w="520" w:type="dxa"/>
            <w:vAlign w:val="bottom"/>
            <w:vMerge w:val="restart"/>
          </w:tcPr>
          <w:p>
            <w:pPr>
              <w:jc w:val="right"/>
              <w:ind w:right="58"/>
              <w:spacing w:after="0"/>
              <w:rPr>
                <w:sz w:val="20"/>
                <w:szCs w:val="20"/>
                <w:color w:val="auto"/>
              </w:rPr>
            </w:pPr>
            <w:r>
              <w:rPr>
                <w:rFonts w:ascii="Arial" w:cs="Arial" w:eastAsia="Arial" w:hAnsi="Arial"/>
                <w:sz w:val="8"/>
                <w:szCs w:val="8"/>
                <w:color w:val="auto"/>
              </w:rPr>
              <w:t>$ 94.89</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8"/>
                <w:szCs w:val="8"/>
                <w:color w:val="auto"/>
              </w:rPr>
              <w:t>2/25/2029</w:t>
            </w:r>
          </w:p>
        </w:tc>
        <w:tc>
          <w:tcPr>
            <w:tcW w:w="540" w:type="dxa"/>
            <w:vAlign w:val="bottom"/>
          </w:tcPr>
          <w:p>
            <w:pPr>
              <w:jc w:val="right"/>
              <w:ind w:right="98"/>
              <w:spacing w:after="0"/>
              <w:rPr>
                <w:sz w:val="20"/>
                <w:szCs w:val="20"/>
                <w:color w:val="auto"/>
              </w:rPr>
            </w:pPr>
            <w:r>
              <w:rPr>
                <w:rFonts w:ascii="Arial" w:cs="Arial" w:eastAsia="Arial" w:hAnsi="Arial"/>
                <w:sz w:val="8"/>
                <w:szCs w:val="8"/>
                <w:color w:val="auto"/>
              </w:rPr>
              <w:t>27,096(r)</w:t>
            </w:r>
          </w:p>
        </w:tc>
        <w:tc>
          <w:tcPr>
            <w:tcW w:w="620" w:type="dxa"/>
            <w:vAlign w:val="bottom"/>
            <w:gridSpan w:val="2"/>
          </w:tcPr>
          <w:p>
            <w:pPr>
              <w:jc w:val="right"/>
              <w:ind w:right="58"/>
              <w:spacing w:after="0"/>
              <w:rPr>
                <w:sz w:val="20"/>
                <w:szCs w:val="20"/>
                <w:color w:val="auto"/>
              </w:rPr>
            </w:pPr>
            <w:r>
              <w:rPr>
                <w:rFonts w:ascii="Arial" w:cs="Arial" w:eastAsia="Arial" w:hAnsi="Arial"/>
                <w:sz w:val="8"/>
                <w:szCs w:val="8"/>
                <w:color w:val="auto"/>
              </w:rPr>
              <w:t>$ 1,577,258</w:t>
            </w: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32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32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3971925" cy="21717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5"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56</w:t>
      </w:r>
    </w:p>
    <w:p>
      <w:pPr>
        <w:sectPr>
          <w:pgSz w:w="11900" w:h="16838" w:orient="portrait"/>
          <w:cols w:equalWidth="0" w:num="1">
            <w:col w:w="10159"/>
          </w:cols>
          <w:pgMar w:left="300" w:top="372" w:right="1440" w:bottom="1440" w:gutter="0" w:footer="0" w:header="0"/>
        </w:sectPr>
      </w:pPr>
    </w:p>
    <w:bookmarkStart w:id="78" w:name="page79"/>
    <w:bookmarkEnd w:id="7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tbl>
      <w:tblPr>
        <w:tblLayout w:type="fixed"/>
        <w:tblInd w:w="1980" w:type="dxa"/>
        <w:tblCellMar>
          <w:top w:w="0" w:type="dxa"/>
          <w:left w:w="0" w:type="dxa"/>
          <w:bottom w:w="0" w:type="dxa"/>
          <w:right w:w="0" w:type="dxa"/>
        </w:tblCellMar>
      </w:tblPr>
      <w:tr>
        <w:trPr>
          <w:trHeight w:val="147"/>
        </w:trPr>
        <w:tc>
          <w:tcPr>
            <w:tcW w:w="1220" w:type="dxa"/>
            <w:vAlign w:val="bottom"/>
            <w:tcBorders>
              <w:bottom w:val="single" w:sz="8" w:color="CCEBF8"/>
            </w:tcBorders>
            <w:shd w:val="clear" w:color="auto" w:fill="CCEBF8"/>
          </w:tcPr>
          <w:p>
            <w:pPr>
              <w:spacing w:after="0"/>
              <w:rPr>
                <w:sz w:val="12"/>
                <w:szCs w:val="12"/>
                <w:color w:val="auto"/>
              </w:rPr>
            </w:pPr>
          </w:p>
        </w:tc>
        <w:tc>
          <w:tcPr>
            <w:tcW w:w="160" w:type="dxa"/>
            <w:vAlign w:val="bottom"/>
            <w:tcBorders>
              <w:bottom w:val="single" w:sz="8" w:color="CCEBF8"/>
            </w:tcBorders>
            <w:shd w:val="clear" w:color="auto" w:fill="CCEBF8"/>
          </w:tcPr>
          <w:p>
            <w:pPr>
              <w:spacing w:after="0"/>
              <w:rPr>
                <w:sz w:val="12"/>
                <w:szCs w:val="12"/>
                <w:color w:val="auto"/>
              </w:rPr>
            </w:pPr>
          </w:p>
        </w:tc>
        <w:tc>
          <w:tcPr>
            <w:tcW w:w="660" w:type="dxa"/>
            <w:vAlign w:val="bottom"/>
            <w:tcBorders>
              <w:bottom w:val="single" w:sz="8" w:color="009BDE"/>
            </w:tcBorders>
            <w:shd w:val="clear" w:color="auto" w:fill="CCEBF8"/>
          </w:tcPr>
          <w:p>
            <w:pPr>
              <w:spacing w:after="0"/>
              <w:rPr>
                <w:sz w:val="12"/>
                <w:szCs w:val="12"/>
                <w:color w:val="auto"/>
              </w:rPr>
            </w:pPr>
          </w:p>
        </w:tc>
        <w:tc>
          <w:tcPr>
            <w:tcW w:w="1560" w:type="dxa"/>
            <w:vAlign w:val="bottom"/>
            <w:tcBorders>
              <w:bottom w:val="single" w:sz="8" w:color="009BDE"/>
            </w:tcBorders>
            <w:gridSpan w:val="2"/>
            <w:shd w:val="clear" w:color="auto" w:fill="CCEBF8"/>
          </w:tcPr>
          <w:p>
            <w:pPr>
              <w:ind w:left="660"/>
              <w:spacing w:after="0"/>
              <w:rPr>
                <w:sz w:val="20"/>
                <w:szCs w:val="20"/>
                <w:color w:val="auto"/>
              </w:rPr>
            </w:pPr>
            <w:r>
              <w:rPr>
                <w:rFonts w:ascii="Arial" w:cs="Arial" w:eastAsia="Arial" w:hAnsi="Arial"/>
                <w:sz w:val="8"/>
                <w:szCs w:val="8"/>
                <w:b w:val="1"/>
                <w:bCs w:val="1"/>
                <w:color w:val="009BDE"/>
              </w:rPr>
              <w:t>Option Awards</w:t>
            </w:r>
          </w:p>
        </w:tc>
        <w:tc>
          <w:tcPr>
            <w:tcW w:w="520" w:type="dxa"/>
            <w:vAlign w:val="bottom"/>
            <w:tcBorders>
              <w:bottom w:val="single" w:sz="8" w:color="009BDE"/>
            </w:tcBorders>
            <w:shd w:val="clear" w:color="auto" w:fill="CCEBF8"/>
          </w:tcPr>
          <w:p>
            <w:pPr>
              <w:spacing w:after="0"/>
              <w:rPr>
                <w:sz w:val="12"/>
                <w:szCs w:val="12"/>
                <w:color w:val="auto"/>
              </w:rPr>
            </w:pPr>
          </w:p>
        </w:tc>
        <w:tc>
          <w:tcPr>
            <w:tcW w:w="500" w:type="dxa"/>
            <w:vAlign w:val="bottom"/>
            <w:tcBorders>
              <w:bottom w:val="single" w:sz="8" w:color="009BDE"/>
            </w:tcBorders>
            <w:shd w:val="clear" w:color="auto" w:fill="CCEBF8"/>
          </w:tcPr>
          <w:p>
            <w:pPr>
              <w:spacing w:after="0"/>
              <w:rPr>
                <w:sz w:val="12"/>
                <w:szCs w:val="12"/>
                <w:color w:val="auto"/>
              </w:rPr>
            </w:pPr>
          </w:p>
        </w:tc>
        <w:tc>
          <w:tcPr>
            <w:tcW w:w="160" w:type="dxa"/>
            <w:vAlign w:val="bottom"/>
            <w:tcBorders>
              <w:bottom w:val="single" w:sz="8" w:color="CCEBF8"/>
            </w:tcBorders>
            <w:shd w:val="clear" w:color="auto" w:fill="CCEBF8"/>
          </w:tcPr>
          <w:p>
            <w:pPr>
              <w:spacing w:after="0"/>
              <w:rPr>
                <w:sz w:val="12"/>
                <w:szCs w:val="12"/>
                <w:color w:val="auto"/>
              </w:rPr>
            </w:pPr>
          </w:p>
        </w:tc>
        <w:tc>
          <w:tcPr>
            <w:tcW w:w="540" w:type="dxa"/>
            <w:vAlign w:val="bottom"/>
            <w:tcBorders>
              <w:bottom w:val="single" w:sz="8" w:color="009BDE"/>
            </w:tcBorders>
            <w:shd w:val="clear" w:color="auto" w:fill="CCEBF8"/>
          </w:tcPr>
          <w:p>
            <w:pPr>
              <w:spacing w:after="0"/>
              <w:rPr>
                <w:sz w:val="12"/>
                <w:szCs w:val="12"/>
                <w:color w:val="auto"/>
              </w:rPr>
            </w:pPr>
          </w:p>
        </w:tc>
        <w:tc>
          <w:tcPr>
            <w:tcW w:w="140" w:type="dxa"/>
            <w:vAlign w:val="bottom"/>
            <w:tcBorders>
              <w:bottom w:val="single" w:sz="8" w:color="009BDE"/>
            </w:tcBorders>
            <w:shd w:val="clear" w:color="auto" w:fill="CCEBF8"/>
          </w:tcPr>
          <w:p>
            <w:pPr>
              <w:spacing w:after="0"/>
              <w:rPr>
                <w:sz w:val="12"/>
                <w:szCs w:val="12"/>
                <w:color w:val="auto"/>
              </w:rPr>
            </w:pPr>
          </w:p>
        </w:tc>
        <w:tc>
          <w:tcPr>
            <w:tcW w:w="1180" w:type="dxa"/>
            <w:vAlign w:val="bottom"/>
            <w:tcBorders>
              <w:bottom w:val="single" w:sz="8" w:color="009BDE"/>
            </w:tcBorders>
            <w:gridSpan w:val="2"/>
            <w:shd w:val="clear" w:color="auto" w:fill="CCEBF8"/>
          </w:tcPr>
          <w:p>
            <w:pPr>
              <w:jc w:val="right"/>
              <w:ind w:right="258"/>
              <w:spacing w:after="0"/>
              <w:rPr>
                <w:sz w:val="20"/>
                <w:szCs w:val="20"/>
                <w:color w:val="auto"/>
              </w:rPr>
            </w:pPr>
            <w:r>
              <w:rPr>
                <w:rFonts w:ascii="Arial" w:cs="Arial" w:eastAsia="Arial" w:hAnsi="Arial"/>
                <w:sz w:val="8"/>
                <w:szCs w:val="8"/>
                <w:b w:val="1"/>
                <w:bCs w:val="1"/>
                <w:color w:val="009BDE"/>
              </w:rPr>
              <w:t>Stock Awards</w:t>
            </w:r>
          </w:p>
        </w:tc>
        <w:tc>
          <w:tcPr>
            <w:tcW w:w="320" w:type="dxa"/>
            <w:vAlign w:val="bottom"/>
            <w:tcBorders>
              <w:bottom w:val="single" w:sz="8" w:color="009BDE"/>
            </w:tcBorders>
            <w:shd w:val="clear" w:color="auto" w:fill="CCEBF8"/>
          </w:tcPr>
          <w:p>
            <w:pPr>
              <w:spacing w:after="0"/>
              <w:rPr>
                <w:sz w:val="12"/>
                <w:szCs w:val="12"/>
                <w:color w:val="auto"/>
              </w:rPr>
            </w:pPr>
          </w:p>
        </w:tc>
        <w:tc>
          <w:tcPr>
            <w:tcW w:w="380" w:type="dxa"/>
            <w:vAlign w:val="bottom"/>
            <w:tcBorders>
              <w:bottom w:val="single" w:sz="8" w:color="009BDE"/>
            </w:tcBorders>
            <w:shd w:val="clear" w:color="auto" w:fill="CCEBF8"/>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220" w:type="dxa"/>
            <w:vAlign w:val="bottom"/>
            <w:shd w:val="clear" w:color="auto" w:fill="CCEBF8"/>
          </w:tcPr>
          <w:p>
            <w:pPr>
              <w:spacing w:after="0"/>
              <w:rPr>
                <w:sz w:val="9"/>
                <w:szCs w:val="9"/>
                <w:color w:val="auto"/>
              </w:rPr>
            </w:pPr>
          </w:p>
        </w:tc>
        <w:tc>
          <w:tcPr>
            <w:tcW w:w="160" w:type="dxa"/>
            <w:vAlign w:val="bottom"/>
            <w:shd w:val="clear" w:color="auto" w:fill="CCEBF8"/>
          </w:tcPr>
          <w:p>
            <w:pPr>
              <w:spacing w:after="0"/>
              <w:rPr>
                <w:sz w:val="9"/>
                <w:szCs w:val="9"/>
                <w:color w:val="auto"/>
              </w:rPr>
            </w:pPr>
          </w:p>
        </w:tc>
        <w:tc>
          <w:tcPr>
            <w:tcW w:w="660" w:type="dxa"/>
            <w:vAlign w:val="bottom"/>
            <w:shd w:val="clear" w:color="auto" w:fill="CCEBF8"/>
          </w:tcPr>
          <w:p>
            <w:pPr>
              <w:spacing w:after="0"/>
              <w:rPr>
                <w:sz w:val="9"/>
                <w:szCs w:val="9"/>
                <w:color w:val="auto"/>
              </w:rPr>
            </w:pPr>
          </w:p>
        </w:tc>
        <w:tc>
          <w:tcPr>
            <w:tcW w:w="860" w:type="dxa"/>
            <w:vAlign w:val="bottom"/>
            <w:shd w:val="clear" w:color="auto" w:fill="CCEBF8"/>
          </w:tcPr>
          <w:p>
            <w:pPr>
              <w:spacing w:after="0"/>
              <w:rPr>
                <w:sz w:val="9"/>
                <w:szCs w:val="9"/>
                <w:color w:val="auto"/>
              </w:rPr>
            </w:pPr>
          </w:p>
        </w:tc>
        <w:tc>
          <w:tcPr>
            <w:tcW w:w="700" w:type="dxa"/>
            <w:vAlign w:val="bottom"/>
            <w:shd w:val="clear" w:color="auto" w:fill="CCEBF8"/>
          </w:tcPr>
          <w:p>
            <w:pPr>
              <w:spacing w:after="0"/>
              <w:rPr>
                <w:sz w:val="9"/>
                <w:szCs w:val="9"/>
                <w:color w:val="auto"/>
              </w:rPr>
            </w:pPr>
          </w:p>
        </w:tc>
        <w:tc>
          <w:tcPr>
            <w:tcW w:w="520" w:type="dxa"/>
            <w:vAlign w:val="bottom"/>
            <w:shd w:val="clear" w:color="auto" w:fill="CCEBF8"/>
          </w:tcPr>
          <w:p>
            <w:pPr>
              <w:spacing w:after="0"/>
              <w:rPr>
                <w:sz w:val="9"/>
                <w:szCs w:val="9"/>
                <w:color w:val="auto"/>
              </w:rPr>
            </w:pPr>
          </w:p>
        </w:tc>
        <w:tc>
          <w:tcPr>
            <w:tcW w:w="500" w:type="dxa"/>
            <w:vAlign w:val="bottom"/>
            <w:shd w:val="clear" w:color="auto" w:fill="CCEBF8"/>
          </w:tcPr>
          <w:p>
            <w:pPr>
              <w:spacing w:after="0"/>
              <w:rPr>
                <w:sz w:val="9"/>
                <w:szCs w:val="9"/>
                <w:color w:val="auto"/>
              </w:rPr>
            </w:pPr>
          </w:p>
        </w:tc>
        <w:tc>
          <w:tcPr>
            <w:tcW w:w="160" w:type="dxa"/>
            <w:vAlign w:val="bottom"/>
            <w:shd w:val="clear" w:color="auto" w:fill="CCEBF8"/>
          </w:tcPr>
          <w:p>
            <w:pPr>
              <w:spacing w:after="0"/>
              <w:rPr>
                <w:sz w:val="9"/>
                <w:szCs w:val="9"/>
                <w:color w:val="auto"/>
              </w:rPr>
            </w:pPr>
          </w:p>
        </w:tc>
        <w:tc>
          <w:tcPr>
            <w:tcW w:w="540" w:type="dxa"/>
            <w:vAlign w:val="bottom"/>
            <w:shd w:val="clear" w:color="auto" w:fill="CCEBF8"/>
          </w:tcPr>
          <w:p>
            <w:pPr>
              <w:spacing w:after="0"/>
              <w:rPr>
                <w:sz w:val="9"/>
                <w:szCs w:val="9"/>
                <w:color w:val="auto"/>
              </w:rPr>
            </w:pPr>
          </w:p>
        </w:tc>
        <w:tc>
          <w:tcPr>
            <w:tcW w:w="140" w:type="dxa"/>
            <w:vAlign w:val="bottom"/>
            <w:shd w:val="clear" w:color="auto" w:fill="CCEBF8"/>
          </w:tcPr>
          <w:p>
            <w:pPr>
              <w:spacing w:after="0"/>
              <w:rPr>
                <w:sz w:val="9"/>
                <w:szCs w:val="9"/>
                <w:color w:val="auto"/>
              </w:rPr>
            </w:pPr>
          </w:p>
        </w:tc>
        <w:tc>
          <w:tcPr>
            <w:tcW w:w="480" w:type="dxa"/>
            <w:vAlign w:val="bottom"/>
            <w:shd w:val="clear" w:color="auto" w:fill="CCEBF8"/>
          </w:tcPr>
          <w:p>
            <w:pPr>
              <w:spacing w:after="0"/>
              <w:rPr>
                <w:sz w:val="9"/>
                <w:szCs w:val="9"/>
                <w:color w:val="auto"/>
              </w:rPr>
            </w:pPr>
          </w:p>
        </w:tc>
        <w:tc>
          <w:tcPr>
            <w:tcW w:w="700" w:type="dxa"/>
            <w:vAlign w:val="bottom"/>
            <w:shd w:val="clear" w:color="auto" w:fill="CCEBF8"/>
          </w:tcPr>
          <w:p>
            <w:pPr>
              <w:jc w:val="center"/>
              <w:spacing w:after="0"/>
              <w:rPr>
                <w:sz w:val="20"/>
                <w:szCs w:val="20"/>
                <w:color w:val="auto"/>
              </w:rPr>
            </w:pPr>
            <w:r>
              <w:rPr>
                <w:rFonts w:ascii="Arial" w:cs="Arial" w:eastAsia="Arial" w:hAnsi="Arial"/>
                <w:sz w:val="8"/>
                <w:szCs w:val="8"/>
                <w:b w:val="1"/>
                <w:bCs w:val="1"/>
                <w:color w:val="009BDE"/>
              </w:rPr>
              <w:t>Equity</w:t>
            </w:r>
          </w:p>
        </w:tc>
        <w:tc>
          <w:tcPr>
            <w:tcW w:w="700" w:type="dxa"/>
            <w:vAlign w:val="bottom"/>
            <w:gridSpan w:val="2"/>
            <w:shd w:val="clear" w:color="auto" w:fill="CCEBF8"/>
          </w:tcPr>
          <w:p>
            <w:pPr>
              <w:ind w:left="240"/>
              <w:spacing w:after="0"/>
              <w:rPr>
                <w:sz w:val="20"/>
                <w:szCs w:val="20"/>
                <w:color w:val="auto"/>
              </w:rPr>
            </w:pPr>
            <w:r>
              <w:rPr>
                <w:rFonts w:ascii="Arial" w:cs="Arial" w:eastAsia="Arial" w:hAnsi="Arial"/>
                <w:sz w:val="8"/>
                <w:szCs w:val="8"/>
                <w:b w:val="1"/>
                <w:bCs w:val="1"/>
                <w:color w:val="009BDE"/>
              </w:rPr>
              <w:t>Equity</w:t>
            </w:r>
          </w:p>
        </w:tc>
        <w:tc>
          <w:tcPr>
            <w:tcW w:w="0" w:type="dxa"/>
            <w:vAlign w:val="bottom"/>
          </w:tcPr>
          <w:p>
            <w:pPr>
              <w:spacing w:after="0"/>
              <w:rPr>
                <w:sz w:val="1"/>
                <w:szCs w:val="1"/>
                <w:color w:val="auto"/>
              </w:rPr>
            </w:pPr>
          </w:p>
        </w:tc>
      </w:tr>
      <w:tr>
        <w:trPr>
          <w:trHeight w:val="90"/>
        </w:trPr>
        <w:tc>
          <w:tcPr>
            <w:tcW w:w="122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660" w:type="dxa"/>
            <w:vAlign w:val="bottom"/>
            <w:shd w:val="clear" w:color="auto" w:fill="CCEBF8"/>
          </w:tcPr>
          <w:p>
            <w:pPr>
              <w:spacing w:after="0"/>
              <w:rPr>
                <w:sz w:val="7"/>
                <w:szCs w:val="7"/>
                <w:color w:val="auto"/>
              </w:rPr>
            </w:pPr>
          </w:p>
        </w:tc>
        <w:tc>
          <w:tcPr>
            <w:tcW w:w="860" w:type="dxa"/>
            <w:vAlign w:val="bottom"/>
            <w:shd w:val="clear" w:color="auto" w:fill="CCEBF8"/>
          </w:tcPr>
          <w:p>
            <w:pPr>
              <w:spacing w:after="0"/>
              <w:rPr>
                <w:sz w:val="7"/>
                <w:szCs w:val="7"/>
                <w:color w:val="auto"/>
              </w:rPr>
            </w:pPr>
          </w:p>
        </w:tc>
        <w:tc>
          <w:tcPr>
            <w:tcW w:w="700" w:type="dxa"/>
            <w:vAlign w:val="bottom"/>
            <w:shd w:val="clear" w:color="auto" w:fill="CCEBF8"/>
          </w:tcPr>
          <w:p>
            <w:pPr>
              <w:spacing w:after="0"/>
              <w:rPr>
                <w:sz w:val="7"/>
                <w:szCs w:val="7"/>
                <w:color w:val="auto"/>
              </w:rPr>
            </w:pPr>
          </w:p>
        </w:tc>
        <w:tc>
          <w:tcPr>
            <w:tcW w:w="520" w:type="dxa"/>
            <w:vAlign w:val="bottom"/>
            <w:shd w:val="clear" w:color="auto" w:fill="CCEBF8"/>
          </w:tcPr>
          <w:p>
            <w:pPr>
              <w:spacing w:after="0"/>
              <w:rPr>
                <w:sz w:val="7"/>
                <w:szCs w:val="7"/>
                <w:color w:val="auto"/>
              </w:rPr>
            </w:pPr>
          </w:p>
        </w:tc>
        <w:tc>
          <w:tcPr>
            <w:tcW w:w="50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54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480" w:type="dxa"/>
            <w:vAlign w:val="bottom"/>
            <w:shd w:val="clear" w:color="auto" w:fill="CCEBF8"/>
          </w:tcPr>
          <w:p>
            <w:pPr>
              <w:spacing w:after="0"/>
              <w:rPr>
                <w:sz w:val="7"/>
                <w:szCs w:val="7"/>
                <w:color w:val="auto"/>
              </w:rPr>
            </w:pPr>
          </w:p>
        </w:tc>
        <w:tc>
          <w:tcPr>
            <w:tcW w:w="70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Incentive</w:t>
            </w:r>
          </w:p>
        </w:tc>
        <w:tc>
          <w:tcPr>
            <w:tcW w:w="7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Incentive Plan</w:t>
            </w:r>
          </w:p>
        </w:tc>
        <w:tc>
          <w:tcPr>
            <w:tcW w:w="0" w:type="dxa"/>
            <w:vAlign w:val="bottom"/>
          </w:tcPr>
          <w:p>
            <w:pPr>
              <w:spacing w:after="0"/>
              <w:rPr>
                <w:sz w:val="1"/>
                <w:szCs w:val="1"/>
                <w:color w:val="auto"/>
              </w:rPr>
            </w:pPr>
          </w:p>
        </w:tc>
      </w:tr>
      <w:tr>
        <w:trPr>
          <w:trHeight w:val="90"/>
        </w:trPr>
        <w:tc>
          <w:tcPr>
            <w:tcW w:w="122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660" w:type="dxa"/>
            <w:vAlign w:val="bottom"/>
            <w:shd w:val="clear" w:color="auto" w:fill="CCEBF8"/>
          </w:tcPr>
          <w:p>
            <w:pPr>
              <w:spacing w:after="0"/>
              <w:rPr>
                <w:sz w:val="7"/>
                <w:szCs w:val="7"/>
                <w:color w:val="auto"/>
              </w:rPr>
            </w:pPr>
          </w:p>
        </w:tc>
        <w:tc>
          <w:tcPr>
            <w:tcW w:w="860" w:type="dxa"/>
            <w:vAlign w:val="bottom"/>
            <w:shd w:val="clear" w:color="auto" w:fill="CCEBF8"/>
          </w:tcPr>
          <w:p>
            <w:pPr>
              <w:spacing w:after="0"/>
              <w:rPr>
                <w:sz w:val="7"/>
                <w:szCs w:val="7"/>
                <w:color w:val="auto"/>
              </w:rPr>
            </w:pPr>
          </w:p>
        </w:tc>
        <w:tc>
          <w:tcPr>
            <w:tcW w:w="70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Equity</w:t>
            </w:r>
          </w:p>
        </w:tc>
        <w:tc>
          <w:tcPr>
            <w:tcW w:w="520" w:type="dxa"/>
            <w:vAlign w:val="bottom"/>
            <w:shd w:val="clear" w:color="auto" w:fill="CCEBF8"/>
          </w:tcPr>
          <w:p>
            <w:pPr>
              <w:spacing w:after="0"/>
              <w:rPr>
                <w:sz w:val="7"/>
                <w:szCs w:val="7"/>
                <w:color w:val="auto"/>
              </w:rPr>
            </w:pPr>
          </w:p>
        </w:tc>
        <w:tc>
          <w:tcPr>
            <w:tcW w:w="50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54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480" w:type="dxa"/>
            <w:vAlign w:val="bottom"/>
            <w:shd w:val="clear" w:color="auto" w:fill="CCEBF8"/>
          </w:tcPr>
          <w:p>
            <w:pPr>
              <w:spacing w:after="0"/>
              <w:rPr>
                <w:sz w:val="7"/>
                <w:szCs w:val="7"/>
                <w:color w:val="auto"/>
              </w:rPr>
            </w:pPr>
          </w:p>
        </w:tc>
        <w:tc>
          <w:tcPr>
            <w:tcW w:w="70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Plan Awards:</w:t>
            </w:r>
          </w:p>
        </w:tc>
        <w:tc>
          <w:tcPr>
            <w:tcW w:w="7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Awards:</w:t>
            </w:r>
          </w:p>
        </w:tc>
        <w:tc>
          <w:tcPr>
            <w:tcW w:w="0" w:type="dxa"/>
            <w:vAlign w:val="bottom"/>
          </w:tcPr>
          <w:p>
            <w:pPr>
              <w:spacing w:after="0"/>
              <w:rPr>
                <w:sz w:val="1"/>
                <w:szCs w:val="1"/>
                <w:color w:val="auto"/>
              </w:rPr>
            </w:pPr>
          </w:p>
        </w:tc>
      </w:tr>
      <w:tr>
        <w:trPr>
          <w:trHeight w:val="90"/>
        </w:trPr>
        <w:tc>
          <w:tcPr>
            <w:tcW w:w="122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660" w:type="dxa"/>
            <w:vAlign w:val="bottom"/>
            <w:shd w:val="clear" w:color="auto" w:fill="CCEBF8"/>
          </w:tcPr>
          <w:p>
            <w:pPr>
              <w:spacing w:after="0"/>
              <w:rPr>
                <w:sz w:val="7"/>
                <w:szCs w:val="7"/>
                <w:color w:val="auto"/>
              </w:rPr>
            </w:pPr>
          </w:p>
        </w:tc>
        <w:tc>
          <w:tcPr>
            <w:tcW w:w="860" w:type="dxa"/>
            <w:vAlign w:val="bottom"/>
            <w:shd w:val="clear" w:color="auto" w:fill="CCEBF8"/>
          </w:tcPr>
          <w:p>
            <w:pPr>
              <w:spacing w:after="0"/>
              <w:rPr>
                <w:sz w:val="7"/>
                <w:szCs w:val="7"/>
                <w:color w:val="auto"/>
              </w:rPr>
            </w:pPr>
          </w:p>
        </w:tc>
        <w:tc>
          <w:tcPr>
            <w:tcW w:w="70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Incentive</w:t>
            </w:r>
          </w:p>
        </w:tc>
        <w:tc>
          <w:tcPr>
            <w:tcW w:w="520" w:type="dxa"/>
            <w:vAlign w:val="bottom"/>
            <w:shd w:val="clear" w:color="auto" w:fill="CCEBF8"/>
          </w:tcPr>
          <w:p>
            <w:pPr>
              <w:spacing w:after="0"/>
              <w:rPr>
                <w:sz w:val="7"/>
                <w:szCs w:val="7"/>
                <w:color w:val="auto"/>
              </w:rPr>
            </w:pPr>
          </w:p>
        </w:tc>
        <w:tc>
          <w:tcPr>
            <w:tcW w:w="50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54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480" w:type="dxa"/>
            <w:vAlign w:val="bottom"/>
            <w:shd w:val="clear" w:color="auto" w:fill="CCEBF8"/>
          </w:tcPr>
          <w:p>
            <w:pPr>
              <w:spacing w:after="0"/>
              <w:rPr>
                <w:sz w:val="7"/>
                <w:szCs w:val="7"/>
                <w:color w:val="auto"/>
              </w:rPr>
            </w:pPr>
          </w:p>
        </w:tc>
        <w:tc>
          <w:tcPr>
            <w:tcW w:w="70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Number of</w:t>
            </w:r>
          </w:p>
        </w:tc>
        <w:tc>
          <w:tcPr>
            <w:tcW w:w="7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Market or</w:t>
            </w:r>
          </w:p>
        </w:tc>
        <w:tc>
          <w:tcPr>
            <w:tcW w:w="0" w:type="dxa"/>
            <w:vAlign w:val="bottom"/>
          </w:tcPr>
          <w:p>
            <w:pPr>
              <w:spacing w:after="0"/>
              <w:rPr>
                <w:sz w:val="1"/>
                <w:szCs w:val="1"/>
                <w:color w:val="auto"/>
              </w:rPr>
            </w:pPr>
          </w:p>
        </w:tc>
      </w:tr>
      <w:tr>
        <w:trPr>
          <w:trHeight w:val="90"/>
        </w:trPr>
        <w:tc>
          <w:tcPr>
            <w:tcW w:w="122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660" w:type="dxa"/>
            <w:vAlign w:val="bottom"/>
            <w:shd w:val="clear" w:color="auto" w:fill="CCEBF8"/>
          </w:tcPr>
          <w:p>
            <w:pPr>
              <w:spacing w:after="0"/>
              <w:rPr>
                <w:sz w:val="7"/>
                <w:szCs w:val="7"/>
                <w:color w:val="auto"/>
              </w:rPr>
            </w:pPr>
          </w:p>
        </w:tc>
        <w:tc>
          <w:tcPr>
            <w:tcW w:w="860" w:type="dxa"/>
            <w:vAlign w:val="bottom"/>
            <w:shd w:val="clear" w:color="auto" w:fill="CCEBF8"/>
          </w:tcPr>
          <w:p>
            <w:pPr>
              <w:spacing w:after="0"/>
              <w:rPr>
                <w:sz w:val="7"/>
                <w:szCs w:val="7"/>
                <w:color w:val="auto"/>
              </w:rPr>
            </w:pPr>
          </w:p>
        </w:tc>
        <w:tc>
          <w:tcPr>
            <w:tcW w:w="70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Plan Awards:</w:t>
            </w:r>
          </w:p>
        </w:tc>
        <w:tc>
          <w:tcPr>
            <w:tcW w:w="520" w:type="dxa"/>
            <w:vAlign w:val="bottom"/>
            <w:shd w:val="clear" w:color="auto" w:fill="CCEBF8"/>
          </w:tcPr>
          <w:p>
            <w:pPr>
              <w:spacing w:after="0"/>
              <w:rPr>
                <w:sz w:val="7"/>
                <w:szCs w:val="7"/>
                <w:color w:val="auto"/>
              </w:rPr>
            </w:pPr>
          </w:p>
        </w:tc>
        <w:tc>
          <w:tcPr>
            <w:tcW w:w="50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540" w:type="dxa"/>
            <w:vAlign w:val="bottom"/>
            <w:shd w:val="clear" w:color="auto" w:fill="CCEBF8"/>
          </w:tcPr>
          <w:p>
            <w:pPr>
              <w:jc w:val="center"/>
              <w:ind w:right="58"/>
              <w:spacing w:after="0" w:line="90" w:lineRule="exact"/>
              <w:rPr>
                <w:sz w:val="20"/>
                <w:szCs w:val="20"/>
                <w:color w:val="auto"/>
              </w:rPr>
            </w:pPr>
            <w:r>
              <w:rPr>
                <w:rFonts w:ascii="Arial" w:cs="Arial" w:eastAsia="Arial" w:hAnsi="Arial"/>
                <w:sz w:val="8"/>
                <w:szCs w:val="8"/>
                <w:b w:val="1"/>
                <w:bCs w:val="1"/>
                <w:color w:val="009BDE"/>
              </w:rPr>
              <w:t>Number</w:t>
            </w:r>
          </w:p>
        </w:tc>
        <w:tc>
          <w:tcPr>
            <w:tcW w:w="140" w:type="dxa"/>
            <w:vAlign w:val="bottom"/>
            <w:shd w:val="clear" w:color="auto" w:fill="CCEBF8"/>
          </w:tcPr>
          <w:p>
            <w:pPr>
              <w:spacing w:after="0"/>
              <w:rPr>
                <w:sz w:val="7"/>
                <w:szCs w:val="7"/>
                <w:color w:val="auto"/>
              </w:rPr>
            </w:pPr>
          </w:p>
        </w:tc>
        <w:tc>
          <w:tcPr>
            <w:tcW w:w="480" w:type="dxa"/>
            <w:vAlign w:val="bottom"/>
            <w:shd w:val="clear" w:color="auto" w:fill="CCEBF8"/>
          </w:tcPr>
          <w:p>
            <w:pPr>
              <w:jc w:val="center"/>
              <w:ind w:right="98"/>
              <w:spacing w:after="0" w:line="90" w:lineRule="exact"/>
              <w:rPr>
                <w:sz w:val="20"/>
                <w:szCs w:val="20"/>
                <w:color w:val="auto"/>
              </w:rPr>
            </w:pPr>
            <w:r>
              <w:rPr>
                <w:rFonts w:ascii="Arial" w:cs="Arial" w:eastAsia="Arial" w:hAnsi="Arial"/>
                <w:sz w:val="8"/>
                <w:szCs w:val="8"/>
                <w:b w:val="1"/>
                <w:bCs w:val="1"/>
                <w:color w:val="009BDE"/>
              </w:rPr>
              <w:t>Market</w:t>
            </w:r>
          </w:p>
        </w:tc>
        <w:tc>
          <w:tcPr>
            <w:tcW w:w="70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Unearned</w:t>
            </w:r>
          </w:p>
        </w:tc>
        <w:tc>
          <w:tcPr>
            <w:tcW w:w="7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Payout Value</w:t>
            </w:r>
          </w:p>
        </w:tc>
        <w:tc>
          <w:tcPr>
            <w:tcW w:w="0" w:type="dxa"/>
            <w:vAlign w:val="bottom"/>
          </w:tcPr>
          <w:p>
            <w:pPr>
              <w:spacing w:after="0"/>
              <w:rPr>
                <w:sz w:val="1"/>
                <w:szCs w:val="1"/>
                <w:color w:val="auto"/>
              </w:rPr>
            </w:pPr>
          </w:p>
        </w:tc>
      </w:tr>
      <w:tr>
        <w:trPr>
          <w:trHeight w:val="90"/>
        </w:trPr>
        <w:tc>
          <w:tcPr>
            <w:tcW w:w="122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660" w:type="dxa"/>
            <w:vAlign w:val="bottom"/>
            <w:shd w:val="clear" w:color="auto" w:fill="CCEBF8"/>
          </w:tcPr>
          <w:p>
            <w:pPr>
              <w:spacing w:after="0"/>
              <w:rPr>
                <w:sz w:val="7"/>
                <w:szCs w:val="7"/>
                <w:color w:val="auto"/>
              </w:rPr>
            </w:pPr>
          </w:p>
        </w:tc>
        <w:tc>
          <w:tcPr>
            <w:tcW w:w="860" w:type="dxa"/>
            <w:vAlign w:val="bottom"/>
            <w:shd w:val="clear" w:color="auto" w:fill="CCEBF8"/>
          </w:tcPr>
          <w:p>
            <w:pPr>
              <w:spacing w:after="0"/>
              <w:rPr>
                <w:sz w:val="7"/>
                <w:szCs w:val="7"/>
                <w:color w:val="auto"/>
              </w:rPr>
            </w:pPr>
          </w:p>
        </w:tc>
        <w:tc>
          <w:tcPr>
            <w:tcW w:w="70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Number of</w:t>
            </w:r>
          </w:p>
        </w:tc>
        <w:tc>
          <w:tcPr>
            <w:tcW w:w="520" w:type="dxa"/>
            <w:vAlign w:val="bottom"/>
            <w:shd w:val="clear" w:color="auto" w:fill="CCEBF8"/>
          </w:tcPr>
          <w:p>
            <w:pPr>
              <w:spacing w:after="0"/>
              <w:rPr>
                <w:sz w:val="7"/>
                <w:szCs w:val="7"/>
                <w:color w:val="auto"/>
              </w:rPr>
            </w:pPr>
          </w:p>
        </w:tc>
        <w:tc>
          <w:tcPr>
            <w:tcW w:w="50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540" w:type="dxa"/>
            <w:vAlign w:val="bottom"/>
            <w:shd w:val="clear" w:color="auto" w:fill="CCEBF8"/>
          </w:tcPr>
          <w:p>
            <w:pPr>
              <w:jc w:val="center"/>
              <w:ind w:right="58"/>
              <w:spacing w:after="0" w:line="90" w:lineRule="exact"/>
              <w:rPr>
                <w:sz w:val="20"/>
                <w:szCs w:val="20"/>
                <w:color w:val="auto"/>
              </w:rPr>
            </w:pPr>
            <w:r>
              <w:rPr>
                <w:rFonts w:ascii="Arial" w:cs="Arial" w:eastAsia="Arial" w:hAnsi="Arial"/>
                <w:sz w:val="8"/>
                <w:szCs w:val="8"/>
                <w:b w:val="1"/>
                <w:bCs w:val="1"/>
                <w:color w:val="009BDE"/>
              </w:rPr>
              <w:t>of Shares</w:t>
            </w:r>
          </w:p>
        </w:tc>
        <w:tc>
          <w:tcPr>
            <w:tcW w:w="140" w:type="dxa"/>
            <w:vAlign w:val="bottom"/>
            <w:shd w:val="clear" w:color="auto" w:fill="CCEBF8"/>
          </w:tcPr>
          <w:p>
            <w:pPr>
              <w:spacing w:after="0"/>
              <w:rPr>
                <w:sz w:val="7"/>
                <w:szCs w:val="7"/>
                <w:color w:val="auto"/>
              </w:rPr>
            </w:pPr>
          </w:p>
        </w:tc>
        <w:tc>
          <w:tcPr>
            <w:tcW w:w="480" w:type="dxa"/>
            <w:vAlign w:val="bottom"/>
            <w:shd w:val="clear" w:color="auto" w:fill="CCEBF8"/>
          </w:tcPr>
          <w:p>
            <w:pPr>
              <w:jc w:val="center"/>
              <w:ind w:right="118"/>
              <w:spacing w:after="0" w:line="90" w:lineRule="exact"/>
              <w:rPr>
                <w:sz w:val="20"/>
                <w:szCs w:val="20"/>
                <w:color w:val="auto"/>
              </w:rPr>
            </w:pPr>
            <w:r>
              <w:rPr>
                <w:rFonts w:ascii="Arial" w:cs="Arial" w:eastAsia="Arial" w:hAnsi="Arial"/>
                <w:sz w:val="8"/>
                <w:szCs w:val="8"/>
                <w:b w:val="1"/>
                <w:bCs w:val="1"/>
                <w:color w:val="009BDE"/>
              </w:rPr>
              <w:t>Value of</w:t>
            </w:r>
          </w:p>
        </w:tc>
        <w:tc>
          <w:tcPr>
            <w:tcW w:w="70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Shares,</w:t>
            </w:r>
          </w:p>
        </w:tc>
        <w:tc>
          <w:tcPr>
            <w:tcW w:w="7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of Unearned</w:t>
            </w:r>
          </w:p>
        </w:tc>
        <w:tc>
          <w:tcPr>
            <w:tcW w:w="0" w:type="dxa"/>
            <w:vAlign w:val="bottom"/>
          </w:tcPr>
          <w:p>
            <w:pPr>
              <w:spacing w:after="0"/>
              <w:rPr>
                <w:sz w:val="1"/>
                <w:szCs w:val="1"/>
                <w:color w:val="auto"/>
              </w:rPr>
            </w:pPr>
          </w:p>
        </w:tc>
      </w:tr>
      <w:tr>
        <w:trPr>
          <w:trHeight w:val="90"/>
        </w:trPr>
        <w:tc>
          <w:tcPr>
            <w:tcW w:w="122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660" w:type="dxa"/>
            <w:vAlign w:val="bottom"/>
            <w:shd w:val="clear" w:color="auto" w:fill="CCEBF8"/>
          </w:tcPr>
          <w:p>
            <w:pPr>
              <w:jc w:val="center"/>
              <w:ind w:right="38"/>
              <w:spacing w:after="0" w:line="90" w:lineRule="exact"/>
              <w:rPr>
                <w:sz w:val="20"/>
                <w:szCs w:val="20"/>
                <w:color w:val="auto"/>
              </w:rPr>
            </w:pPr>
            <w:r>
              <w:rPr>
                <w:rFonts w:ascii="Arial" w:cs="Arial" w:eastAsia="Arial" w:hAnsi="Arial"/>
                <w:sz w:val="8"/>
                <w:szCs w:val="8"/>
                <w:b w:val="1"/>
                <w:bCs w:val="1"/>
                <w:color w:val="009BDE"/>
              </w:rPr>
              <w:t>Number of</w:t>
            </w:r>
          </w:p>
        </w:tc>
        <w:tc>
          <w:tcPr>
            <w:tcW w:w="8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Number of</w:t>
            </w:r>
          </w:p>
        </w:tc>
        <w:tc>
          <w:tcPr>
            <w:tcW w:w="70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Securities</w:t>
            </w:r>
          </w:p>
        </w:tc>
        <w:tc>
          <w:tcPr>
            <w:tcW w:w="520" w:type="dxa"/>
            <w:vAlign w:val="bottom"/>
            <w:shd w:val="clear" w:color="auto" w:fill="CCEBF8"/>
          </w:tcPr>
          <w:p>
            <w:pPr>
              <w:spacing w:after="0"/>
              <w:rPr>
                <w:sz w:val="7"/>
                <w:szCs w:val="7"/>
                <w:color w:val="auto"/>
              </w:rPr>
            </w:pPr>
          </w:p>
        </w:tc>
        <w:tc>
          <w:tcPr>
            <w:tcW w:w="50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540" w:type="dxa"/>
            <w:vAlign w:val="bottom"/>
            <w:shd w:val="clear" w:color="auto" w:fill="CCEBF8"/>
          </w:tcPr>
          <w:p>
            <w:pPr>
              <w:jc w:val="center"/>
              <w:ind w:right="58"/>
              <w:spacing w:after="0" w:line="90" w:lineRule="exact"/>
              <w:rPr>
                <w:sz w:val="20"/>
                <w:szCs w:val="20"/>
                <w:color w:val="auto"/>
              </w:rPr>
            </w:pPr>
            <w:r>
              <w:rPr>
                <w:rFonts w:ascii="Arial" w:cs="Arial" w:eastAsia="Arial" w:hAnsi="Arial"/>
                <w:sz w:val="8"/>
                <w:szCs w:val="8"/>
                <w:b w:val="1"/>
                <w:bCs w:val="1"/>
                <w:color w:val="009BDE"/>
              </w:rPr>
              <w:t>or Units</w:t>
            </w:r>
          </w:p>
        </w:tc>
        <w:tc>
          <w:tcPr>
            <w:tcW w:w="62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Shares or</w:t>
            </w:r>
          </w:p>
        </w:tc>
        <w:tc>
          <w:tcPr>
            <w:tcW w:w="70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Units, or</w:t>
            </w:r>
          </w:p>
        </w:tc>
        <w:tc>
          <w:tcPr>
            <w:tcW w:w="7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Shares, Units</w:t>
            </w:r>
          </w:p>
        </w:tc>
        <w:tc>
          <w:tcPr>
            <w:tcW w:w="0" w:type="dxa"/>
            <w:vAlign w:val="bottom"/>
          </w:tcPr>
          <w:p>
            <w:pPr>
              <w:spacing w:after="0"/>
              <w:rPr>
                <w:sz w:val="1"/>
                <w:szCs w:val="1"/>
                <w:color w:val="auto"/>
              </w:rPr>
            </w:pPr>
          </w:p>
        </w:tc>
      </w:tr>
      <w:tr>
        <w:trPr>
          <w:trHeight w:val="90"/>
        </w:trPr>
        <w:tc>
          <w:tcPr>
            <w:tcW w:w="122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660" w:type="dxa"/>
            <w:vAlign w:val="bottom"/>
            <w:shd w:val="clear" w:color="auto" w:fill="CCEBF8"/>
          </w:tcPr>
          <w:p>
            <w:pPr>
              <w:jc w:val="center"/>
              <w:ind w:right="18"/>
              <w:spacing w:after="0" w:line="90" w:lineRule="exact"/>
              <w:rPr>
                <w:sz w:val="20"/>
                <w:szCs w:val="20"/>
                <w:color w:val="auto"/>
              </w:rPr>
            </w:pPr>
            <w:r>
              <w:rPr>
                <w:rFonts w:ascii="Arial" w:cs="Arial" w:eastAsia="Arial" w:hAnsi="Arial"/>
                <w:sz w:val="8"/>
                <w:szCs w:val="8"/>
                <w:b w:val="1"/>
                <w:bCs w:val="1"/>
                <w:color w:val="009BDE"/>
              </w:rPr>
              <w:t>Securities</w:t>
            </w:r>
          </w:p>
        </w:tc>
        <w:tc>
          <w:tcPr>
            <w:tcW w:w="8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Securities</w:t>
            </w:r>
          </w:p>
        </w:tc>
        <w:tc>
          <w:tcPr>
            <w:tcW w:w="70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Underlying</w:t>
            </w:r>
          </w:p>
        </w:tc>
        <w:tc>
          <w:tcPr>
            <w:tcW w:w="520" w:type="dxa"/>
            <w:vAlign w:val="bottom"/>
            <w:shd w:val="clear" w:color="auto" w:fill="CCEBF8"/>
          </w:tcPr>
          <w:p>
            <w:pPr>
              <w:spacing w:after="0"/>
              <w:rPr>
                <w:sz w:val="7"/>
                <w:szCs w:val="7"/>
                <w:color w:val="auto"/>
              </w:rPr>
            </w:pPr>
          </w:p>
        </w:tc>
        <w:tc>
          <w:tcPr>
            <w:tcW w:w="50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540" w:type="dxa"/>
            <w:vAlign w:val="bottom"/>
            <w:shd w:val="clear" w:color="auto" w:fill="CCEBF8"/>
          </w:tcPr>
          <w:p>
            <w:pPr>
              <w:jc w:val="center"/>
              <w:ind w:right="58"/>
              <w:spacing w:after="0" w:line="90" w:lineRule="exact"/>
              <w:rPr>
                <w:sz w:val="20"/>
                <w:szCs w:val="20"/>
                <w:color w:val="auto"/>
              </w:rPr>
            </w:pPr>
            <w:r>
              <w:rPr>
                <w:rFonts w:ascii="Arial" w:cs="Arial" w:eastAsia="Arial" w:hAnsi="Arial"/>
                <w:sz w:val="8"/>
                <w:szCs w:val="8"/>
                <w:b w:val="1"/>
                <w:bCs w:val="1"/>
                <w:color w:val="009BDE"/>
              </w:rPr>
              <w:t>of Stock</w:t>
            </w:r>
          </w:p>
        </w:tc>
        <w:tc>
          <w:tcPr>
            <w:tcW w:w="140" w:type="dxa"/>
            <w:vAlign w:val="bottom"/>
            <w:shd w:val="clear" w:color="auto" w:fill="CCEBF8"/>
          </w:tcPr>
          <w:p>
            <w:pPr>
              <w:spacing w:after="0"/>
              <w:rPr>
                <w:sz w:val="7"/>
                <w:szCs w:val="7"/>
                <w:color w:val="auto"/>
              </w:rPr>
            </w:pPr>
          </w:p>
        </w:tc>
        <w:tc>
          <w:tcPr>
            <w:tcW w:w="480" w:type="dxa"/>
            <w:vAlign w:val="bottom"/>
            <w:shd w:val="clear" w:color="auto" w:fill="CCEBF8"/>
          </w:tcPr>
          <w:p>
            <w:pPr>
              <w:jc w:val="center"/>
              <w:ind w:right="118"/>
              <w:spacing w:after="0" w:line="90" w:lineRule="exact"/>
              <w:rPr>
                <w:sz w:val="20"/>
                <w:szCs w:val="20"/>
                <w:color w:val="auto"/>
              </w:rPr>
            </w:pPr>
            <w:r>
              <w:rPr>
                <w:rFonts w:ascii="Arial" w:cs="Arial" w:eastAsia="Arial" w:hAnsi="Arial"/>
                <w:sz w:val="8"/>
                <w:szCs w:val="8"/>
                <w:b w:val="1"/>
                <w:bCs w:val="1"/>
                <w:color w:val="009BDE"/>
              </w:rPr>
              <w:t>Units of</w:t>
            </w:r>
          </w:p>
        </w:tc>
        <w:tc>
          <w:tcPr>
            <w:tcW w:w="70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Other Rights</w:t>
            </w:r>
          </w:p>
        </w:tc>
        <w:tc>
          <w:tcPr>
            <w:tcW w:w="7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or Other</w:t>
            </w:r>
          </w:p>
        </w:tc>
        <w:tc>
          <w:tcPr>
            <w:tcW w:w="0" w:type="dxa"/>
            <w:vAlign w:val="bottom"/>
          </w:tcPr>
          <w:p>
            <w:pPr>
              <w:spacing w:after="0"/>
              <w:rPr>
                <w:sz w:val="1"/>
                <w:szCs w:val="1"/>
                <w:color w:val="auto"/>
              </w:rPr>
            </w:pPr>
          </w:p>
        </w:tc>
      </w:tr>
      <w:tr>
        <w:trPr>
          <w:trHeight w:val="90"/>
        </w:trPr>
        <w:tc>
          <w:tcPr>
            <w:tcW w:w="122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660" w:type="dxa"/>
            <w:vAlign w:val="bottom"/>
            <w:shd w:val="clear" w:color="auto" w:fill="CCEBF8"/>
          </w:tcPr>
          <w:p>
            <w:pPr>
              <w:jc w:val="center"/>
              <w:ind w:right="18"/>
              <w:spacing w:after="0" w:line="90" w:lineRule="exact"/>
              <w:rPr>
                <w:sz w:val="20"/>
                <w:szCs w:val="20"/>
                <w:color w:val="auto"/>
              </w:rPr>
            </w:pPr>
            <w:r>
              <w:rPr>
                <w:rFonts w:ascii="Arial" w:cs="Arial" w:eastAsia="Arial" w:hAnsi="Arial"/>
                <w:sz w:val="8"/>
                <w:szCs w:val="8"/>
                <w:b w:val="1"/>
                <w:bCs w:val="1"/>
                <w:color w:val="009BDE"/>
              </w:rPr>
              <w:t>Underlying</w:t>
            </w:r>
          </w:p>
        </w:tc>
        <w:tc>
          <w:tcPr>
            <w:tcW w:w="8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Underlying</w:t>
            </w:r>
          </w:p>
        </w:tc>
        <w:tc>
          <w:tcPr>
            <w:tcW w:w="70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Unexercised</w:t>
            </w:r>
          </w:p>
        </w:tc>
        <w:tc>
          <w:tcPr>
            <w:tcW w:w="52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Option</w:t>
            </w:r>
          </w:p>
        </w:tc>
        <w:tc>
          <w:tcPr>
            <w:tcW w:w="50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540" w:type="dxa"/>
            <w:vAlign w:val="bottom"/>
            <w:shd w:val="clear" w:color="auto" w:fill="CCEBF8"/>
          </w:tcPr>
          <w:p>
            <w:pPr>
              <w:jc w:val="center"/>
              <w:ind w:right="58"/>
              <w:spacing w:after="0" w:line="90" w:lineRule="exact"/>
              <w:rPr>
                <w:sz w:val="20"/>
                <w:szCs w:val="20"/>
                <w:color w:val="auto"/>
              </w:rPr>
            </w:pPr>
            <w:r>
              <w:rPr>
                <w:rFonts w:ascii="Arial" w:cs="Arial" w:eastAsia="Arial" w:hAnsi="Arial"/>
                <w:sz w:val="8"/>
                <w:szCs w:val="8"/>
                <w:b w:val="1"/>
                <w:bCs w:val="1"/>
                <w:color w:val="009BDE"/>
                <w:w w:val="94"/>
              </w:rPr>
              <w:t>That</w:t>
            </w:r>
          </w:p>
        </w:tc>
        <w:tc>
          <w:tcPr>
            <w:tcW w:w="620" w:type="dxa"/>
            <w:vAlign w:val="bottom"/>
            <w:gridSpan w:val="2"/>
            <w:shd w:val="clear" w:color="auto" w:fill="CCEBF8"/>
          </w:tcPr>
          <w:p>
            <w:pPr>
              <w:ind w:left="100"/>
              <w:spacing w:after="0" w:line="90" w:lineRule="exact"/>
              <w:rPr>
                <w:sz w:val="20"/>
                <w:szCs w:val="20"/>
                <w:color w:val="auto"/>
              </w:rPr>
            </w:pPr>
            <w:r>
              <w:rPr>
                <w:rFonts w:ascii="Arial" w:cs="Arial" w:eastAsia="Arial" w:hAnsi="Arial"/>
                <w:sz w:val="8"/>
                <w:szCs w:val="8"/>
                <w:b w:val="1"/>
                <w:bCs w:val="1"/>
                <w:color w:val="009BDE"/>
              </w:rPr>
              <w:t>Stock That</w:t>
            </w:r>
          </w:p>
        </w:tc>
        <w:tc>
          <w:tcPr>
            <w:tcW w:w="70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That Have</w:t>
            </w:r>
          </w:p>
        </w:tc>
        <w:tc>
          <w:tcPr>
            <w:tcW w:w="7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Rights That</w:t>
            </w:r>
          </w:p>
        </w:tc>
        <w:tc>
          <w:tcPr>
            <w:tcW w:w="0" w:type="dxa"/>
            <w:vAlign w:val="bottom"/>
          </w:tcPr>
          <w:p>
            <w:pPr>
              <w:spacing w:after="0"/>
              <w:rPr>
                <w:sz w:val="1"/>
                <w:szCs w:val="1"/>
                <w:color w:val="auto"/>
              </w:rPr>
            </w:pPr>
          </w:p>
        </w:tc>
      </w:tr>
      <w:tr>
        <w:trPr>
          <w:trHeight w:val="95"/>
        </w:trPr>
        <w:tc>
          <w:tcPr>
            <w:tcW w:w="1220" w:type="dxa"/>
            <w:vAlign w:val="bottom"/>
            <w:shd w:val="clear" w:color="auto" w:fill="CCEBF8"/>
          </w:tcPr>
          <w:p>
            <w:pPr>
              <w:spacing w:after="0"/>
              <w:rPr>
                <w:sz w:val="8"/>
                <w:szCs w:val="8"/>
                <w:color w:val="auto"/>
              </w:rPr>
            </w:pPr>
          </w:p>
        </w:tc>
        <w:tc>
          <w:tcPr>
            <w:tcW w:w="160" w:type="dxa"/>
            <w:vAlign w:val="bottom"/>
            <w:shd w:val="clear" w:color="auto" w:fill="CCEBF8"/>
          </w:tcPr>
          <w:p>
            <w:pPr>
              <w:spacing w:after="0"/>
              <w:rPr>
                <w:sz w:val="8"/>
                <w:szCs w:val="8"/>
                <w:color w:val="auto"/>
              </w:rPr>
            </w:pPr>
          </w:p>
        </w:tc>
        <w:tc>
          <w:tcPr>
            <w:tcW w:w="660" w:type="dxa"/>
            <w:vAlign w:val="bottom"/>
            <w:shd w:val="clear" w:color="auto" w:fill="CCEBF8"/>
          </w:tcPr>
          <w:p>
            <w:pPr>
              <w:jc w:val="center"/>
              <w:ind w:right="38"/>
              <w:spacing w:after="0"/>
              <w:rPr>
                <w:sz w:val="20"/>
                <w:szCs w:val="20"/>
                <w:color w:val="auto"/>
              </w:rPr>
            </w:pPr>
            <w:r>
              <w:rPr>
                <w:rFonts w:ascii="Arial" w:cs="Arial" w:eastAsia="Arial" w:hAnsi="Arial"/>
                <w:sz w:val="8"/>
                <w:szCs w:val="8"/>
                <w:b w:val="1"/>
                <w:bCs w:val="1"/>
                <w:color w:val="009BDE"/>
              </w:rPr>
              <w:t>Unexercised</w:t>
            </w:r>
          </w:p>
        </w:tc>
        <w:tc>
          <w:tcPr>
            <w:tcW w:w="860" w:type="dxa"/>
            <w:vAlign w:val="bottom"/>
            <w:shd w:val="clear" w:color="auto" w:fill="CCEBF8"/>
          </w:tcPr>
          <w:p>
            <w:pPr>
              <w:jc w:val="center"/>
              <w:spacing w:after="0"/>
              <w:rPr>
                <w:sz w:val="20"/>
                <w:szCs w:val="20"/>
                <w:color w:val="auto"/>
              </w:rPr>
            </w:pPr>
            <w:r>
              <w:rPr>
                <w:rFonts w:ascii="Arial" w:cs="Arial" w:eastAsia="Arial" w:hAnsi="Arial"/>
                <w:sz w:val="8"/>
                <w:szCs w:val="8"/>
                <w:b w:val="1"/>
                <w:bCs w:val="1"/>
                <w:color w:val="009BDE"/>
              </w:rPr>
              <w:t>Unexercised</w:t>
            </w:r>
          </w:p>
        </w:tc>
        <w:tc>
          <w:tcPr>
            <w:tcW w:w="700" w:type="dxa"/>
            <w:vAlign w:val="bottom"/>
            <w:shd w:val="clear" w:color="auto" w:fill="CCEBF8"/>
          </w:tcPr>
          <w:p>
            <w:pPr>
              <w:jc w:val="center"/>
              <w:spacing w:after="0"/>
              <w:rPr>
                <w:sz w:val="20"/>
                <w:szCs w:val="20"/>
                <w:color w:val="auto"/>
              </w:rPr>
            </w:pPr>
            <w:r>
              <w:rPr>
                <w:rFonts w:ascii="Arial" w:cs="Arial" w:eastAsia="Arial" w:hAnsi="Arial"/>
                <w:sz w:val="8"/>
                <w:szCs w:val="8"/>
                <w:b w:val="1"/>
                <w:bCs w:val="1"/>
                <w:color w:val="009BDE"/>
              </w:rPr>
              <w:t>Unearned</w:t>
            </w:r>
          </w:p>
        </w:tc>
        <w:tc>
          <w:tcPr>
            <w:tcW w:w="520" w:type="dxa"/>
            <w:vAlign w:val="bottom"/>
            <w:shd w:val="clear" w:color="auto" w:fill="CCEBF8"/>
          </w:tcPr>
          <w:p>
            <w:pPr>
              <w:jc w:val="right"/>
              <w:ind w:right="58"/>
              <w:spacing w:after="0"/>
              <w:rPr>
                <w:sz w:val="20"/>
                <w:szCs w:val="20"/>
                <w:color w:val="auto"/>
              </w:rPr>
            </w:pPr>
            <w:r>
              <w:rPr>
                <w:rFonts w:ascii="Arial" w:cs="Arial" w:eastAsia="Arial" w:hAnsi="Arial"/>
                <w:sz w:val="8"/>
                <w:szCs w:val="8"/>
                <w:b w:val="1"/>
                <w:bCs w:val="1"/>
                <w:color w:val="009BDE"/>
              </w:rPr>
              <w:t>Exercise</w:t>
            </w:r>
          </w:p>
        </w:tc>
        <w:tc>
          <w:tcPr>
            <w:tcW w:w="660" w:type="dxa"/>
            <w:vAlign w:val="bottom"/>
            <w:gridSpan w:val="2"/>
            <w:shd w:val="clear" w:color="auto" w:fill="CCEBF8"/>
          </w:tcPr>
          <w:p>
            <w:pPr>
              <w:jc w:val="center"/>
              <w:ind w:right="100"/>
              <w:spacing w:after="0"/>
              <w:rPr>
                <w:sz w:val="20"/>
                <w:szCs w:val="20"/>
                <w:color w:val="auto"/>
              </w:rPr>
            </w:pPr>
            <w:r>
              <w:rPr>
                <w:rFonts w:ascii="Arial" w:cs="Arial" w:eastAsia="Arial" w:hAnsi="Arial"/>
                <w:sz w:val="8"/>
                <w:szCs w:val="8"/>
                <w:b w:val="1"/>
                <w:bCs w:val="1"/>
                <w:color w:val="009BDE"/>
              </w:rPr>
              <w:t>Option</w:t>
            </w:r>
          </w:p>
        </w:tc>
        <w:tc>
          <w:tcPr>
            <w:tcW w:w="540" w:type="dxa"/>
            <w:vAlign w:val="bottom"/>
            <w:shd w:val="clear" w:color="auto" w:fill="CCEBF8"/>
          </w:tcPr>
          <w:p>
            <w:pPr>
              <w:jc w:val="center"/>
              <w:ind w:right="58"/>
              <w:spacing w:after="0"/>
              <w:rPr>
                <w:sz w:val="20"/>
                <w:szCs w:val="20"/>
                <w:color w:val="auto"/>
              </w:rPr>
            </w:pPr>
            <w:r>
              <w:rPr>
                <w:rFonts w:ascii="Arial" w:cs="Arial" w:eastAsia="Arial" w:hAnsi="Arial"/>
                <w:sz w:val="8"/>
                <w:szCs w:val="8"/>
                <w:b w:val="1"/>
                <w:bCs w:val="1"/>
                <w:color w:val="009BDE"/>
              </w:rPr>
              <w:t>Have Not</w:t>
            </w:r>
          </w:p>
        </w:tc>
        <w:tc>
          <w:tcPr>
            <w:tcW w:w="620" w:type="dxa"/>
            <w:vAlign w:val="bottom"/>
            <w:gridSpan w:val="2"/>
            <w:shd w:val="clear" w:color="auto" w:fill="CCEBF8"/>
          </w:tcPr>
          <w:p>
            <w:pPr>
              <w:jc w:val="center"/>
              <w:spacing w:after="0"/>
              <w:rPr>
                <w:sz w:val="20"/>
                <w:szCs w:val="20"/>
                <w:color w:val="auto"/>
              </w:rPr>
            </w:pPr>
            <w:r>
              <w:rPr>
                <w:rFonts w:ascii="Arial" w:cs="Arial" w:eastAsia="Arial" w:hAnsi="Arial"/>
                <w:sz w:val="8"/>
                <w:szCs w:val="8"/>
                <w:b w:val="1"/>
                <w:bCs w:val="1"/>
                <w:color w:val="009BDE"/>
              </w:rPr>
              <w:t>Have Not</w:t>
            </w:r>
          </w:p>
        </w:tc>
        <w:tc>
          <w:tcPr>
            <w:tcW w:w="700" w:type="dxa"/>
            <w:vAlign w:val="bottom"/>
            <w:shd w:val="clear" w:color="auto" w:fill="CCEBF8"/>
          </w:tcPr>
          <w:p>
            <w:pPr>
              <w:jc w:val="center"/>
              <w:spacing w:after="0"/>
              <w:rPr>
                <w:sz w:val="20"/>
                <w:szCs w:val="20"/>
                <w:color w:val="auto"/>
              </w:rPr>
            </w:pPr>
            <w:r>
              <w:rPr>
                <w:rFonts w:ascii="Arial" w:cs="Arial" w:eastAsia="Arial" w:hAnsi="Arial"/>
                <w:sz w:val="8"/>
                <w:szCs w:val="8"/>
                <w:b w:val="1"/>
                <w:bCs w:val="1"/>
                <w:color w:val="009BDE"/>
              </w:rPr>
              <w:t>Not</w:t>
            </w:r>
          </w:p>
        </w:tc>
        <w:tc>
          <w:tcPr>
            <w:tcW w:w="700" w:type="dxa"/>
            <w:vAlign w:val="bottom"/>
            <w:gridSpan w:val="2"/>
            <w:shd w:val="clear" w:color="auto" w:fill="CCEBF8"/>
          </w:tcPr>
          <w:p>
            <w:pPr>
              <w:jc w:val="center"/>
              <w:spacing w:after="0"/>
              <w:rPr>
                <w:sz w:val="20"/>
                <w:szCs w:val="20"/>
                <w:color w:val="auto"/>
              </w:rPr>
            </w:pPr>
            <w:r>
              <w:rPr>
                <w:rFonts w:ascii="Arial" w:cs="Arial" w:eastAsia="Arial" w:hAnsi="Arial"/>
                <w:sz w:val="8"/>
                <w:szCs w:val="8"/>
                <w:b w:val="1"/>
                <w:bCs w:val="1"/>
                <w:color w:val="009BDE"/>
              </w:rPr>
              <w:t>Have Not</w:t>
            </w:r>
          </w:p>
        </w:tc>
        <w:tc>
          <w:tcPr>
            <w:tcW w:w="0" w:type="dxa"/>
            <w:vAlign w:val="bottom"/>
          </w:tcPr>
          <w:p>
            <w:pPr>
              <w:spacing w:after="0"/>
              <w:rPr>
                <w:sz w:val="1"/>
                <w:szCs w:val="1"/>
                <w:color w:val="auto"/>
              </w:rPr>
            </w:pPr>
          </w:p>
        </w:tc>
      </w:tr>
      <w:tr>
        <w:trPr>
          <w:trHeight w:val="90"/>
        </w:trPr>
        <w:tc>
          <w:tcPr>
            <w:tcW w:w="122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660" w:type="dxa"/>
            <w:vAlign w:val="bottom"/>
            <w:shd w:val="clear" w:color="auto" w:fill="CCEBF8"/>
          </w:tcPr>
          <w:p>
            <w:pPr>
              <w:jc w:val="center"/>
              <w:ind w:right="18"/>
              <w:spacing w:after="0" w:line="90" w:lineRule="exact"/>
              <w:rPr>
                <w:sz w:val="20"/>
                <w:szCs w:val="20"/>
                <w:color w:val="auto"/>
              </w:rPr>
            </w:pPr>
            <w:r>
              <w:rPr>
                <w:rFonts w:ascii="Arial" w:cs="Arial" w:eastAsia="Arial" w:hAnsi="Arial"/>
                <w:sz w:val="8"/>
                <w:szCs w:val="8"/>
                <w:b w:val="1"/>
                <w:bCs w:val="1"/>
                <w:color w:val="009BDE"/>
              </w:rPr>
              <w:t>Options</w:t>
            </w:r>
          </w:p>
        </w:tc>
        <w:tc>
          <w:tcPr>
            <w:tcW w:w="86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Options</w:t>
            </w:r>
          </w:p>
        </w:tc>
        <w:tc>
          <w:tcPr>
            <w:tcW w:w="70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Options</w:t>
            </w:r>
          </w:p>
        </w:tc>
        <w:tc>
          <w:tcPr>
            <w:tcW w:w="52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Price</w:t>
            </w:r>
          </w:p>
        </w:tc>
        <w:tc>
          <w:tcPr>
            <w:tcW w:w="660" w:type="dxa"/>
            <w:vAlign w:val="bottom"/>
            <w:gridSpan w:val="2"/>
            <w:shd w:val="clear" w:color="auto" w:fill="CCEBF8"/>
          </w:tcPr>
          <w:p>
            <w:pPr>
              <w:jc w:val="center"/>
              <w:ind w:right="100"/>
              <w:spacing w:after="0" w:line="90" w:lineRule="exact"/>
              <w:rPr>
                <w:sz w:val="20"/>
                <w:szCs w:val="20"/>
                <w:color w:val="auto"/>
              </w:rPr>
            </w:pPr>
            <w:r>
              <w:rPr>
                <w:rFonts w:ascii="Arial" w:cs="Arial" w:eastAsia="Arial" w:hAnsi="Arial"/>
                <w:sz w:val="8"/>
                <w:szCs w:val="8"/>
                <w:b w:val="1"/>
                <w:bCs w:val="1"/>
                <w:color w:val="009BDE"/>
              </w:rPr>
              <w:t>Expiration</w:t>
            </w:r>
          </w:p>
        </w:tc>
        <w:tc>
          <w:tcPr>
            <w:tcW w:w="540" w:type="dxa"/>
            <w:vAlign w:val="bottom"/>
            <w:shd w:val="clear" w:color="auto" w:fill="CCEBF8"/>
          </w:tcPr>
          <w:p>
            <w:pPr>
              <w:jc w:val="center"/>
              <w:ind w:right="58"/>
              <w:spacing w:after="0" w:line="90" w:lineRule="exact"/>
              <w:rPr>
                <w:sz w:val="20"/>
                <w:szCs w:val="20"/>
                <w:color w:val="auto"/>
              </w:rPr>
            </w:pPr>
            <w:r>
              <w:rPr>
                <w:rFonts w:ascii="Arial" w:cs="Arial" w:eastAsia="Arial" w:hAnsi="Arial"/>
                <w:sz w:val="8"/>
                <w:szCs w:val="8"/>
                <w:b w:val="1"/>
                <w:bCs w:val="1"/>
                <w:color w:val="009BDE"/>
              </w:rPr>
              <w:t>Vested</w:t>
            </w:r>
          </w:p>
        </w:tc>
        <w:tc>
          <w:tcPr>
            <w:tcW w:w="140" w:type="dxa"/>
            <w:vAlign w:val="bottom"/>
            <w:shd w:val="clear" w:color="auto" w:fill="CCEBF8"/>
          </w:tcPr>
          <w:p>
            <w:pPr>
              <w:spacing w:after="0"/>
              <w:rPr>
                <w:sz w:val="7"/>
                <w:szCs w:val="7"/>
                <w:color w:val="auto"/>
              </w:rPr>
            </w:pPr>
          </w:p>
        </w:tc>
        <w:tc>
          <w:tcPr>
            <w:tcW w:w="480" w:type="dxa"/>
            <w:vAlign w:val="bottom"/>
            <w:shd w:val="clear" w:color="auto" w:fill="CCEBF8"/>
          </w:tcPr>
          <w:p>
            <w:pPr>
              <w:jc w:val="center"/>
              <w:ind w:right="98"/>
              <w:spacing w:after="0" w:line="90" w:lineRule="exact"/>
              <w:rPr>
                <w:sz w:val="20"/>
                <w:szCs w:val="20"/>
                <w:color w:val="auto"/>
              </w:rPr>
            </w:pPr>
            <w:r>
              <w:rPr>
                <w:rFonts w:ascii="Arial" w:cs="Arial" w:eastAsia="Arial" w:hAnsi="Arial"/>
                <w:sz w:val="8"/>
                <w:szCs w:val="8"/>
                <w:b w:val="1"/>
                <w:bCs w:val="1"/>
                <w:color w:val="009BDE"/>
                <w:w w:val="98"/>
              </w:rPr>
              <w:t>Vested</w:t>
            </w:r>
          </w:p>
        </w:tc>
        <w:tc>
          <w:tcPr>
            <w:tcW w:w="700" w:type="dxa"/>
            <w:vAlign w:val="bottom"/>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rPr>
              <w:t>Vested</w:t>
            </w:r>
          </w:p>
        </w:tc>
        <w:tc>
          <w:tcPr>
            <w:tcW w:w="700" w:type="dxa"/>
            <w:vAlign w:val="bottom"/>
            <w:gridSpan w:val="2"/>
            <w:shd w:val="clear" w:color="auto" w:fill="CCEBF8"/>
          </w:tcPr>
          <w:p>
            <w:pPr>
              <w:jc w:val="center"/>
              <w:spacing w:after="0" w:line="90" w:lineRule="exact"/>
              <w:rPr>
                <w:sz w:val="20"/>
                <w:szCs w:val="20"/>
                <w:color w:val="auto"/>
              </w:rPr>
            </w:pPr>
            <w:r>
              <w:rPr>
                <w:rFonts w:ascii="Arial" w:cs="Arial" w:eastAsia="Arial" w:hAnsi="Arial"/>
                <w:sz w:val="8"/>
                <w:szCs w:val="8"/>
                <w:b w:val="1"/>
                <w:bCs w:val="1"/>
                <w:color w:val="009BDE"/>
                <w:w w:val="98"/>
              </w:rPr>
              <w:t>Vested</w:t>
            </w:r>
          </w:p>
        </w:tc>
        <w:tc>
          <w:tcPr>
            <w:tcW w:w="0" w:type="dxa"/>
            <w:vAlign w:val="bottom"/>
          </w:tcPr>
          <w:p>
            <w:pPr>
              <w:spacing w:after="0"/>
              <w:rPr>
                <w:sz w:val="1"/>
                <w:szCs w:val="1"/>
                <w:color w:val="auto"/>
              </w:rPr>
            </w:pPr>
          </w:p>
        </w:tc>
      </w:tr>
      <w:tr>
        <w:trPr>
          <w:trHeight w:val="114"/>
        </w:trPr>
        <w:tc>
          <w:tcPr>
            <w:tcW w:w="1220" w:type="dxa"/>
            <w:vAlign w:val="bottom"/>
            <w:shd w:val="clear" w:color="auto" w:fill="CCEBF8"/>
          </w:tcPr>
          <w:p>
            <w:pPr>
              <w:ind w:left="40"/>
              <w:spacing w:after="0"/>
              <w:rPr>
                <w:sz w:val="20"/>
                <w:szCs w:val="20"/>
                <w:color w:val="auto"/>
              </w:rPr>
            </w:pPr>
            <w:r>
              <w:rPr>
                <w:rFonts w:ascii="Arial" w:cs="Arial" w:eastAsia="Arial" w:hAnsi="Arial"/>
                <w:sz w:val="8"/>
                <w:szCs w:val="8"/>
                <w:b w:val="1"/>
                <w:bCs w:val="1"/>
                <w:color w:val="009BDE"/>
              </w:rPr>
              <w:t>Name</w:t>
            </w:r>
          </w:p>
        </w:tc>
        <w:tc>
          <w:tcPr>
            <w:tcW w:w="160" w:type="dxa"/>
            <w:vAlign w:val="bottom"/>
            <w:shd w:val="clear" w:color="auto" w:fill="CCEBF8"/>
          </w:tcPr>
          <w:p>
            <w:pPr>
              <w:spacing w:after="0"/>
              <w:rPr>
                <w:sz w:val="9"/>
                <w:szCs w:val="9"/>
                <w:color w:val="auto"/>
              </w:rPr>
            </w:pPr>
          </w:p>
        </w:tc>
        <w:tc>
          <w:tcPr>
            <w:tcW w:w="660" w:type="dxa"/>
            <w:vAlign w:val="bottom"/>
            <w:shd w:val="clear" w:color="auto" w:fill="CCEBF8"/>
          </w:tcPr>
          <w:p>
            <w:pPr>
              <w:jc w:val="center"/>
              <w:ind w:right="18"/>
              <w:spacing w:after="0"/>
              <w:rPr>
                <w:sz w:val="20"/>
                <w:szCs w:val="20"/>
                <w:color w:val="auto"/>
              </w:rPr>
            </w:pPr>
            <w:r>
              <w:rPr>
                <w:rFonts w:ascii="Arial" w:cs="Arial" w:eastAsia="Arial" w:hAnsi="Arial"/>
                <w:sz w:val="8"/>
                <w:szCs w:val="8"/>
                <w:b w:val="1"/>
                <w:bCs w:val="1"/>
                <w:color w:val="009BDE"/>
              </w:rPr>
              <w:t>(# Exercisable)</w:t>
            </w:r>
          </w:p>
        </w:tc>
        <w:tc>
          <w:tcPr>
            <w:tcW w:w="860" w:type="dxa"/>
            <w:vAlign w:val="bottom"/>
            <w:shd w:val="clear" w:color="auto" w:fill="CCEBF8"/>
          </w:tcPr>
          <w:p>
            <w:pPr>
              <w:jc w:val="center"/>
              <w:spacing w:after="0"/>
              <w:rPr>
                <w:sz w:val="20"/>
                <w:szCs w:val="20"/>
                <w:color w:val="auto"/>
              </w:rPr>
            </w:pPr>
            <w:r>
              <w:rPr>
                <w:rFonts w:ascii="Arial" w:cs="Arial" w:eastAsia="Arial" w:hAnsi="Arial"/>
                <w:sz w:val="8"/>
                <w:szCs w:val="8"/>
                <w:b w:val="1"/>
                <w:bCs w:val="1"/>
                <w:color w:val="009BDE"/>
              </w:rPr>
              <w:t>(# Unexercisable)</w:t>
            </w:r>
          </w:p>
        </w:tc>
        <w:tc>
          <w:tcPr>
            <w:tcW w:w="700" w:type="dxa"/>
            <w:vAlign w:val="bottom"/>
            <w:shd w:val="clear" w:color="auto" w:fill="CCEBF8"/>
          </w:tcPr>
          <w:p>
            <w:pPr>
              <w:jc w:val="center"/>
              <w:spacing w:after="0"/>
              <w:rPr>
                <w:sz w:val="20"/>
                <w:szCs w:val="20"/>
                <w:color w:val="auto"/>
              </w:rPr>
            </w:pPr>
            <w:r>
              <w:rPr>
                <w:rFonts w:ascii="Arial" w:cs="Arial" w:eastAsia="Arial" w:hAnsi="Arial"/>
                <w:sz w:val="8"/>
                <w:szCs w:val="8"/>
                <w:b w:val="1"/>
                <w:bCs w:val="1"/>
                <w:color w:val="009BDE"/>
              </w:rPr>
              <w:t>(#)</w:t>
            </w:r>
          </w:p>
        </w:tc>
        <w:tc>
          <w:tcPr>
            <w:tcW w:w="520" w:type="dxa"/>
            <w:vAlign w:val="bottom"/>
            <w:shd w:val="clear" w:color="auto" w:fill="CCEBF8"/>
          </w:tcPr>
          <w:p>
            <w:pPr>
              <w:jc w:val="center"/>
              <w:spacing w:after="0"/>
              <w:rPr>
                <w:sz w:val="20"/>
                <w:szCs w:val="20"/>
                <w:color w:val="auto"/>
              </w:rPr>
            </w:pPr>
            <w:r>
              <w:rPr>
                <w:rFonts w:ascii="Arial" w:cs="Arial" w:eastAsia="Arial" w:hAnsi="Arial"/>
                <w:sz w:val="8"/>
                <w:szCs w:val="8"/>
                <w:b w:val="1"/>
                <w:bCs w:val="1"/>
                <w:color w:val="009BDE"/>
              </w:rPr>
              <w:t>($)</w:t>
            </w:r>
          </w:p>
        </w:tc>
        <w:tc>
          <w:tcPr>
            <w:tcW w:w="660" w:type="dxa"/>
            <w:vAlign w:val="bottom"/>
            <w:gridSpan w:val="2"/>
            <w:shd w:val="clear" w:color="auto" w:fill="CCEBF8"/>
          </w:tcPr>
          <w:p>
            <w:pPr>
              <w:jc w:val="center"/>
              <w:ind w:right="80"/>
              <w:spacing w:after="0"/>
              <w:rPr>
                <w:sz w:val="20"/>
                <w:szCs w:val="20"/>
                <w:color w:val="auto"/>
              </w:rPr>
            </w:pPr>
            <w:r>
              <w:rPr>
                <w:rFonts w:ascii="Arial" w:cs="Arial" w:eastAsia="Arial" w:hAnsi="Arial"/>
                <w:sz w:val="8"/>
                <w:szCs w:val="8"/>
                <w:b w:val="1"/>
                <w:bCs w:val="1"/>
                <w:color w:val="009BDE"/>
              </w:rPr>
              <w:t>Date</w:t>
            </w:r>
          </w:p>
        </w:tc>
        <w:tc>
          <w:tcPr>
            <w:tcW w:w="540" w:type="dxa"/>
            <w:vAlign w:val="bottom"/>
            <w:shd w:val="clear" w:color="auto" w:fill="CCEBF8"/>
          </w:tcPr>
          <w:p>
            <w:pPr>
              <w:jc w:val="center"/>
              <w:ind w:right="58"/>
              <w:spacing w:after="0"/>
              <w:rPr>
                <w:sz w:val="20"/>
                <w:szCs w:val="20"/>
                <w:color w:val="auto"/>
              </w:rPr>
            </w:pPr>
            <w:r>
              <w:rPr>
                <w:rFonts w:ascii="Arial" w:cs="Arial" w:eastAsia="Arial" w:hAnsi="Arial"/>
                <w:sz w:val="8"/>
                <w:szCs w:val="8"/>
                <w:b w:val="1"/>
                <w:bCs w:val="1"/>
                <w:color w:val="009BDE"/>
              </w:rPr>
              <w:t>(#)</w:t>
            </w:r>
          </w:p>
        </w:tc>
        <w:tc>
          <w:tcPr>
            <w:tcW w:w="140" w:type="dxa"/>
            <w:vAlign w:val="bottom"/>
            <w:shd w:val="clear" w:color="auto" w:fill="CCEBF8"/>
          </w:tcPr>
          <w:p>
            <w:pPr>
              <w:spacing w:after="0"/>
              <w:rPr>
                <w:sz w:val="9"/>
                <w:szCs w:val="9"/>
                <w:color w:val="auto"/>
              </w:rPr>
            </w:pPr>
          </w:p>
        </w:tc>
        <w:tc>
          <w:tcPr>
            <w:tcW w:w="480" w:type="dxa"/>
            <w:vAlign w:val="bottom"/>
            <w:shd w:val="clear" w:color="auto" w:fill="CCEBF8"/>
          </w:tcPr>
          <w:p>
            <w:pPr>
              <w:jc w:val="center"/>
              <w:ind w:right="98"/>
              <w:spacing w:after="0"/>
              <w:rPr>
                <w:sz w:val="20"/>
                <w:szCs w:val="20"/>
                <w:color w:val="auto"/>
              </w:rPr>
            </w:pPr>
            <w:r>
              <w:rPr>
                <w:rFonts w:ascii="Arial" w:cs="Arial" w:eastAsia="Arial" w:hAnsi="Arial"/>
                <w:sz w:val="8"/>
                <w:szCs w:val="8"/>
                <w:b w:val="1"/>
                <w:bCs w:val="1"/>
                <w:color w:val="009BDE"/>
              </w:rPr>
              <w:t>($)</w:t>
            </w:r>
          </w:p>
        </w:tc>
        <w:tc>
          <w:tcPr>
            <w:tcW w:w="700" w:type="dxa"/>
            <w:vAlign w:val="bottom"/>
            <w:shd w:val="clear" w:color="auto" w:fill="CCEBF8"/>
          </w:tcPr>
          <w:p>
            <w:pPr>
              <w:jc w:val="center"/>
              <w:spacing w:after="0"/>
              <w:rPr>
                <w:sz w:val="20"/>
                <w:szCs w:val="20"/>
                <w:color w:val="auto"/>
              </w:rPr>
            </w:pPr>
            <w:r>
              <w:rPr>
                <w:rFonts w:ascii="Arial" w:cs="Arial" w:eastAsia="Arial" w:hAnsi="Arial"/>
                <w:sz w:val="8"/>
                <w:szCs w:val="8"/>
                <w:b w:val="1"/>
                <w:bCs w:val="1"/>
                <w:color w:val="009BDE"/>
              </w:rPr>
              <w:t>(#)</w:t>
            </w:r>
          </w:p>
        </w:tc>
        <w:tc>
          <w:tcPr>
            <w:tcW w:w="700" w:type="dxa"/>
            <w:vAlign w:val="bottom"/>
            <w:gridSpan w:val="2"/>
            <w:shd w:val="clear" w:color="auto" w:fill="CCEBF8"/>
          </w:tcPr>
          <w:p>
            <w:pPr>
              <w:jc w:val="center"/>
              <w:spacing w:after="0"/>
              <w:rPr>
                <w:sz w:val="20"/>
                <w:szCs w:val="20"/>
                <w:color w:val="auto"/>
              </w:rPr>
            </w:pPr>
            <w:r>
              <w:rPr>
                <w:rFonts w:ascii="Arial" w:cs="Arial" w:eastAsia="Arial" w:hAnsi="Arial"/>
                <w:sz w:val="8"/>
                <w:szCs w:val="8"/>
                <w:b w:val="1"/>
                <w:bCs w:val="1"/>
                <w:color w:val="009BDE"/>
              </w:rPr>
              <w:t>($)(j)</w:t>
            </w:r>
          </w:p>
        </w:tc>
        <w:tc>
          <w:tcPr>
            <w:tcW w:w="0" w:type="dxa"/>
            <w:vAlign w:val="bottom"/>
          </w:tcPr>
          <w:p>
            <w:pPr>
              <w:spacing w:after="0"/>
              <w:rPr>
                <w:sz w:val="1"/>
                <w:szCs w:val="1"/>
                <w:color w:val="auto"/>
              </w:rPr>
            </w:pPr>
          </w:p>
        </w:tc>
      </w:tr>
      <w:tr>
        <w:trPr>
          <w:trHeight w:val="84"/>
        </w:trPr>
        <w:tc>
          <w:tcPr>
            <w:tcW w:w="1220" w:type="dxa"/>
            <w:vAlign w:val="bottom"/>
            <w:tcBorders>
              <w:bottom w:val="single" w:sz="8" w:color="009BDE"/>
            </w:tcBorders>
            <w:shd w:val="clear" w:color="auto" w:fill="CCEBF8"/>
          </w:tcPr>
          <w:p>
            <w:pPr>
              <w:spacing w:after="0"/>
              <w:rPr>
                <w:sz w:val="7"/>
                <w:szCs w:val="7"/>
                <w:color w:val="auto"/>
              </w:rPr>
            </w:pPr>
          </w:p>
        </w:tc>
        <w:tc>
          <w:tcPr>
            <w:tcW w:w="160" w:type="dxa"/>
            <w:vAlign w:val="bottom"/>
            <w:tcBorders>
              <w:bottom w:val="single" w:sz="8" w:color="009BDE"/>
            </w:tcBorders>
            <w:shd w:val="clear" w:color="auto" w:fill="CCEBF8"/>
          </w:tcPr>
          <w:p>
            <w:pPr>
              <w:spacing w:after="0"/>
              <w:rPr>
                <w:sz w:val="7"/>
                <w:szCs w:val="7"/>
                <w:color w:val="auto"/>
              </w:rPr>
            </w:pPr>
          </w:p>
        </w:tc>
        <w:tc>
          <w:tcPr>
            <w:tcW w:w="660" w:type="dxa"/>
            <w:vAlign w:val="bottom"/>
            <w:tcBorders>
              <w:bottom w:val="single" w:sz="8" w:color="009BDE"/>
            </w:tcBorders>
            <w:shd w:val="clear" w:color="auto" w:fill="CCEBF8"/>
          </w:tcPr>
          <w:p>
            <w:pPr>
              <w:spacing w:after="0"/>
              <w:rPr>
                <w:sz w:val="7"/>
                <w:szCs w:val="7"/>
                <w:color w:val="auto"/>
              </w:rPr>
            </w:pPr>
          </w:p>
        </w:tc>
        <w:tc>
          <w:tcPr>
            <w:tcW w:w="860" w:type="dxa"/>
            <w:vAlign w:val="bottom"/>
            <w:tcBorders>
              <w:bottom w:val="single" w:sz="8" w:color="009BDE"/>
            </w:tcBorders>
            <w:shd w:val="clear" w:color="auto" w:fill="CCEBF8"/>
          </w:tcPr>
          <w:p>
            <w:pPr>
              <w:spacing w:after="0"/>
              <w:rPr>
                <w:sz w:val="7"/>
                <w:szCs w:val="7"/>
                <w:color w:val="auto"/>
              </w:rPr>
            </w:pPr>
          </w:p>
        </w:tc>
        <w:tc>
          <w:tcPr>
            <w:tcW w:w="700" w:type="dxa"/>
            <w:vAlign w:val="bottom"/>
            <w:tcBorders>
              <w:bottom w:val="single" w:sz="8" w:color="009BDE"/>
            </w:tcBorders>
            <w:shd w:val="clear" w:color="auto" w:fill="CCEBF8"/>
          </w:tcPr>
          <w:p>
            <w:pPr>
              <w:spacing w:after="0"/>
              <w:rPr>
                <w:sz w:val="7"/>
                <w:szCs w:val="7"/>
                <w:color w:val="auto"/>
              </w:rPr>
            </w:pPr>
          </w:p>
        </w:tc>
        <w:tc>
          <w:tcPr>
            <w:tcW w:w="520" w:type="dxa"/>
            <w:vAlign w:val="bottom"/>
            <w:tcBorders>
              <w:bottom w:val="single" w:sz="8" w:color="009BDE"/>
            </w:tcBorders>
            <w:shd w:val="clear" w:color="auto" w:fill="CCEBF8"/>
          </w:tcPr>
          <w:p>
            <w:pPr>
              <w:spacing w:after="0"/>
              <w:rPr>
                <w:sz w:val="7"/>
                <w:szCs w:val="7"/>
                <w:color w:val="auto"/>
              </w:rPr>
            </w:pPr>
          </w:p>
        </w:tc>
        <w:tc>
          <w:tcPr>
            <w:tcW w:w="500" w:type="dxa"/>
            <w:vAlign w:val="bottom"/>
            <w:tcBorders>
              <w:bottom w:val="single" w:sz="8" w:color="009BDE"/>
            </w:tcBorders>
            <w:shd w:val="clear" w:color="auto" w:fill="CCEBF8"/>
          </w:tcPr>
          <w:p>
            <w:pPr>
              <w:spacing w:after="0"/>
              <w:rPr>
                <w:sz w:val="7"/>
                <w:szCs w:val="7"/>
                <w:color w:val="auto"/>
              </w:rPr>
            </w:pPr>
          </w:p>
        </w:tc>
        <w:tc>
          <w:tcPr>
            <w:tcW w:w="160" w:type="dxa"/>
            <w:vAlign w:val="bottom"/>
            <w:tcBorders>
              <w:bottom w:val="single" w:sz="8" w:color="009BDE"/>
            </w:tcBorders>
            <w:shd w:val="clear" w:color="auto" w:fill="CCEBF8"/>
          </w:tcPr>
          <w:p>
            <w:pPr>
              <w:spacing w:after="0"/>
              <w:rPr>
                <w:sz w:val="7"/>
                <w:szCs w:val="7"/>
                <w:color w:val="auto"/>
              </w:rPr>
            </w:pPr>
          </w:p>
        </w:tc>
        <w:tc>
          <w:tcPr>
            <w:tcW w:w="540" w:type="dxa"/>
            <w:vAlign w:val="bottom"/>
            <w:tcBorders>
              <w:bottom w:val="single" w:sz="8" w:color="009BDE"/>
            </w:tcBorders>
            <w:shd w:val="clear" w:color="auto" w:fill="CCEBF8"/>
          </w:tcPr>
          <w:p>
            <w:pPr>
              <w:spacing w:after="0"/>
              <w:rPr>
                <w:sz w:val="7"/>
                <w:szCs w:val="7"/>
                <w:color w:val="auto"/>
              </w:rPr>
            </w:pPr>
          </w:p>
        </w:tc>
        <w:tc>
          <w:tcPr>
            <w:tcW w:w="140" w:type="dxa"/>
            <w:vAlign w:val="bottom"/>
            <w:tcBorders>
              <w:bottom w:val="single" w:sz="8" w:color="009BDE"/>
            </w:tcBorders>
            <w:shd w:val="clear" w:color="auto" w:fill="CCEBF8"/>
          </w:tcPr>
          <w:p>
            <w:pPr>
              <w:spacing w:after="0"/>
              <w:rPr>
                <w:sz w:val="7"/>
                <w:szCs w:val="7"/>
                <w:color w:val="auto"/>
              </w:rPr>
            </w:pPr>
          </w:p>
        </w:tc>
        <w:tc>
          <w:tcPr>
            <w:tcW w:w="480" w:type="dxa"/>
            <w:vAlign w:val="bottom"/>
            <w:tcBorders>
              <w:bottom w:val="single" w:sz="8" w:color="009BDE"/>
            </w:tcBorders>
            <w:shd w:val="clear" w:color="auto" w:fill="CCEBF8"/>
          </w:tcPr>
          <w:p>
            <w:pPr>
              <w:spacing w:after="0"/>
              <w:rPr>
                <w:sz w:val="7"/>
                <w:szCs w:val="7"/>
                <w:color w:val="auto"/>
              </w:rPr>
            </w:pPr>
          </w:p>
        </w:tc>
        <w:tc>
          <w:tcPr>
            <w:tcW w:w="700" w:type="dxa"/>
            <w:vAlign w:val="bottom"/>
            <w:tcBorders>
              <w:bottom w:val="single" w:sz="8" w:color="009BDE"/>
            </w:tcBorders>
            <w:shd w:val="clear" w:color="auto" w:fill="CCEBF8"/>
          </w:tcPr>
          <w:p>
            <w:pPr>
              <w:spacing w:after="0"/>
              <w:rPr>
                <w:sz w:val="7"/>
                <w:szCs w:val="7"/>
                <w:color w:val="auto"/>
              </w:rPr>
            </w:pPr>
          </w:p>
        </w:tc>
        <w:tc>
          <w:tcPr>
            <w:tcW w:w="320" w:type="dxa"/>
            <w:vAlign w:val="bottom"/>
            <w:tcBorders>
              <w:bottom w:val="single" w:sz="8" w:color="009BDE"/>
            </w:tcBorders>
            <w:shd w:val="clear" w:color="auto" w:fill="CCEBF8"/>
          </w:tcPr>
          <w:p>
            <w:pPr>
              <w:spacing w:after="0"/>
              <w:rPr>
                <w:sz w:val="7"/>
                <w:szCs w:val="7"/>
                <w:color w:val="auto"/>
              </w:rPr>
            </w:pPr>
          </w:p>
        </w:tc>
        <w:tc>
          <w:tcPr>
            <w:tcW w:w="380" w:type="dxa"/>
            <w:vAlign w:val="bottom"/>
            <w:tcBorders>
              <w:bottom w:val="single" w:sz="8" w:color="009BDE"/>
            </w:tcBorders>
            <w:shd w:val="clear" w:color="auto" w:fill="CCEBF8"/>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20" w:type="dxa"/>
            <w:vAlign w:val="bottom"/>
          </w:tcPr>
          <w:p>
            <w:pPr>
              <w:ind w:left="40"/>
              <w:spacing w:after="0"/>
              <w:rPr>
                <w:sz w:val="20"/>
                <w:szCs w:val="20"/>
                <w:color w:val="auto"/>
              </w:rPr>
            </w:pPr>
            <w:r>
              <w:rPr>
                <w:rFonts w:ascii="Arial" w:cs="Arial" w:eastAsia="Arial" w:hAnsi="Arial"/>
                <w:sz w:val="8"/>
                <w:szCs w:val="8"/>
                <w:b w:val="1"/>
                <w:bCs w:val="1"/>
                <w:color w:val="auto"/>
              </w:rPr>
              <w:t>Eric Nyman</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jc w:val="right"/>
              <w:ind w:right="58"/>
              <w:spacing w:after="0" w:line="90" w:lineRule="exact"/>
              <w:rPr>
                <w:sz w:val="20"/>
                <w:szCs w:val="20"/>
                <w:color w:val="auto"/>
              </w:rPr>
            </w:pPr>
            <w:r>
              <w:rPr>
                <w:rFonts w:ascii="Arial" w:cs="Arial" w:eastAsia="Arial" w:hAnsi="Arial"/>
                <w:sz w:val="8"/>
                <w:szCs w:val="8"/>
                <w:color w:val="auto"/>
              </w:rPr>
              <w:t>1,918(f)</w:t>
            </w:r>
          </w:p>
        </w:tc>
        <w:tc>
          <w:tcPr>
            <w:tcW w:w="320" w:type="dxa"/>
            <w:vAlign w:val="bottom"/>
          </w:tcPr>
          <w:p>
            <w:pPr>
              <w:ind w:left="240"/>
              <w:spacing w:after="0" w:line="90" w:lineRule="exact"/>
              <w:rPr>
                <w:sz w:val="20"/>
                <w:szCs w:val="20"/>
                <w:color w:val="auto"/>
              </w:rPr>
            </w:pPr>
            <w:r>
              <w:rPr>
                <w:rFonts w:ascii="Arial" w:cs="Arial" w:eastAsia="Arial" w:hAnsi="Arial"/>
                <w:sz w:val="8"/>
                <w:szCs w:val="8"/>
                <w:color w:val="auto"/>
              </w:rPr>
              <w:t>$</w:t>
            </w:r>
          </w:p>
        </w:tc>
        <w:tc>
          <w:tcPr>
            <w:tcW w:w="380" w:type="dxa"/>
            <w:vAlign w:val="bottom"/>
          </w:tcPr>
          <w:p>
            <w:pPr>
              <w:jc w:val="right"/>
              <w:spacing w:after="0" w:line="90" w:lineRule="exact"/>
              <w:rPr>
                <w:sz w:val="20"/>
                <w:szCs w:val="20"/>
                <w:color w:val="auto"/>
              </w:rPr>
            </w:pPr>
            <w:r>
              <w:rPr>
                <w:rFonts w:ascii="Arial" w:cs="Arial" w:eastAsia="Arial" w:hAnsi="Arial"/>
                <w:sz w:val="8"/>
                <w:szCs w:val="8"/>
                <w:color w:val="auto"/>
              </w:rPr>
              <w:t>111,647</w:t>
            </w: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jc w:val="right"/>
              <w:ind w:right="38"/>
              <w:spacing w:after="0" w:line="90" w:lineRule="exact"/>
              <w:rPr>
                <w:sz w:val="20"/>
                <w:szCs w:val="20"/>
                <w:color w:val="auto"/>
              </w:rPr>
            </w:pPr>
            <w:r>
              <w:rPr>
                <w:rFonts w:ascii="Arial" w:cs="Arial" w:eastAsia="Arial" w:hAnsi="Arial"/>
                <w:sz w:val="8"/>
                <w:szCs w:val="8"/>
                <w:color w:val="auto"/>
              </w:rPr>
              <w:t>3,644(h)</w:t>
            </w:r>
          </w:p>
        </w:tc>
        <w:tc>
          <w:tcPr>
            <w:tcW w:w="320" w:type="dxa"/>
            <w:vAlign w:val="bottom"/>
          </w:tcPr>
          <w:p>
            <w:pPr>
              <w:ind w:left="240"/>
              <w:spacing w:after="0" w:line="90" w:lineRule="exact"/>
              <w:rPr>
                <w:sz w:val="20"/>
                <w:szCs w:val="20"/>
                <w:color w:val="auto"/>
              </w:rPr>
            </w:pPr>
            <w:r>
              <w:rPr>
                <w:rFonts w:ascii="Arial" w:cs="Arial" w:eastAsia="Arial" w:hAnsi="Arial"/>
                <w:sz w:val="8"/>
                <w:szCs w:val="8"/>
                <w:color w:val="auto"/>
              </w:rPr>
              <w:t>$</w:t>
            </w:r>
          </w:p>
        </w:tc>
        <w:tc>
          <w:tcPr>
            <w:tcW w:w="380" w:type="dxa"/>
            <w:vAlign w:val="bottom"/>
          </w:tcPr>
          <w:p>
            <w:pPr>
              <w:jc w:val="right"/>
              <w:spacing w:after="0" w:line="90" w:lineRule="exact"/>
              <w:rPr>
                <w:sz w:val="20"/>
                <w:szCs w:val="20"/>
                <w:color w:val="auto"/>
              </w:rPr>
            </w:pPr>
            <w:r>
              <w:rPr>
                <w:rFonts w:ascii="Arial" w:cs="Arial" w:eastAsia="Arial" w:hAnsi="Arial"/>
                <w:sz w:val="8"/>
                <w:szCs w:val="8"/>
                <w:color w:val="auto"/>
              </w:rPr>
              <w:t>212,117</w:t>
            </w:r>
          </w:p>
        </w:tc>
        <w:tc>
          <w:tcPr>
            <w:tcW w:w="0" w:type="dxa"/>
            <w:vAlign w:val="bottom"/>
          </w:tcPr>
          <w:p>
            <w:pPr>
              <w:spacing w:after="0"/>
              <w:rPr>
                <w:sz w:val="1"/>
                <w:szCs w:val="1"/>
                <w:color w:val="auto"/>
              </w:rPr>
            </w:pPr>
          </w:p>
        </w:tc>
      </w:tr>
      <w:tr>
        <w:trPr>
          <w:trHeight w:val="100"/>
        </w:trPr>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jc w:val="right"/>
              <w:ind w:right="118"/>
              <w:spacing w:after="0"/>
              <w:rPr>
                <w:sz w:val="20"/>
                <w:szCs w:val="20"/>
                <w:color w:val="auto"/>
              </w:rPr>
            </w:pPr>
            <w:r>
              <w:rPr>
                <w:rFonts w:ascii="Arial" w:cs="Arial" w:eastAsia="Arial" w:hAnsi="Arial"/>
                <w:sz w:val="8"/>
                <w:szCs w:val="8"/>
                <w:color w:val="auto"/>
              </w:rPr>
              <w:t>710(l)</w:t>
            </w:r>
          </w:p>
        </w:tc>
        <w:tc>
          <w:tcPr>
            <w:tcW w:w="140" w:type="dxa"/>
            <w:vAlign w:val="bottom"/>
            <w:vMerge w:val="restart"/>
          </w:tcPr>
          <w:p>
            <w:pPr>
              <w:ind w:left="100"/>
              <w:spacing w:after="0"/>
              <w:rPr>
                <w:sz w:val="20"/>
                <w:szCs w:val="20"/>
                <w:color w:val="auto"/>
              </w:rPr>
            </w:pPr>
            <w:r>
              <w:rPr>
                <w:rFonts w:ascii="Arial" w:cs="Arial" w:eastAsia="Arial" w:hAnsi="Arial"/>
                <w:sz w:val="5"/>
                <w:szCs w:val="5"/>
                <w:color w:val="auto"/>
                <w:w w:val="70"/>
              </w:rPr>
              <w:t>$</w:t>
            </w:r>
          </w:p>
        </w:tc>
        <w:tc>
          <w:tcPr>
            <w:tcW w:w="480" w:type="dxa"/>
            <w:vAlign w:val="bottom"/>
            <w:vMerge w:val="restart"/>
          </w:tcPr>
          <w:p>
            <w:pPr>
              <w:jc w:val="right"/>
              <w:ind w:right="58"/>
              <w:spacing w:after="0"/>
              <w:rPr>
                <w:sz w:val="20"/>
                <w:szCs w:val="20"/>
                <w:color w:val="auto"/>
              </w:rPr>
            </w:pPr>
            <w:r>
              <w:rPr>
                <w:rFonts w:ascii="Arial" w:cs="Arial" w:eastAsia="Arial" w:hAnsi="Arial"/>
                <w:sz w:val="8"/>
                <w:szCs w:val="8"/>
                <w:color w:val="auto"/>
              </w:rPr>
              <w:t>41,329</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23,847(j)</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$ 1,388,134</w:t>
            </w:r>
          </w:p>
        </w:tc>
        <w:tc>
          <w:tcPr>
            <w:tcW w:w="0" w:type="dxa"/>
            <w:vAlign w:val="bottom"/>
          </w:tcPr>
          <w:p>
            <w:pPr>
              <w:spacing w:after="0"/>
              <w:rPr>
                <w:sz w:val="1"/>
                <w:szCs w:val="1"/>
                <w:color w:val="auto"/>
              </w:rPr>
            </w:pPr>
          </w:p>
        </w:tc>
      </w:tr>
      <w:tr>
        <w:trPr>
          <w:trHeight w:val="80"/>
        </w:trPr>
        <w:tc>
          <w:tcPr>
            <w:tcW w:w="1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jc w:val="right"/>
              <w:ind w:right="58"/>
              <w:spacing w:after="0" w:line="90" w:lineRule="exact"/>
              <w:rPr>
                <w:sz w:val="20"/>
                <w:szCs w:val="20"/>
                <w:color w:val="auto"/>
              </w:rPr>
            </w:pPr>
            <w:r>
              <w:rPr>
                <w:rFonts w:ascii="Arial" w:cs="Arial" w:eastAsia="Arial" w:hAnsi="Arial"/>
                <w:sz w:val="8"/>
                <w:szCs w:val="8"/>
                <w:color w:val="auto"/>
              </w:rPr>
              <w:t>3,696(m)</w:t>
            </w:r>
          </w:p>
        </w:tc>
        <w:tc>
          <w:tcPr>
            <w:tcW w:w="140" w:type="dxa"/>
            <w:vAlign w:val="bottom"/>
          </w:tcPr>
          <w:p>
            <w:pPr>
              <w:ind w:left="100"/>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ind w:right="58"/>
              <w:spacing w:after="0" w:line="90" w:lineRule="exact"/>
              <w:rPr>
                <w:sz w:val="20"/>
                <w:szCs w:val="20"/>
                <w:color w:val="auto"/>
              </w:rPr>
            </w:pPr>
            <w:r>
              <w:rPr>
                <w:rFonts w:ascii="Arial" w:cs="Arial" w:eastAsia="Arial" w:hAnsi="Arial"/>
                <w:sz w:val="8"/>
                <w:szCs w:val="8"/>
                <w:color w:val="auto"/>
              </w:rPr>
              <w:t>215,144</w:t>
            </w: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jc w:val="right"/>
              <w:ind w:right="78"/>
              <w:spacing w:after="0" w:line="90" w:lineRule="exact"/>
              <w:rPr>
                <w:sz w:val="20"/>
                <w:szCs w:val="20"/>
                <w:color w:val="auto"/>
              </w:rPr>
            </w:pPr>
            <w:r>
              <w:rPr>
                <w:rFonts w:ascii="Arial" w:cs="Arial" w:eastAsia="Arial" w:hAnsi="Arial"/>
                <w:sz w:val="8"/>
                <w:szCs w:val="8"/>
                <w:color w:val="auto"/>
              </w:rPr>
              <w:t>1,478(n)</w:t>
            </w:r>
          </w:p>
        </w:tc>
        <w:tc>
          <w:tcPr>
            <w:tcW w:w="140" w:type="dxa"/>
            <w:vAlign w:val="bottom"/>
          </w:tcPr>
          <w:p>
            <w:pPr>
              <w:ind w:left="100"/>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ind w:right="58"/>
              <w:spacing w:after="0" w:line="90" w:lineRule="exact"/>
              <w:rPr>
                <w:sz w:val="20"/>
                <w:szCs w:val="20"/>
                <w:color w:val="auto"/>
              </w:rPr>
            </w:pPr>
            <w:r>
              <w:rPr>
                <w:rFonts w:ascii="Arial" w:cs="Arial" w:eastAsia="Arial" w:hAnsi="Arial"/>
                <w:sz w:val="8"/>
                <w:szCs w:val="8"/>
                <w:color w:val="auto"/>
              </w:rPr>
              <w:t>86,034</w:t>
            </w: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jc w:val="right"/>
              <w:ind w:right="78"/>
              <w:spacing w:after="0" w:line="90" w:lineRule="exact"/>
              <w:rPr>
                <w:sz w:val="20"/>
                <w:szCs w:val="20"/>
                <w:color w:val="auto"/>
              </w:rPr>
            </w:pPr>
            <w:r>
              <w:rPr>
                <w:rFonts w:ascii="Arial" w:cs="Arial" w:eastAsia="Arial" w:hAnsi="Arial"/>
                <w:sz w:val="8"/>
                <w:szCs w:val="8"/>
                <w:color w:val="auto"/>
              </w:rPr>
              <w:t>11,924(p)</w:t>
            </w:r>
          </w:p>
        </w:tc>
        <w:tc>
          <w:tcPr>
            <w:tcW w:w="140" w:type="dxa"/>
            <w:vAlign w:val="bottom"/>
          </w:tcPr>
          <w:p>
            <w:pPr>
              <w:ind w:left="100"/>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ind w:right="58"/>
              <w:spacing w:after="0" w:line="90" w:lineRule="exact"/>
              <w:rPr>
                <w:sz w:val="20"/>
                <w:szCs w:val="20"/>
                <w:color w:val="auto"/>
              </w:rPr>
            </w:pPr>
            <w:r>
              <w:rPr>
                <w:rFonts w:ascii="Arial" w:cs="Arial" w:eastAsia="Arial" w:hAnsi="Arial"/>
                <w:sz w:val="8"/>
                <w:szCs w:val="8"/>
                <w:color w:val="auto"/>
              </w:rPr>
              <w:t>694,096</w:t>
            </w: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220" w:type="dxa"/>
            <w:vAlign w:val="bottom"/>
          </w:tcPr>
          <w:p>
            <w:pPr>
              <w:spacing w:after="0"/>
              <w:rPr>
                <w:sz w:val="8"/>
                <w:szCs w:val="8"/>
                <w:color w:val="auto"/>
              </w:rPr>
            </w:pPr>
          </w:p>
        </w:tc>
        <w:tc>
          <w:tcPr>
            <w:tcW w:w="820" w:type="dxa"/>
            <w:vAlign w:val="bottom"/>
            <w:gridSpan w:val="2"/>
            <w:vMerge w:val="restart"/>
          </w:tcPr>
          <w:p>
            <w:pPr>
              <w:jc w:val="right"/>
              <w:ind w:right="138"/>
              <w:spacing w:after="0"/>
              <w:rPr>
                <w:sz w:val="20"/>
                <w:szCs w:val="20"/>
                <w:color w:val="auto"/>
              </w:rPr>
            </w:pPr>
            <w:r>
              <w:rPr>
                <w:rFonts w:ascii="Arial" w:cs="Arial" w:eastAsia="Arial" w:hAnsi="Arial"/>
                <w:sz w:val="8"/>
                <w:szCs w:val="8"/>
                <w:color w:val="auto"/>
              </w:rPr>
              <w:t>4,981</w:t>
            </w:r>
          </w:p>
        </w:tc>
        <w:tc>
          <w:tcPr>
            <w:tcW w:w="860" w:type="dxa"/>
            <w:vAlign w:val="bottom"/>
            <w:vMerge w:val="restart"/>
          </w:tcPr>
          <w:p>
            <w:pPr>
              <w:jc w:val="right"/>
              <w:ind w:right="118"/>
              <w:spacing w:after="0"/>
              <w:rPr>
                <w:sz w:val="20"/>
                <w:szCs w:val="20"/>
                <w:color w:val="auto"/>
              </w:rPr>
            </w:pPr>
            <w:r>
              <w:rPr>
                <w:rFonts w:ascii="Arial" w:cs="Arial" w:eastAsia="Arial" w:hAnsi="Arial"/>
                <w:sz w:val="8"/>
                <w:szCs w:val="8"/>
                <w:color w:val="auto"/>
              </w:rPr>
              <w:t>0</w:t>
            </w:r>
          </w:p>
        </w:tc>
        <w:tc>
          <w:tcPr>
            <w:tcW w:w="700" w:type="dxa"/>
            <w:vAlign w:val="bottom"/>
            <w:vMerge w:val="restart"/>
          </w:tcPr>
          <w:p>
            <w:pPr>
              <w:ind w:left="360"/>
              <w:spacing w:after="0"/>
              <w:rPr>
                <w:sz w:val="20"/>
                <w:szCs w:val="20"/>
                <w:color w:val="auto"/>
              </w:rPr>
            </w:pPr>
            <w:r>
              <w:rPr>
                <w:rFonts w:ascii="Arial" w:cs="Arial" w:eastAsia="Arial" w:hAnsi="Arial"/>
                <w:sz w:val="8"/>
                <w:szCs w:val="8"/>
                <w:color w:val="auto"/>
              </w:rPr>
              <w:t>—</w:t>
            </w:r>
          </w:p>
        </w:tc>
        <w:tc>
          <w:tcPr>
            <w:tcW w:w="520" w:type="dxa"/>
            <w:vAlign w:val="bottom"/>
            <w:vMerge w:val="restart"/>
          </w:tcPr>
          <w:p>
            <w:pPr>
              <w:jc w:val="right"/>
              <w:ind w:right="58"/>
              <w:spacing w:after="0"/>
              <w:rPr>
                <w:sz w:val="20"/>
                <w:szCs w:val="20"/>
                <w:color w:val="auto"/>
              </w:rPr>
            </w:pPr>
            <w:r>
              <w:rPr>
                <w:rFonts w:ascii="Arial" w:cs="Arial" w:eastAsia="Arial" w:hAnsi="Arial"/>
                <w:sz w:val="8"/>
                <w:szCs w:val="8"/>
                <w:color w:val="auto"/>
              </w:rPr>
              <w:t>$ 98.80</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8"/>
                <w:szCs w:val="8"/>
                <w:color w:val="auto"/>
              </w:rPr>
              <w:t>2/20/2024</w:t>
            </w: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8,130(q)</w:t>
            </w:r>
          </w:p>
        </w:tc>
        <w:tc>
          <w:tcPr>
            <w:tcW w:w="140" w:type="dxa"/>
            <w:vAlign w:val="bottom"/>
          </w:tcPr>
          <w:p>
            <w:pPr>
              <w:ind w:left="100"/>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ind w:right="58"/>
              <w:spacing w:after="0"/>
              <w:rPr>
                <w:sz w:val="20"/>
                <w:szCs w:val="20"/>
                <w:color w:val="auto"/>
              </w:rPr>
            </w:pPr>
            <w:r>
              <w:rPr>
                <w:rFonts w:ascii="Arial" w:cs="Arial" w:eastAsia="Arial" w:hAnsi="Arial"/>
                <w:sz w:val="8"/>
                <w:szCs w:val="8"/>
                <w:color w:val="auto"/>
              </w:rPr>
              <w:t>473,247</w:t>
            </w: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2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820" w:type="dxa"/>
            <w:vAlign w:val="bottom"/>
            <w:gridSpan w:val="2"/>
          </w:tcPr>
          <w:p>
            <w:pPr>
              <w:jc w:val="right"/>
              <w:ind w:right="138"/>
              <w:spacing w:after="0" w:line="90" w:lineRule="exact"/>
              <w:rPr>
                <w:sz w:val="20"/>
                <w:szCs w:val="20"/>
                <w:color w:val="auto"/>
              </w:rPr>
            </w:pPr>
            <w:r>
              <w:rPr>
                <w:rFonts w:ascii="Arial" w:cs="Arial" w:eastAsia="Arial" w:hAnsi="Arial"/>
                <w:sz w:val="8"/>
                <w:szCs w:val="8"/>
                <w:color w:val="auto"/>
              </w:rPr>
              <w:t>5,167</w:t>
            </w:r>
          </w:p>
        </w:tc>
        <w:tc>
          <w:tcPr>
            <w:tcW w:w="860" w:type="dxa"/>
            <w:vAlign w:val="bottom"/>
          </w:tcPr>
          <w:p>
            <w:pPr>
              <w:jc w:val="right"/>
              <w:ind w:right="118"/>
              <w:spacing w:after="0" w:line="90" w:lineRule="exact"/>
              <w:rPr>
                <w:sz w:val="20"/>
                <w:szCs w:val="20"/>
                <w:color w:val="auto"/>
              </w:rPr>
            </w:pPr>
            <w:r>
              <w:rPr>
                <w:rFonts w:ascii="Arial" w:cs="Arial" w:eastAsia="Arial" w:hAnsi="Arial"/>
                <w:sz w:val="8"/>
                <w:szCs w:val="8"/>
                <w:color w:val="auto"/>
              </w:rPr>
              <w:t>0</w:t>
            </w:r>
          </w:p>
        </w:tc>
        <w:tc>
          <w:tcPr>
            <w:tcW w:w="700" w:type="dxa"/>
            <w:vAlign w:val="bottom"/>
          </w:tcPr>
          <w:p>
            <w:pPr>
              <w:ind w:left="360"/>
              <w:spacing w:after="0" w:line="90" w:lineRule="exact"/>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line="90" w:lineRule="exact"/>
              <w:rPr>
                <w:sz w:val="20"/>
                <w:szCs w:val="20"/>
                <w:color w:val="auto"/>
              </w:rPr>
            </w:pPr>
            <w:r>
              <w:rPr>
                <w:rFonts w:ascii="Arial" w:cs="Arial" w:eastAsia="Arial" w:hAnsi="Arial"/>
                <w:sz w:val="8"/>
                <w:szCs w:val="8"/>
                <w:color w:val="auto"/>
              </w:rPr>
              <w:t>$ 98.10</w:t>
            </w:r>
          </w:p>
        </w:tc>
        <w:tc>
          <w:tcPr>
            <w:tcW w:w="66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rPr>
              <w:t>2/19/2025</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820" w:type="dxa"/>
            <w:vAlign w:val="bottom"/>
            <w:gridSpan w:val="2"/>
          </w:tcPr>
          <w:p>
            <w:pPr>
              <w:jc w:val="right"/>
              <w:ind w:right="138"/>
              <w:spacing w:after="0" w:line="90" w:lineRule="exact"/>
              <w:rPr>
                <w:sz w:val="20"/>
                <w:szCs w:val="20"/>
                <w:color w:val="auto"/>
              </w:rPr>
            </w:pPr>
            <w:r>
              <w:rPr>
                <w:rFonts w:ascii="Arial" w:cs="Arial" w:eastAsia="Arial" w:hAnsi="Arial"/>
                <w:sz w:val="8"/>
                <w:szCs w:val="8"/>
                <w:color w:val="auto"/>
              </w:rPr>
              <w:t>2,855</w:t>
            </w:r>
          </w:p>
        </w:tc>
        <w:tc>
          <w:tcPr>
            <w:tcW w:w="860" w:type="dxa"/>
            <w:vAlign w:val="bottom"/>
          </w:tcPr>
          <w:p>
            <w:pPr>
              <w:jc w:val="right"/>
              <w:ind w:right="118"/>
              <w:spacing w:after="0" w:line="90" w:lineRule="exact"/>
              <w:rPr>
                <w:sz w:val="20"/>
                <w:szCs w:val="20"/>
                <w:color w:val="auto"/>
              </w:rPr>
            </w:pPr>
            <w:r>
              <w:rPr>
                <w:rFonts w:ascii="Arial" w:cs="Arial" w:eastAsia="Arial" w:hAnsi="Arial"/>
                <w:sz w:val="8"/>
                <w:szCs w:val="8"/>
                <w:color w:val="auto"/>
              </w:rPr>
              <w:t>0</w:t>
            </w:r>
          </w:p>
        </w:tc>
        <w:tc>
          <w:tcPr>
            <w:tcW w:w="700" w:type="dxa"/>
            <w:vAlign w:val="bottom"/>
          </w:tcPr>
          <w:p>
            <w:pPr>
              <w:ind w:left="360"/>
              <w:spacing w:after="0" w:line="90" w:lineRule="exact"/>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line="90" w:lineRule="exact"/>
              <w:rPr>
                <w:sz w:val="20"/>
                <w:szCs w:val="20"/>
                <w:color w:val="auto"/>
              </w:rPr>
            </w:pPr>
            <w:r>
              <w:rPr>
                <w:rFonts w:ascii="Arial" w:cs="Arial" w:eastAsia="Arial" w:hAnsi="Arial"/>
                <w:sz w:val="8"/>
                <w:szCs w:val="8"/>
                <w:color w:val="auto"/>
              </w:rPr>
              <w:t>$ 86.66</w:t>
            </w:r>
          </w:p>
        </w:tc>
        <w:tc>
          <w:tcPr>
            <w:tcW w:w="66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rPr>
              <w:t>2/18/2026</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jc w:val="right"/>
              <w:ind w:right="38"/>
              <w:spacing w:after="0" w:line="90" w:lineRule="exact"/>
              <w:rPr>
                <w:sz w:val="20"/>
                <w:szCs w:val="20"/>
                <w:color w:val="auto"/>
              </w:rPr>
            </w:pPr>
            <w:r>
              <w:rPr>
                <w:rFonts w:ascii="Arial" w:cs="Arial" w:eastAsia="Arial" w:hAnsi="Arial"/>
                <w:sz w:val="8"/>
                <w:szCs w:val="8"/>
                <w:color w:val="auto"/>
              </w:rPr>
              <w:t>7,104(a)</w:t>
            </w:r>
          </w:p>
        </w:tc>
        <w:tc>
          <w:tcPr>
            <w:tcW w:w="860" w:type="dxa"/>
            <w:vAlign w:val="bottom"/>
          </w:tcPr>
          <w:p>
            <w:pPr>
              <w:jc w:val="right"/>
              <w:ind w:right="118"/>
              <w:spacing w:after="0" w:line="90" w:lineRule="exact"/>
              <w:rPr>
                <w:sz w:val="20"/>
                <w:szCs w:val="20"/>
                <w:color w:val="auto"/>
              </w:rPr>
            </w:pPr>
            <w:r>
              <w:rPr>
                <w:rFonts w:ascii="Arial" w:cs="Arial" w:eastAsia="Arial" w:hAnsi="Arial"/>
                <w:sz w:val="8"/>
                <w:szCs w:val="8"/>
                <w:color w:val="auto"/>
              </w:rPr>
              <w:t>3,551</w:t>
            </w:r>
          </w:p>
        </w:tc>
        <w:tc>
          <w:tcPr>
            <w:tcW w:w="700" w:type="dxa"/>
            <w:vAlign w:val="bottom"/>
          </w:tcPr>
          <w:p>
            <w:pPr>
              <w:ind w:left="360"/>
              <w:spacing w:after="0" w:line="90" w:lineRule="exact"/>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line="90" w:lineRule="exact"/>
              <w:rPr>
                <w:sz w:val="20"/>
                <w:szCs w:val="20"/>
                <w:color w:val="auto"/>
              </w:rPr>
            </w:pPr>
            <w:r>
              <w:rPr>
                <w:rFonts w:ascii="Arial" w:cs="Arial" w:eastAsia="Arial" w:hAnsi="Arial"/>
                <w:sz w:val="8"/>
                <w:szCs w:val="8"/>
                <w:color w:val="auto"/>
              </w:rPr>
              <w:t>$ 96.79</w:t>
            </w:r>
          </w:p>
        </w:tc>
        <w:tc>
          <w:tcPr>
            <w:tcW w:w="66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rPr>
              <w:t>2/17/2027</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jc w:val="right"/>
              <w:ind w:right="38"/>
              <w:spacing w:after="0" w:line="90" w:lineRule="exact"/>
              <w:rPr>
                <w:sz w:val="20"/>
                <w:szCs w:val="20"/>
                <w:color w:val="auto"/>
              </w:rPr>
            </w:pPr>
            <w:r>
              <w:rPr>
                <w:rFonts w:ascii="Arial" w:cs="Arial" w:eastAsia="Arial" w:hAnsi="Arial"/>
                <w:sz w:val="8"/>
                <w:szCs w:val="8"/>
                <w:color w:val="auto"/>
              </w:rPr>
              <w:t>4,622(b)</w:t>
            </w:r>
          </w:p>
        </w:tc>
        <w:tc>
          <w:tcPr>
            <w:tcW w:w="860" w:type="dxa"/>
            <w:vAlign w:val="bottom"/>
          </w:tcPr>
          <w:p>
            <w:pPr>
              <w:jc w:val="right"/>
              <w:ind w:right="118"/>
              <w:spacing w:after="0" w:line="90" w:lineRule="exact"/>
              <w:rPr>
                <w:sz w:val="20"/>
                <w:szCs w:val="20"/>
                <w:color w:val="auto"/>
              </w:rPr>
            </w:pPr>
            <w:r>
              <w:rPr>
                <w:rFonts w:ascii="Arial" w:cs="Arial" w:eastAsia="Arial" w:hAnsi="Arial"/>
                <w:sz w:val="8"/>
                <w:szCs w:val="8"/>
                <w:color w:val="auto"/>
              </w:rPr>
              <w:t>9,240</w:t>
            </w:r>
          </w:p>
        </w:tc>
        <w:tc>
          <w:tcPr>
            <w:tcW w:w="700" w:type="dxa"/>
            <w:vAlign w:val="bottom"/>
          </w:tcPr>
          <w:p>
            <w:pPr>
              <w:ind w:left="360"/>
              <w:spacing w:after="0" w:line="90" w:lineRule="exact"/>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line="90" w:lineRule="exact"/>
              <w:rPr>
                <w:sz w:val="20"/>
                <w:szCs w:val="20"/>
                <w:color w:val="auto"/>
              </w:rPr>
            </w:pPr>
            <w:r>
              <w:rPr>
                <w:rFonts w:ascii="Arial" w:cs="Arial" w:eastAsia="Arial" w:hAnsi="Arial"/>
                <w:sz w:val="8"/>
                <w:szCs w:val="8"/>
                <w:color w:val="auto"/>
              </w:rPr>
              <w:t>$ 90.18</w:t>
            </w:r>
          </w:p>
        </w:tc>
        <w:tc>
          <w:tcPr>
            <w:tcW w:w="66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rPr>
              <w:t>2/17/2028</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jc w:val="right"/>
              <w:ind w:right="38"/>
              <w:spacing w:after="0" w:line="90" w:lineRule="exact"/>
              <w:rPr>
                <w:sz w:val="20"/>
                <w:szCs w:val="20"/>
                <w:color w:val="auto"/>
              </w:rPr>
            </w:pPr>
            <w:r>
              <w:rPr>
                <w:rFonts w:ascii="Arial" w:cs="Arial" w:eastAsia="Arial" w:hAnsi="Arial"/>
                <w:sz w:val="8"/>
                <w:szCs w:val="8"/>
                <w:color w:val="auto"/>
              </w:rPr>
              <w:t>1,849(d)</w:t>
            </w:r>
          </w:p>
        </w:tc>
        <w:tc>
          <w:tcPr>
            <w:tcW w:w="860" w:type="dxa"/>
            <w:vAlign w:val="bottom"/>
          </w:tcPr>
          <w:p>
            <w:pPr>
              <w:jc w:val="right"/>
              <w:ind w:right="118"/>
              <w:spacing w:after="0" w:line="90" w:lineRule="exact"/>
              <w:rPr>
                <w:sz w:val="20"/>
                <w:szCs w:val="20"/>
                <w:color w:val="auto"/>
              </w:rPr>
            </w:pPr>
            <w:r>
              <w:rPr>
                <w:rFonts w:ascii="Arial" w:cs="Arial" w:eastAsia="Arial" w:hAnsi="Arial"/>
                <w:sz w:val="8"/>
                <w:szCs w:val="8"/>
                <w:color w:val="auto"/>
              </w:rPr>
              <w:t>3,696</w:t>
            </w:r>
          </w:p>
        </w:tc>
        <w:tc>
          <w:tcPr>
            <w:tcW w:w="700" w:type="dxa"/>
            <w:vAlign w:val="bottom"/>
          </w:tcPr>
          <w:p>
            <w:pPr>
              <w:ind w:left="360"/>
              <w:spacing w:after="0" w:line="90" w:lineRule="exact"/>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line="90" w:lineRule="exact"/>
              <w:rPr>
                <w:sz w:val="20"/>
                <w:szCs w:val="20"/>
                <w:color w:val="auto"/>
              </w:rPr>
            </w:pPr>
            <w:r>
              <w:rPr>
                <w:rFonts w:ascii="Arial" w:cs="Arial" w:eastAsia="Arial" w:hAnsi="Arial"/>
                <w:sz w:val="8"/>
                <w:szCs w:val="8"/>
                <w:color w:val="auto"/>
              </w:rPr>
              <w:t>$ 96.06</w:t>
            </w:r>
          </w:p>
        </w:tc>
        <w:tc>
          <w:tcPr>
            <w:tcW w:w="66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rPr>
              <w:t>3/11/2028</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ind w:right="38"/>
              <w:spacing w:after="0"/>
              <w:rPr>
                <w:sz w:val="20"/>
                <w:szCs w:val="20"/>
                <w:color w:val="auto"/>
              </w:rPr>
            </w:pPr>
            <w:r>
              <w:rPr>
                <w:rFonts w:ascii="Arial" w:cs="Arial" w:eastAsia="Arial" w:hAnsi="Arial"/>
                <w:sz w:val="8"/>
                <w:szCs w:val="8"/>
                <w:color w:val="auto"/>
              </w:rPr>
              <w:t>0(e)</w:t>
            </w:r>
          </w:p>
        </w:tc>
        <w:tc>
          <w:tcPr>
            <w:tcW w:w="860" w:type="dxa"/>
            <w:vAlign w:val="bottom"/>
          </w:tcPr>
          <w:p>
            <w:pPr>
              <w:jc w:val="right"/>
              <w:ind w:right="118"/>
              <w:spacing w:after="0"/>
              <w:rPr>
                <w:sz w:val="20"/>
                <w:szCs w:val="20"/>
                <w:color w:val="auto"/>
              </w:rPr>
            </w:pPr>
            <w:r>
              <w:rPr>
                <w:rFonts w:ascii="Arial" w:cs="Arial" w:eastAsia="Arial" w:hAnsi="Arial"/>
                <w:sz w:val="8"/>
                <w:szCs w:val="8"/>
                <w:color w:val="auto"/>
              </w:rPr>
              <w:t>57,962</w:t>
            </w:r>
          </w:p>
        </w:tc>
        <w:tc>
          <w:tcPr>
            <w:tcW w:w="700" w:type="dxa"/>
            <w:vAlign w:val="bottom"/>
          </w:tcPr>
          <w:p>
            <w:pPr>
              <w:ind w:left="360"/>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rPr>
                <w:sz w:val="20"/>
                <w:szCs w:val="20"/>
                <w:color w:val="auto"/>
              </w:rPr>
            </w:pPr>
            <w:r>
              <w:rPr>
                <w:rFonts w:ascii="Arial" w:cs="Arial" w:eastAsia="Arial" w:hAnsi="Arial"/>
                <w:sz w:val="8"/>
                <w:szCs w:val="8"/>
                <w:color w:val="auto"/>
              </w:rPr>
              <w:t>$ 94.89</w:t>
            </w:r>
          </w:p>
        </w:tc>
        <w:tc>
          <w:tcPr>
            <w:tcW w:w="660" w:type="dxa"/>
            <w:vAlign w:val="bottom"/>
            <w:gridSpan w:val="2"/>
          </w:tcPr>
          <w:p>
            <w:pPr>
              <w:jc w:val="right"/>
              <w:ind w:right="160"/>
              <w:spacing w:after="0"/>
              <w:rPr>
                <w:sz w:val="20"/>
                <w:szCs w:val="20"/>
                <w:color w:val="auto"/>
              </w:rPr>
            </w:pPr>
            <w:r>
              <w:rPr>
                <w:rFonts w:ascii="Arial" w:cs="Arial" w:eastAsia="Arial" w:hAnsi="Arial"/>
                <w:sz w:val="8"/>
                <w:szCs w:val="8"/>
                <w:color w:val="auto"/>
              </w:rPr>
              <w:t>2/25/2029</w:t>
            </w: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2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5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2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220" w:type="dxa"/>
            <w:vAlign w:val="bottom"/>
          </w:tcPr>
          <w:p>
            <w:pPr>
              <w:ind w:left="40"/>
              <w:spacing w:after="0"/>
              <w:rPr>
                <w:sz w:val="20"/>
                <w:szCs w:val="20"/>
                <w:color w:val="auto"/>
              </w:rPr>
            </w:pPr>
            <w:r>
              <w:rPr>
                <w:rFonts w:ascii="Arial" w:cs="Arial" w:eastAsia="Arial" w:hAnsi="Arial"/>
                <w:sz w:val="8"/>
                <w:szCs w:val="8"/>
                <w:b w:val="1"/>
                <w:bCs w:val="1"/>
                <w:color w:val="auto"/>
              </w:rPr>
              <w:t>Darren Throop</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jc w:val="right"/>
              <w:ind w:right="58"/>
              <w:spacing w:after="0" w:line="90" w:lineRule="exact"/>
              <w:rPr>
                <w:sz w:val="20"/>
                <w:szCs w:val="20"/>
                <w:color w:val="auto"/>
              </w:rPr>
            </w:pPr>
            <w:r>
              <w:rPr>
                <w:rFonts w:ascii="Arial" w:cs="Arial" w:eastAsia="Arial" w:hAnsi="Arial"/>
                <w:sz w:val="8"/>
                <w:szCs w:val="8"/>
                <w:color w:val="auto"/>
              </w:rPr>
              <w:t>17,668(f)</w:t>
            </w:r>
          </w:p>
        </w:tc>
        <w:tc>
          <w:tcPr>
            <w:tcW w:w="700" w:type="dxa"/>
            <w:vAlign w:val="bottom"/>
            <w:gridSpan w:val="2"/>
          </w:tcPr>
          <w:p>
            <w:pPr>
              <w:jc w:val="right"/>
              <w:spacing w:after="0" w:line="90" w:lineRule="exact"/>
              <w:rPr>
                <w:sz w:val="20"/>
                <w:szCs w:val="20"/>
                <w:color w:val="auto"/>
              </w:rPr>
            </w:pPr>
            <w:r>
              <w:rPr>
                <w:rFonts w:ascii="Arial" w:cs="Arial" w:eastAsia="Arial" w:hAnsi="Arial"/>
                <w:sz w:val="8"/>
                <w:szCs w:val="8"/>
                <w:color w:val="auto"/>
              </w:rPr>
              <w:t>$ 1,028,454</w:t>
            </w: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jc w:val="right"/>
              <w:ind w:right="38"/>
              <w:spacing w:after="0" w:line="90" w:lineRule="exact"/>
              <w:rPr>
                <w:sz w:val="20"/>
                <w:szCs w:val="20"/>
                <w:color w:val="auto"/>
              </w:rPr>
            </w:pPr>
            <w:r>
              <w:rPr>
                <w:rFonts w:ascii="Arial" w:cs="Arial" w:eastAsia="Arial" w:hAnsi="Arial"/>
                <w:sz w:val="8"/>
                <w:szCs w:val="8"/>
                <w:color w:val="auto"/>
              </w:rPr>
              <w:t>15,616(h)</w:t>
            </w:r>
          </w:p>
        </w:tc>
        <w:tc>
          <w:tcPr>
            <w:tcW w:w="320" w:type="dxa"/>
            <w:vAlign w:val="bottom"/>
          </w:tcPr>
          <w:p>
            <w:pPr>
              <w:ind w:left="240"/>
              <w:spacing w:after="0" w:line="90" w:lineRule="exact"/>
              <w:rPr>
                <w:sz w:val="20"/>
                <w:szCs w:val="20"/>
                <w:color w:val="auto"/>
              </w:rPr>
            </w:pPr>
            <w:r>
              <w:rPr>
                <w:rFonts w:ascii="Arial" w:cs="Arial" w:eastAsia="Arial" w:hAnsi="Arial"/>
                <w:sz w:val="8"/>
                <w:szCs w:val="8"/>
                <w:color w:val="auto"/>
              </w:rPr>
              <w:t>$</w:t>
            </w:r>
          </w:p>
        </w:tc>
        <w:tc>
          <w:tcPr>
            <w:tcW w:w="380" w:type="dxa"/>
            <w:vAlign w:val="bottom"/>
          </w:tcPr>
          <w:p>
            <w:pPr>
              <w:jc w:val="right"/>
              <w:spacing w:after="0" w:line="90" w:lineRule="exact"/>
              <w:rPr>
                <w:sz w:val="20"/>
                <w:szCs w:val="20"/>
                <w:color w:val="auto"/>
              </w:rPr>
            </w:pPr>
            <w:r>
              <w:rPr>
                <w:rFonts w:ascii="Arial" w:cs="Arial" w:eastAsia="Arial" w:hAnsi="Arial"/>
                <w:sz w:val="8"/>
                <w:szCs w:val="8"/>
                <w:color w:val="auto"/>
              </w:rPr>
              <w:t>909,007</w:t>
            </w:r>
          </w:p>
        </w:tc>
        <w:tc>
          <w:tcPr>
            <w:tcW w:w="0" w:type="dxa"/>
            <w:vAlign w:val="bottom"/>
          </w:tcPr>
          <w:p>
            <w:pPr>
              <w:spacing w:after="0"/>
              <w:rPr>
                <w:sz w:val="1"/>
                <w:szCs w:val="1"/>
                <w:color w:val="auto"/>
              </w:rPr>
            </w:pPr>
          </w:p>
        </w:tc>
      </w:tr>
      <w:tr>
        <w:trPr>
          <w:trHeight w:val="100"/>
        </w:trPr>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jc w:val="right"/>
              <w:ind w:right="118"/>
              <w:spacing w:after="0"/>
              <w:rPr>
                <w:sz w:val="20"/>
                <w:szCs w:val="20"/>
                <w:color w:val="auto"/>
              </w:rPr>
            </w:pPr>
            <w:r>
              <w:rPr>
                <w:rFonts w:ascii="Arial" w:cs="Arial" w:eastAsia="Arial" w:hAnsi="Arial"/>
                <w:sz w:val="8"/>
                <w:szCs w:val="8"/>
                <w:color w:val="auto"/>
              </w:rPr>
              <w:t>61,990(l)</w:t>
            </w:r>
          </w:p>
        </w:tc>
        <w:tc>
          <w:tcPr>
            <w:tcW w:w="620" w:type="dxa"/>
            <w:vAlign w:val="bottom"/>
            <w:gridSpan w:val="2"/>
            <w:vMerge w:val="restart"/>
          </w:tcPr>
          <w:p>
            <w:pPr>
              <w:jc w:val="right"/>
              <w:ind w:right="58"/>
              <w:spacing w:after="0"/>
              <w:rPr>
                <w:sz w:val="20"/>
                <w:szCs w:val="20"/>
                <w:color w:val="auto"/>
              </w:rPr>
            </w:pPr>
            <w:r>
              <w:rPr>
                <w:rFonts w:ascii="Arial" w:cs="Arial" w:eastAsia="Arial" w:hAnsi="Arial"/>
                <w:sz w:val="8"/>
                <w:szCs w:val="8"/>
                <w:color w:val="auto"/>
              </w:rPr>
              <w:t>$ 3,608,438</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32,135(j)</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$ 1,870,578</w:t>
            </w:r>
          </w:p>
        </w:tc>
        <w:tc>
          <w:tcPr>
            <w:tcW w:w="0" w:type="dxa"/>
            <w:vAlign w:val="bottom"/>
          </w:tcPr>
          <w:p>
            <w:pPr>
              <w:spacing w:after="0"/>
              <w:rPr>
                <w:sz w:val="1"/>
                <w:szCs w:val="1"/>
                <w:color w:val="auto"/>
              </w:rPr>
            </w:pPr>
          </w:p>
        </w:tc>
      </w:tr>
      <w:tr>
        <w:trPr>
          <w:trHeight w:val="80"/>
        </w:trPr>
        <w:tc>
          <w:tcPr>
            <w:tcW w:w="1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jc w:val="right"/>
              <w:ind w:right="118"/>
              <w:spacing w:after="0" w:line="90" w:lineRule="exact"/>
              <w:rPr>
                <w:sz w:val="20"/>
                <w:szCs w:val="20"/>
                <w:color w:val="auto"/>
              </w:rPr>
            </w:pPr>
            <w:r>
              <w:rPr>
                <w:rFonts w:ascii="Arial" w:cs="Arial" w:eastAsia="Arial" w:hAnsi="Arial"/>
                <w:sz w:val="8"/>
                <w:szCs w:val="8"/>
                <w:color w:val="auto"/>
              </w:rPr>
              <w:t>5,165(l)</w:t>
            </w:r>
          </w:p>
        </w:tc>
        <w:tc>
          <w:tcPr>
            <w:tcW w:w="140" w:type="dxa"/>
            <w:vAlign w:val="bottom"/>
          </w:tcPr>
          <w:p>
            <w:pPr>
              <w:ind w:left="100"/>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ind w:right="58"/>
              <w:spacing w:after="0" w:line="90" w:lineRule="exact"/>
              <w:rPr>
                <w:sz w:val="20"/>
                <w:szCs w:val="20"/>
                <w:color w:val="auto"/>
              </w:rPr>
            </w:pPr>
            <w:r>
              <w:rPr>
                <w:rFonts w:ascii="Arial" w:cs="Arial" w:eastAsia="Arial" w:hAnsi="Arial"/>
                <w:sz w:val="8"/>
                <w:szCs w:val="8"/>
                <w:color w:val="auto"/>
              </w:rPr>
              <w:t>300,655</w:t>
            </w: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jc w:val="right"/>
              <w:ind w:right="58"/>
              <w:spacing w:after="0" w:line="90" w:lineRule="exact"/>
              <w:rPr>
                <w:sz w:val="20"/>
                <w:szCs w:val="20"/>
                <w:color w:val="auto"/>
              </w:rPr>
            </w:pPr>
            <w:r>
              <w:rPr>
                <w:rFonts w:ascii="Arial" w:cs="Arial" w:eastAsia="Arial" w:hAnsi="Arial"/>
                <w:sz w:val="8"/>
                <w:szCs w:val="8"/>
                <w:color w:val="auto"/>
              </w:rPr>
              <w:t>22,174(m)</w:t>
            </w:r>
          </w:p>
        </w:tc>
        <w:tc>
          <w:tcPr>
            <w:tcW w:w="620" w:type="dxa"/>
            <w:vAlign w:val="bottom"/>
            <w:gridSpan w:val="2"/>
          </w:tcPr>
          <w:p>
            <w:pPr>
              <w:jc w:val="right"/>
              <w:ind w:right="58"/>
              <w:spacing w:after="0" w:line="90" w:lineRule="exact"/>
              <w:rPr>
                <w:sz w:val="20"/>
                <w:szCs w:val="20"/>
                <w:color w:val="auto"/>
              </w:rPr>
            </w:pPr>
            <w:r>
              <w:rPr>
                <w:rFonts w:ascii="Arial" w:cs="Arial" w:eastAsia="Arial" w:hAnsi="Arial"/>
                <w:sz w:val="8"/>
                <w:szCs w:val="8"/>
                <w:color w:val="auto"/>
              </w:rPr>
              <w:t>$ 1,290,749</w:t>
            </w: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vMerge w:val="restart"/>
          </w:tcPr>
          <w:p>
            <w:pPr>
              <w:jc w:val="right"/>
              <w:ind w:right="38"/>
              <w:spacing w:after="0"/>
              <w:rPr>
                <w:sz w:val="20"/>
                <w:szCs w:val="20"/>
                <w:color w:val="auto"/>
              </w:rPr>
            </w:pPr>
            <w:r>
              <w:rPr>
                <w:rFonts w:ascii="Arial" w:cs="Arial" w:eastAsia="Arial" w:hAnsi="Arial"/>
                <w:sz w:val="8"/>
                <w:szCs w:val="8"/>
                <w:color w:val="auto"/>
              </w:rPr>
              <w:t>51,662(a)</w:t>
            </w:r>
          </w:p>
        </w:tc>
        <w:tc>
          <w:tcPr>
            <w:tcW w:w="860" w:type="dxa"/>
            <w:vAlign w:val="bottom"/>
            <w:vMerge w:val="restart"/>
          </w:tcPr>
          <w:p>
            <w:pPr>
              <w:jc w:val="right"/>
              <w:ind w:right="118"/>
              <w:spacing w:after="0"/>
              <w:rPr>
                <w:sz w:val="20"/>
                <w:szCs w:val="20"/>
                <w:color w:val="auto"/>
              </w:rPr>
            </w:pPr>
            <w:r>
              <w:rPr>
                <w:rFonts w:ascii="Arial" w:cs="Arial" w:eastAsia="Arial" w:hAnsi="Arial"/>
                <w:sz w:val="8"/>
                <w:szCs w:val="8"/>
                <w:color w:val="auto"/>
              </w:rPr>
              <w:t>25,826</w:t>
            </w:r>
          </w:p>
        </w:tc>
        <w:tc>
          <w:tcPr>
            <w:tcW w:w="700" w:type="dxa"/>
            <w:vAlign w:val="bottom"/>
            <w:vMerge w:val="restart"/>
          </w:tcPr>
          <w:p>
            <w:pPr>
              <w:ind w:left="360"/>
              <w:spacing w:after="0"/>
              <w:rPr>
                <w:sz w:val="20"/>
                <w:szCs w:val="20"/>
                <w:color w:val="auto"/>
              </w:rPr>
            </w:pPr>
            <w:r>
              <w:rPr>
                <w:rFonts w:ascii="Arial" w:cs="Arial" w:eastAsia="Arial" w:hAnsi="Arial"/>
                <w:sz w:val="8"/>
                <w:szCs w:val="8"/>
                <w:color w:val="auto"/>
              </w:rPr>
              <w:t>—</w:t>
            </w:r>
          </w:p>
        </w:tc>
        <w:tc>
          <w:tcPr>
            <w:tcW w:w="520" w:type="dxa"/>
            <w:vAlign w:val="bottom"/>
            <w:vMerge w:val="restart"/>
          </w:tcPr>
          <w:p>
            <w:pPr>
              <w:jc w:val="right"/>
              <w:ind w:right="58"/>
              <w:spacing w:after="0"/>
              <w:rPr>
                <w:sz w:val="20"/>
                <w:szCs w:val="20"/>
                <w:color w:val="auto"/>
              </w:rPr>
            </w:pPr>
            <w:r>
              <w:rPr>
                <w:rFonts w:ascii="Arial" w:cs="Arial" w:eastAsia="Arial" w:hAnsi="Arial"/>
                <w:sz w:val="8"/>
                <w:szCs w:val="8"/>
                <w:color w:val="auto"/>
              </w:rPr>
              <w:t>$ 96.79</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8"/>
                <w:szCs w:val="8"/>
                <w:color w:val="auto"/>
              </w:rPr>
              <w:t>2/17/2027</w:t>
            </w: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16,067(p)</w:t>
            </w:r>
          </w:p>
        </w:tc>
        <w:tc>
          <w:tcPr>
            <w:tcW w:w="140" w:type="dxa"/>
            <w:vAlign w:val="bottom"/>
          </w:tcPr>
          <w:p>
            <w:pPr>
              <w:ind w:left="100"/>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ind w:right="58"/>
              <w:spacing w:after="0"/>
              <w:rPr>
                <w:sz w:val="20"/>
                <w:szCs w:val="20"/>
                <w:color w:val="auto"/>
              </w:rPr>
            </w:pPr>
            <w:r>
              <w:rPr>
                <w:rFonts w:ascii="Arial" w:cs="Arial" w:eastAsia="Arial" w:hAnsi="Arial"/>
                <w:sz w:val="8"/>
                <w:szCs w:val="8"/>
                <w:color w:val="auto"/>
              </w:rPr>
              <w:t>935,260</w:t>
            </w: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jc w:val="right"/>
              <w:ind w:right="38"/>
              <w:spacing w:after="0" w:line="90" w:lineRule="exact"/>
              <w:rPr>
                <w:sz w:val="20"/>
                <w:szCs w:val="20"/>
                <w:color w:val="auto"/>
              </w:rPr>
            </w:pPr>
            <w:r>
              <w:rPr>
                <w:rFonts w:ascii="Arial" w:cs="Arial" w:eastAsia="Arial" w:hAnsi="Arial"/>
                <w:sz w:val="8"/>
                <w:szCs w:val="8"/>
                <w:color w:val="auto"/>
              </w:rPr>
              <w:t>27,729(b)</w:t>
            </w:r>
          </w:p>
        </w:tc>
        <w:tc>
          <w:tcPr>
            <w:tcW w:w="860" w:type="dxa"/>
            <w:vAlign w:val="bottom"/>
          </w:tcPr>
          <w:p>
            <w:pPr>
              <w:jc w:val="right"/>
              <w:ind w:right="118"/>
              <w:spacing w:after="0" w:line="90" w:lineRule="exact"/>
              <w:rPr>
                <w:sz w:val="20"/>
                <w:szCs w:val="20"/>
                <w:color w:val="auto"/>
              </w:rPr>
            </w:pPr>
            <w:r>
              <w:rPr>
                <w:rFonts w:ascii="Arial" w:cs="Arial" w:eastAsia="Arial" w:hAnsi="Arial"/>
                <w:sz w:val="8"/>
                <w:szCs w:val="8"/>
                <w:color w:val="auto"/>
              </w:rPr>
              <w:t>55,438</w:t>
            </w:r>
          </w:p>
        </w:tc>
        <w:tc>
          <w:tcPr>
            <w:tcW w:w="700" w:type="dxa"/>
            <w:vAlign w:val="bottom"/>
          </w:tcPr>
          <w:p>
            <w:pPr>
              <w:ind w:left="360"/>
              <w:spacing w:after="0" w:line="90" w:lineRule="exact"/>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line="90" w:lineRule="exact"/>
              <w:rPr>
                <w:sz w:val="20"/>
                <w:szCs w:val="20"/>
                <w:color w:val="auto"/>
              </w:rPr>
            </w:pPr>
            <w:r>
              <w:rPr>
                <w:rFonts w:ascii="Arial" w:cs="Arial" w:eastAsia="Arial" w:hAnsi="Arial"/>
                <w:sz w:val="8"/>
                <w:szCs w:val="8"/>
                <w:color w:val="auto"/>
              </w:rPr>
              <w:t>$ 90.18</w:t>
            </w:r>
          </w:p>
        </w:tc>
        <w:tc>
          <w:tcPr>
            <w:tcW w:w="66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rPr>
              <w:t>2/17/2028</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ind w:right="38"/>
              <w:spacing w:after="0"/>
              <w:rPr>
                <w:sz w:val="20"/>
                <w:szCs w:val="20"/>
                <w:color w:val="auto"/>
              </w:rPr>
            </w:pPr>
            <w:r>
              <w:rPr>
                <w:rFonts w:ascii="Arial" w:cs="Arial" w:eastAsia="Arial" w:hAnsi="Arial"/>
                <w:sz w:val="8"/>
                <w:szCs w:val="8"/>
                <w:color w:val="auto"/>
              </w:rPr>
              <w:t>0(e)</w:t>
            </w:r>
          </w:p>
        </w:tc>
        <w:tc>
          <w:tcPr>
            <w:tcW w:w="860" w:type="dxa"/>
            <w:vAlign w:val="bottom"/>
          </w:tcPr>
          <w:p>
            <w:pPr>
              <w:jc w:val="right"/>
              <w:ind w:right="118"/>
              <w:spacing w:after="0"/>
              <w:rPr>
                <w:sz w:val="20"/>
                <w:szCs w:val="20"/>
                <w:color w:val="auto"/>
              </w:rPr>
            </w:pPr>
            <w:r>
              <w:rPr>
                <w:rFonts w:ascii="Arial" w:cs="Arial" w:eastAsia="Arial" w:hAnsi="Arial"/>
                <w:sz w:val="8"/>
                <w:szCs w:val="8"/>
                <w:color w:val="auto"/>
              </w:rPr>
              <w:t>79,039</w:t>
            </w:r>
          </w:p>
        </w:tc>
        <w:tc>
          <w:tcPr>
            <w:tcW w:w="700" w:type="dxa"/>
            <w:vAlign w:val="bottom"/>
          </w:tcPr>
          <w:p>
            <w:pPr>
              <w:ind w:left="360"/>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rPr>
                <w:sz w:val="20"/>
                <w:szCs w:val="20"/>
                <w:color w:val="auto"/>
              </w:rPr>
            </w:pPr>
            <w:r>
              <w:rPr>
                <w:rFonts w:ascii="Arial" w:cs="Arial" w:eastAsia="Arial" w:hAnsi="Arial"/>
                <w:sz w:val="8"/>
                <w:szCs w:val="8"/>
                <w:color w:val="auto"/>
              </w:rPr>
              <w:t>$ 94.89</w:t>
            </w:r>
          </w:p>
        </w:tc>
        <w:tc>
          <w:tcPr>
            <w:tcW w:w="660" w:type="dxa"/>
            <w:vAlign w:val="bottom"/>
            <w:gridSpan w:val="2"/>
          </w:tcPr>
          <w:p>
            <w:pPr>
              <w:jc w:val="right"/>
              <w:ind w:right="160"/>
              <w:spacing w:after="0"/>
              <w:rPr>
                <w:sz w:val="20"/>
                <w:szCs w:val="20"/>
                <w:color w:val="auto"/>
              </w:rPr>
            </w:pPr>
            <w:r>
              <w:rPr>
                <w:rFonts w:ascii="Arial" w:cs="Arial" w:eastAsia="Arial" w:hAnsi="Arial"/>
                <w:sz w:val="8"/>
                <w:szCs w:val="8"/>
                <w:color w:val="auto"/>
              </w:rPr>
              <w:t>2/25/2029</w:t>
            </w: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41910</wp:posOffset>
            </wp:positionV>
            <wp:extent cx="4663440" cy="571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12" w:lineRule="exact"/>
        <w:rPr>
          <w:sz w:val="20"/>
          <w:szCs w:val="20"/>
          <w:color w:val="auto"/>
        </w:rPr>
      </w:pPr>
    </w:p>
    <w:p>
      <w:pPr>
        <w:ind w:left="2260" w:right="979" w:hanging="288"/>
        <w:spacing w:after="0" w:line="232" w:lineRule="auto"/>
        <w:tabs>
          <w:tab w:leader="none" w:pos="2260" w:val="left"/>
        </w:tabs>
        <w:numPr>
          <w:ilvl w:val="0"/>
          <w:numId w:val="53"/>
        </w:numPr>
        <w:rPr>
          <w:rFonts w:ascii="Arial" w:cs="Arial" w:eastAsia="Arial" w:hAnsi="Arial"/>
          <w:sz w:val="10"/>
          <w:szCs w:val="10"/>
          <w:color w:val="auto"/>
        </w:rPr>
      </w:pPr>
      <w:r>
        <w:rPr>
          <w:rFonts w:ascii="Arial" w:cs="Arial" w:eastAsia="Arial" w:hAnsi="Arial"/>
          <w:sz w:val="10"/>
          <w:szCs w:val="10"/>
          <w:color w:val="auto"/>
        </w:rPr>
        <w:t>One-third of these options vested on February 18, 2021, one third vested on February 18, 2022, and the remaining options will vest on February 18, 2023, provided the recipient continues employment with the Company through the applicable vesting dates.</w:t>
      </w:r>
    </w:p>
    <w:p>
      <w:pPr>
        <w:spacing w:after="0" w:line="47" w:lineRule="exact"/>
        <w:rPr>
          <w:rFonts w:ascii="Arial" w:cs="Arial" w:eastAsia="Arial" w:hAnsi="Arial"/>
          <w:sz w:val="10"/>
          <w:szCs w:val="10"/>
          <w:color w:val="auto"/>
        </w:rPr>
      </w:pPr>
    </w:p>
    <w:p>
      <w:pPr>
        <w:ind w:left="2260" w:right="1159" w:hanging="288"/>
        <w:spacing w:after="0" w:line="232" w:lineRule="auto"/>
        <w:tabs>
          <w:tab w:leader="none" w:pos="2260" w:val="left"/>
        </w:tabs>
        <w:numPr>
          <w:ilvl w:val="0"/>
          <w:numId w:val="53"/>
        </w:numPr>
        <w:rPr>
          <w:rFonts w:ascii="Arial" w:cs="Arial" w:eastAsia="Arial" w:hAnsi="Arial"/>
          <w:sz w:val="10"/>
          <w:szCs w:val="10"/>
          <w:color w:val="auto"/>
        </w:rPr>
      </w:pPr>
      <w:r>
        <w:rPr>
          <w:rFonts w:ascii="Arial" w:cs="Arial" w:eastAsia="Arial" w:hAnsi="Arial"/>
          <w:sz w:val="10"/>
          <w:szCs w:val="10"/>
          <w:color w:val="auto"/>
        </w:rPr>
        <w:t>One-third of these options vested on February 17, 2022, and the remaining options will vest in equal installments on February 17, 2023 and February 17, 2024, provided the recipient continues employment with the Company through the applicable vesting dates.</w:t>
      </w:r>
    </w:p>
    <w:p>
      <w:pPr>
        <w:spacing w:after="0" w:line="47" w:lineRule="exact"/>
        <w:rPr>
          <w:rFonts w:ascii="Arial" w:cs="Arial" w:eastAsia="Arial" w:hAnsi="Arial"/>
          <w:sz w:val="10"/>
          <w:szCs w:val="10"/>
          <w:color w:val="auto"/>
        </w:rPr>
      </w:pPr>
    </w:p>
    <w:p>
      <w:pPr>
        <w:ind w:left="2260" w:right="959" w:hanging="288"/>
        <w:spacing w:after="0" w:line="232" w:lineRule="auto"/>
        <w:tabs>
          <w:tab w:leader="none" w:pos="2260" w:val="left"/>
        </w:tabs>
        <w:numPr>
          <w:ilvl w:val="0"/>
          <w:numId w:val="53"/>
        </w:numPr>
        <w:rPr>
          <w:rFonts w:ascii="Arial" w:cs="Arial" w:eastAsia="Arial" w:hAnsi="Arial"/>
          <w:sz w:val="10"/>
          <w:szCs w:val="10"/>
          <w:color w:val="auto"/>
        </w:rPr>
      </w:pPr>
      <w:r>
        <w:rPr>
          <w:rFonts w:ascii="Arial" w:cs="Arial" w:eastAsia="Arial" w:hAnsi="Arial"/>
          <w:sz w:val="10"/>
          <w:szCs w:val="10"/>
          <w:color w:val="auto"/>
        </w:rPr>
        <w:t>One-third of these options vested on March 23, 2022, and the remaining options will vest in equal installments on March 23, 2023 and March 23, 2024, provided the recipient continues employment with the Company through the applicable vesting dates.</w:t>
      </w:r>
    </w:p>
    <w:p>
      <w:pPr>
        <w:spacing w:after="0" w:line="47" w:lineRule="exact"/>
        <w:rPr>
          <w:rFonts w:ascii="Arial" w:cs="Arial" w:eastAsia="Arial" w:hAnsi="Arial"/>
          <w:sz w:val="10"/>
          <w:szCs w:val="10"/>
          <w:color w:val="auto"/>
        </w:rPr>
      </w:pPr>
    </w:p>
    <w:p>
      <w:pPr>
        <w:ind w:left="2260" w:right="959" w:hanging="288"/>
        <w:spacing w:after="0" w:line="232" w:lineRule="auto"/>
        <w:tabs>
          <w:tab w:leader="none" w:pos="2260" w:val="left"/>
        </w:tabs>
        <w:numPr>
          <w:ilvl w:val="0"/>
          <w:numId w:val="53"/>
        </w:numPr>
        <w:rPr>
          <w:rFonts w:ascii="Arial" w:cs="Arial" w:eastAsia="Arial" w:hAnsi="Arial"/>
          <w:sz w:val="10"/>
          <w:szCs w:val="10"/>
          <w:color w:val="auto"/>
        </w:rPr>
      </w:pPr>
      <w:r>
        <w:rPr>
          <w:rFonts w:ascii="Arial" w:cs="Arial" w:eastAsia="Arial" w:hAnsi="Arial"/>
          <w:sz w:val="10"/>
          <w:szCs w:val="10"/>
          <w:color w:val="auto"/>
        </w:rPr>
        <w:t>One-third of these options vested on March 11, 2022, and the remaining options will vest in equal installments on March 11, 2023 and March 11, 2024, provided the recipient continues employment with the Company through the applicable vesting dates.</w:t>
      </w:r>
    </w:p>
    <w:p>
      <w:pPr>
        <w:spacing w:after="0" w:line="47" w:lineRule="exact"/>
        <w:rPr>
          <w:rFonts w:ascii="Arial" w:cs="Arial" w:eastAsia="Arial" w:hAnsi="Arial"/>
          <w:sz w:val="10"/>
          <w:szCs w:val="10"/>
          <w:color w:val="auto"/>
        </w:rPr>
      </w:pPr>
    </w:p>
    <w:p>
      <w:pPr>
        <w:ind w:left="2260" w:right="999" w:hanging="288"/>
        <w:spacing w:after="0" w:line="232" w:lineRule="auto"/>
        <w:tabs>
          <w:tab w:leader="none" w:pos="2260" w:val="left"/>
        </w:tabs>
        <w:numPr>
          <w:ilvl w:val="0"/>
          <w:numId w:val="53"/>
        </w:numPr>
        <w:rPr>
          <w:rFonts w:ascii="Arial" w:cs="Arial" w:eastAsia="Arial" w:hAnsi="Arial"/>
          <w:sz w:val="10"/>
          <w:szCs w:val="10"/>
          <w:color w:val="auto"/>
        </w:rPr>
      </w:pPr>
      <w:r>
        <w:rPr>
          <w:rFonts w:ascii="Arial" w:cs="Arial" w:eastAsia="Arial" w:hAnsi="Arial"/>
          <w:sz w:val="10"/>
          <w:szCs w:val="10"/>
          <w:color w:val="auto"/>
        </w:rPr>
        <w:t>One-third of these options will vest on each of February 25, 2023, February 25, 2024 and February 25, 2025, provided the recipient continues employment with the Company through the applicable vesting dates.</w:t>
      </w:r>
    </w:p>
    <w:p>
      <w:pPr>
        <w:spacing w:after="0" w:line="47" w:lineRule="exact"/>
        <w:rPr>
          <w:rFonts w:ascii="Arial" w:cs="Arial" w:eastAsia="Arial" w:hAnsi="Arial"/>
          <w:sz w:val="10"/>
          <w:szCs w:val="10"/>
          <w:color w:val="auto"/>
        </w:rPr>
      </w:pPr>
    </w:p>
    <w:p>
      <w:pPr>
        <w:ind w:left="2260" w:right="879" w:hanging="288"/>
        <w:spacing w:after="0" w:line="228" w:lineRule="auto"/>
        <w:tabs>
          <w:tab w:leader="none" w:pos="2260" w:val="left"/>
        </w:tabs>
        <w:numPr>
          <w:ilvl w:val="0"/>
          <w:numId w:val="53"/>
        </w:numPr>
        <w:rPr>
          <w:rFonts w:ascii="Arial" w:cs="Arial" w:eastAsia="Arial" w:hAnsi="Arial"/>
          <w:sz w:val="10"/>
          <w:szCs w:val="10"/>
          <w:color w:val="auto"/>
        </w:rPr>
      </w:pPr>
      <w:r>
        <w:rPr>
          <w:rFonts w:ascii="Arial" w:cs="Arial" w:eastAsia="Arial" w:hAnsi="Arial"/>
          <w:sz w:val="10"/>
          <w:szCs w:val="10"/>
          <w:color w:val="auto"/>
        </w:rPr>
        <w:t>These contingent stock performance awards granted in February 2020 with a trailing three-year performance period ending at the end of fiscal 2022 are reflected at 45% of the target number of shares subject to such awards for the two-metric awards issued to Messrs. Cocks and Nyman and at 57% of the target number of shares subject to such awards for the three-metric award issued to Ms. Thomas and Mr. Throop, following affirmation by the Committee of the Company’s financial performance under these awards at the payout level set forth above.</w:t>
      </w:r>
    </w:p>
    <w:p>
      <w:pPr>
        <w:spacing w:after="0" w:line="49" w:lineRule="exact"/>
        <w:rPr>
          <w:rFonts w:ascii="Arial" w:cs="Arial" w:eastAsia="Arial" w:hAnsi="Arial"/>
          <w:sz w:val="10"/>
          <w:szCs w:val="10"/>
          <w:color w:val="auto"/>
        </w:rPr>
      </w:pPr>
    </w:p>
    <w:p>
      <w:pPr>
        <w:ind w:left="2260" w:right="919" w:hanging="288"/>
        <w:spacing w:after="0" w:line="341" w:lineRule="auto"/>
        <w:tabs>
          <w:tab w:leader="none" w:pos="2260" w:val="left"/>
        </w:tabs>
        <w:numPr>
          <w:ilvl w:val="0"/>
          <w:numId w:val="53"/>
        </w:numPr>
        <w:rPr>
          <w:rFonts w:ascii="Arial" w:cs="Arial" w:eastAsia="Arial" w:hAnsi="Arial"/>
          <w:sz w:val="8"/>
          <w:szCs w:val="8"/>
          <w:color w:val="auto"/>
        </w:rPr>
      </w:pPr>
      <w:r>
        <w:rPr>
          <w:rFonts w:ascii="Arial" w:cs="Arial" w:eastAsia="Arial" w:hAnsi="Arial"/>
          <w:sz w:val="8"/>
          <w:szCs w:val="8"/>
          <w:color w:val="auto"/>
        </w:rPr>
        <w:t>These contingent stock performance awards granted to Mr. Cocks in February 2020 with a trailing three-year performance period ending at the end of fiscal 2022 are reflected at 100%, following affirmation by the Committee of the Company’s financial performance under these awards at the payout level set forth above.</w:t>
      </w:r>
    </w:p>
    <w:p>
      <w:pPr>
        <w:spacing w:after="0" w:line="8" w:lineRule="exact"/>
        <w:rPr>
          <w:rFonts w:ascii="Arial" w:cs="Arial" w:eastAsia="Arial" w:hAnsi="Arial"/>
          <w:sz w:val="8"/>
          <w:szCs w:val="8"/>
          <w:color w:val="auto"/>
        </w:rPr>
      </w:pPr>
    </w:p>
    <w:p>
      <w:pPr>
        <w:ind w:left="2260" w:right="859" w:hanging="288"/>
        <w:spacing w:after="0" w:line="341" w:lineRule="auto"/>
        <w:tabs>
          <w:tab w:leader="none" w:pos="2260" w:val="left"/>
        </w:tabs>
        <w:numPr>
          <w:ilvl w:val="0"/>
          <w:numId w:val="53"/>
        </w:numPr>
        <w:rPr>
          <w:rFonts w:ascii="Arial" w:cs="Arial" w:eastAsia="Arial" w:hAnsi="Arial"/>
          <w:sz w:val="8"/>
          <w:szCs w:val="8"/>
          <w:color w:val="auto"/>
        </w:rPr>
      </w:pPr>
      <w:r>
        <w:rPr>
          <w:rFonts w:ascii="Arial" w:cs="Arial" w:eastAsia="Arial" w:hAnsi="Arial"/>
          <w:sz w:val="8"/>
          <w:szCs w:val="8"/>
          <w:color w:val="auto"/>
        </w:rPr>
        <w:t>These contingent stock performance awards granted in March 2021 are reflected at the target number of shares for such awards, even though the performance period will not end until December 2023 and there is no assurance that the target amounts, or even the threshold amounts, will be earned under these awards.</w:t>
      </w:r>
    </w:p>
    <w:p>
      <w:pPr>
        <w:spacing w:after="0" w:line="8" w:lineRule="exact"/>
        <w:rPr>
          <w:rFonts w:ascii="Arial" w:cs="Arial" w:eastAsia="Arial" w:hAnsi="Arial"/>
          <w:sz w:val="8"/>
          <w:szCs w:val="8"/>
          <w:color w:val="auto"/>
        </w:rPr>
      </w:pPr>
    </w:p>
    <w:p>
      <w:pPr>
        <w:ind w:left="2260" w:right="979" w:hanging="288"/>
        <w:spacing w:after="0" w:line="230" w:lineRule="auto"/>
        <w:tabs>
          <w:tab w:leader="none" w:pos="2260" w:val="left"/>
        </w:tabs>
        <w:numPr>
          <w:ilvl w:val="0"/>
          <w:numId w:val="53"/>
        </w:numPr>
        <w:rPr>
          <w:rFonts w:ascii="Arial" w:cs="Arial" w:eastAsia="Arial" w:hAnsi="Arial"/>
          <w:sz w:val="10"/>
          <w:szCs w:val="10"/>
          <w:color w:val="auto"/>
        </w:rPr>
      </w:pPr>
      <w:r>
        <w:rPr>
          <w:rFonts w:ascii="Arial" w:cs="Arial" w:eastAsia="Arial" w:hAnsi="Arial"/>
          <w:sz w:val="10"/>
          <w:szCs w:val="10"/>
          <w:color w:val="auto"/>
        </w:rPr>
        <w:t>These contingent stock performance awards granted to Mr. Cocks in March 2021 are reflected at the target number of shares for such awards, even though the performance period will not end until December 2023 and there is no assurance that the target amounts, or even the threshold amounts, will be earned under these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90805</wp:posOffset>
            </wp:positionV>
            <wp:extent cx="3971925" cy="21717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90"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57</w:t>
      </w:r>
    </w:p>
    <w:p>
      <w:pPr>
        <w:sectPr>
          <w:pgSz w:w="11900" w:h="16838" w:orient="portrait"/>
          <w:cols w:equalWidth="0" w:num="1">
            <w:col w:w="10159"/>
          </w:cols>
          <w:pgMar w:left="300" w:top="372" w:right="1440" w:bottom="1440" w:gutter="0" w:footer="0" w:header="0"/>
        </w:sectPr>
      </w:pPr>
    </w:p>
    <w:bookmarkStart w:id="79" w:name="page80"/>
    <w:bookmarkEnd w:id="7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8" w:lineRule="exact"/>
        <w:rPr>
          <w:sz w:val="20"/>
          <w:szCs w:val="20"/>
          <w:color w:val="auto"/>
        </w:rPr>
      </w:pPr>
    </w:p>
    <w:p>
      <w:pPr>
        <w:ind w:left="2260" w:right="859" w:hanging="288"/>
        <w:spacing w:after="0" w:line="341" w:lineRule="auto"/>
        <w:tabs>
          <w:tab w:leader="none" w:pos="2260" w:val="left"/>
        </w:tabs>
        <w:numPr>
          <w:ilvl w:val="0"/>
          <w:numId w:val="54"/>
        </w:numPr>
        <w:rPr>
          <w:rFonts w:ascii="Arial" w:cs="Arial" w:eastAsia="Arial" w:hAnsi="Arial"/>
          <w:sz w:val="8"/>
          <w:szCs w:val="8"/>
          <w:color w:val="auto"/>
        </w:rPr>
      </w:pPr>
      <w:r>
        <w:rPr>
          <w:rFonts w:ascii="Arial" w:cs="Arial" w:eastAsia="Arial" w:hAnsi="Arial"/>
          <w:sz w:val="8"/>
          <w:szCs w:val="8"/>
          <w:color w:val="auto"/>
        </w:rPr>
        <w:t>These contingent stock performance awards granted in March 2022 are reflected at the target number of shares for such awards, even though the performance period will not end until December 2024 and there is no assurance that the target amounts, or even the threshold amounts, will be earned under these awards.</w:t>
      </w:r>
    </w:p>
    <w:p>
      <w:pPr>
        <w:spacing w:after="0" w:line="8" w:lineRule="exact"/>
        <w:rPr>
          <w:rFonts w:ascii="Arial" w:cs="Arial" w:eastAsia="Arial" w:hAnsi="Arial"/>
          <w:sz w:val="8"/>
          <w:szCs w:val="8"/>
          <w:color w:val="auto"/>
        </w:rPr>
      </w:pPr>
    </w:p>
    <w:p>
      <w:pPr>
        <w:ind w:left="2260" w:right="939" w:hanging="288"/>
        <w:spacing w:after="0" w:line="232" w:lineRule="auto"/>
        <w:tabs>
          <w:tab w:leader="none" w:pos="2260" w:val="left"/>
        </w:tabs>
        <w:numPr>
          <w:ilvl w:val="0"/>
          <w:numId w:val="54"/>
        </w:numPr>
        <w:rPr>
          <w:rFonts w:ascii="Arial" w:cs="Arial" w:eastAsia="Arial" w:hAnsi="Arial"/>
          <w:sz w:val="10"/>
          <w:szCs w:val="10"/>
          <w:color w:val="auto"/>
        </w:rPr>
      </w:pPr>
      <w:r>
        <w:rPr>
          <w:rFonts w:ascii="Arial" w:cs="Arial" w:eastAsia="Arial" w:hAnsi="Arial"/>
          <w:sz w:val="10"/>
          <w:szCs w:val="10"/>
          <w:color w:val="auto"/>
        </w:rPr>
        <w:t>Comprised of restricted stock units granted on March 14, 2019, of which 3,453 units vested on March 14, 2022, and the remaining 5,178 units will vest on March 14, 2024 provided the recipient continues employment with the Company through the applicable vesting date.</w:t>
      </w:r>
    </w:p>
    <w:p>
      <w:pPr>
        <w:spacing w:after="0" w:line="47" w:lineRule="exact"/>
        <w:rPr>
          <w:rFonts w:ascii="Arial" w:cs="Arial" w:eastAsia="Arial" w:hAnsi="Arial"/>
          <w:sz w:val="10"/>
          <w:szCs w:val="10"/>
          <w:color w:val="auto"/>
        </w:rPr>
      </w:pPr>
    </w:p>
    <w:p>
      <w:pPr>
        <w:ind w:left="2260" w:right="1019" w:hanging="288"/>
        <w:spacing w:after="0" w:line="232" w:lineRule="auto"/>
        <w:tabs>
          <w:tab w:leader="none" w:pos="2260" w:val="left"/>
        </w:tabs>
        <w:numPr>
          <w:ilvl w:val="0"/>
          <w:numId w:val="54"/>
        </w:numPr>
        <w:rPr>
          <w:rFonts w:ascii="Arial" w:cs="Arial" w:eastAsia="Arial" w:hAnsi="Arial"/>
          <w:sz w:val="10"/>
          <w:szCs w:val="10"/>
          <w:color w:val="auto"/>
        </w:rPr>
      </w:pPr>
      <w:r>
        <w:rPr>
          <w:rFonts w:ascii="Arial" w:cs="Arial" w:eastAsia="Arial" w:hAnsi="Arial"/>
          <w:sz w:val="10"/>
          <w:szCs w:val="10"/>
          <w:color w:val="auto"/>
        </w:rPr>
        <w:t>Comprised of restricted stock units granted on February 18, 2020, of which one-third vested on February 18, 2021, one-third vested on February 18, 2022, and the remaining third will vest on February 18, 2023 provided the recipient continues employment with the Company through the applicable vesting date.</w:t>
      </w:r>
    </w:p>
    <w:p>
      <w:pPr>
        <w:spacing w:after="0" w:line="47" w:lineRule="exact"/>
        <w:rPr>
          <w:rFonts w:ascii="Arial" w:cs="Arial" w:eastAsia="Arial" w:hAnsi="Arial"/>
          <w:sz w:val="10"/>
          <w:szCs w:val="10"/>
          <w:color w:val="auto"/>
        </w:rPr>
      </w:pPr>
    </w:p>
    <w:p>
      <w:pPr>
        <w:ind w:left="2260" w:right="1159" w:hanging="288"/>
        <w:spacing w:after="0" w:line="341" w:lineRule="auto"/>
        <w:tabs>
          <w:tab w:leader="none" w:pos="2260" w:val="left"/>
        </w:tabs>
        <w:numPr>
          <w:ilvl w:val="0"/>
          <w:numId w:val="54"/>
        </w:numPr>
        <w:rPr>
          <w:rFonts w:ascii="Arial" w:cs="Arial" w:eastAsia="Arial" w:hAnsi="Arial"/>
          <w:sz w:val="8"/>
          <w:szCs w:val="8"/>
          <w:color w:val="auto"/>
        </w:rPr>
      </w:pPr>
      <w:r>
        <w:rPr>
          <w:rFonts w:ascii="Arial" w:cs="Arial" w:eastAsia="Arial" w:hAnsi="Arial"/>
          <w:sz w:val="8"/>
          <w:szCs w:val="8"/>
          <w:color w:val="auto"/>
        </w:rPr>
        <w:t>Comprised of restricted stock units granted on February 17, 2021 of which one-third vested on February 17, 2022, and the remaining units will vest in equal installments on February 17, 2023 and February 17, 2024, provided the recipient continues employment with the Company through the applicable vesting date.</w:t>
      </w:r>
    </w:p>
    <w:p>
      <w:pPr>
        <w:spacing w:after="0" w:line="8" w:lineRule="exact"/>
        <w:rPr>
          <w:rFonts w:ascii="Arial" w:cs="Arial" w:eastAsia="Arial" w:hAnsi="Arial"/>
          <w:sz w:val="8"/>
          <w:szCs w:val="8"/>
          <w:color w:val="auto"/>
        </w:rPr>
      </w:pPr>
    </w:p>
    <w:p>
      <w:pPr>
        <w:ind w:left="2260" w:right="879" w:hanging="288"/>
        <w:spacing w:after="0" w:line="232" w:lineRule="auto"/>
        <w:tabs>
          <w:tab w:leader="none" w:pos="2260" w:val="left"/>
        </w:tabs>
        <w:numPr>
          <w:ilvl w:val="0"/>
          <w:numId w:val="54"/>
        </w:numPr>
        <w:rPr>
          <w:rFonts w:ascii="Arial" w:cs="Arial" w:eastAsia="Arial" w:hAnsi="Arial"/>
          <w:sz w:val="10"/>
          <w:szCs w:val="10"/>
          <w:color w:val="auto"/>
        </w:rPr>
      </w:pPr>
      <w:r>
        <w:rPr>
          <w:rFonts w:ascii="Arial" w:cs="Arial" w:eastAsia="Arial" w:hAnsi="Arial"/>
          <w:sz w:val="10"/>
          <w:szCs w:val="10"/>
          <w:color w:val="auto"/>
        </w:rPr>
        <w:t>Comprised of restricted stock units granted on March 11, 2021 of which one-third vested on March 11, 2022, and the remaining units will vest in equal installments on March 11, 2023 and March 11, 2024 provided the recipient continues employment with the Company through the applicable vesting date.</w:t>
      </w:r>
    </w:p>
    <w:p>
      <w:pPr>
        <w:spacing w:after="0" w:line="74" w:lineRule="exact"/>
        <w:rPr>
          <w:rFonts w:ascii="Arial" w:cs="Arial" w:eastAsia="Arial" w:hAnsi="Arial"/>
          <w:sz w:val="10"/>
          <w:szCs w:val="10"/>
          <w:color w:val="auto"/>
        </w:rPr>
      </w:pPr>
    </w:p>
    <w:p>
      <w:pPr>
        <w:ind w:left="2260" w:right="879" w:hanging="288"/>
        <w:spacing w:after="0" w:line="232" w:lineRule="auto"/>
        <w:tabs>
          <w:tab w:leader="none" w:pos="2260" w:val="left"/>
        </w:tabs>
        <w:numPr>
          <w:ilvl w:val="0"/>
          <w:numId w:val="54"/>
        </w:numPr>
        <w:rPr>
          <w:rFonts w:ascii="Arial" w:cs="Arial" w:eastAsia="Arial" w:hAnsi="Arial"/>
          <w:sz w:val="10"/>
          <w:szCs w:val="10"/>
          <w:color w:val="auto"/>
        </w:rPr>
      </w:pPr>
      <w:r>
        <w:rPr>
          <w:rFonts w:ascii="Arial" w:cs="Arial" w:eastAsia="Arial" w:hAnsi="Arial"/>
          <w:sz w:val="10"/>
          <w:szCs w:val="10"/>
          <w:color w:val="auto"/>
        </w:rPr>
        <w:t>Comprised of restricted stock units granted on March 23, 2021 of which one-third vested on March 23, 2022, and the remaining units will vest in equal installments on March 23, 2023 and March 23, 2024 provided the recipient continues employment with the Company through the applicable vesting date.</w:t>
      </w:r>
    </w:p>
    <w:p>
      <w:pPr>
        <w:spacing w:after="0" w:line="47" w:lineRule="exact"/>
        <w:rPr>
          <w:rFonts w:ascii="Arial" w:cs="Arial" w:eastAsia="Arial" w:hAnsi="Arial"/>
          <w:sz w:val="10"/>
          <w:szCs w:val="10"/>
          <w:color w:val="auto"/>
        </w:rPr>
      </w:pPr>
    </w:p>
    <w:p>
      <w:pPr>
        <w:ind w:left="2260" w:right="959" w:hanging="288"/>
        <w:spacing w:after="0" w:line="232" w:lineRule="auto"/>
        <w:tabs>
          <w:tab w:leader="none" w:pos="2260" w:val="left"/>
        </w:tabs>
        <w:numPr>
          <w:ilvl w:val="0"/>
          <w:numId w:val="54"/>
        </w:numPr>
        <w:rPr>
          <w:rFonts w:ascii="Arial" w:cs="Arial" w:eastAsia="Arial" w:hAnsi="Arial"/>
          <w:sz w:val="10"/>
          <w:szCs w:val="10"/>
          <w:color w:val="auto"/>
        </w:rPr>
      </w:pPr>
      <w:r>
        <w:rPr>
          <w:rFonts w:ascii="Arial" w:cs="Arial" w:eastAsia="Arial" w:hAnsi="Arial"/>
          <w:sz w:val="10"/>
          <w:szCs w:val="10"/>
          <w:color w:val="auto"/>
        </w:rPr>
        <w:t>Comprised of restricted stock units granted on February 25, 2022 which vest in three equal installments on February 25, 2023, February 25, 2024, and February 25, 2025 provided the recipient continues employment with the Company through the applicable vesting date.</w:t>
      </w:r>
    </w:p>
    <w:p>
      <w:pPr>
        <w:spacing w:after="0" w:line="47" w:lineRule="exact"/>
        <w:rPr>
          <w:rFonts w:ascii="Arial" w:cs="Arial" w:eastAsia="Arial" w:hAnsi="Arial"/>
          <w:sz w:val="10"/>
          <w:szCs w:val="10"/>
          <w:color w:val="auto"/>
        </w:rPr>
      </w:pPr>
    </w:p>
    <w:p>
      <w:pPr>
        <w:ind w:left="2260" w:hanging="288"/>
        <w:spacing w:after="0"/>
        <w:tabs>
          <w:tab w:leader="none" w:pos="2260" w:val="left"/>
        </w:tabs>
        <w:numPr>
          <w:ilvl w:val="0"/>
          <w:numId w:val="54"/>
        </w:numPr>
        <w:rPr>
          <w:rFonts w:ascii="Arial" w:cs="Arial" w:eastAsia="Arial" w:hAnsi="Arial"/>
          <w:sz w:val="10"/>
          <w:szCs w:val="10"/>
          <w:color w:val="auto"/>
        </w:rPr>
      </w:pPr>
      <w:r>
        <w:rPr>
          <w:rFonts w:ascii="Arial" w:cs="Arial" w:eastAsia="Arial" w:hAnsi="Arial"/>
          <w:sz w:val="10"/>
          <w:szCs w:val="10"/>
          <w:color w:val="auto"/>
        </w:rPr>
        <w:t>Comprised of restricted stock units granted on February 25, 2022, which will fully vest on December 31, 2023.</w:t>
      </w:r>
    </w:p>
    <w:p>
      <w:pPr>
        <w:spacing w:after="0" w:line="47" w:lineRule="exact"/>
        <w:rPr>
          <w:rFonts w:ascii="Arial" w:cs="Arial" w:eastAsia="Arial" w:hAnsi="Arial"/>
          <w:sz w:val="10"/>
          <w:szCs w:val="10"/>
          <w:color w:val="auto"/>
        </w:rPr>
      </w:pPr>
    </w:p>
    <w:p>
      <w:pPr>
        <w:ind w:left="2260" w:right="859" w:hanging="288"/>
        <w:spacing w:after="0" w:line="232" w:lineRule="auto"/>
        <w:tabs>
          <w:tab w:leader="none" w:pos="2260" w:val="left"/>
        </w:tabs>
        <w:numPr>
          <w:ilvl w:val="0"/>
          <w:numId w:val="54"/>
        </w:numPr>
        <w:rPr>
          <w:rFonts w:ascii="Arial" w:cs="Arial" w:eastAsia="Arial" w:hAnsi="Arial"/>
          <w:sz w:val="10"/>
          <w:szCs w:val="10"/>
          <w:color w:val="auto"/>
        </w:rPr>
      </w:pPr>
      <w:r>
        <w:rPr>
          <w:rFonts w:ascii="Arial" w:cs="Arial" w:eastAsia="Arial" w:hAnsi="Arial"/>
          <w:sz w:val="10"/>
          <w:szCs w:val="10"/>
          <w:color w:val="auto"/>
        </w:rPr>
        <w:t>Comprised of restricted stock units granted on February 25, 2022 of which 16,071 units vested on August 25, 2022 and the remaining will vest in equal installments on February 25, 2023 and February 25, 2024 provided the recipient continues employment with the Company through the applicable vesting date.</w:t>
      </w:r>
    </w:p>
    <w:p>
      <w:pPr>
        <w:spacing w:after="0" w:line="91" w:lineRule="exact"/>
        <w:rPr>
          <w:sz w:val="20"/>
          <w:szCs w:val="20"/>
          <w:color w:val="auto"/>
        </w:rPr>
      </w:pPr>
    </w:p>
    <w:p>
      <w:pPr>
        <w:ind w:left="1980" w:right="839"/>
        <w:spacing w:after="0" w:line="245" w:lineRule="auto"/>
        <w:rPr>
          <w:sz w:val="20"/>
          <w:szCs w:val="20"/>
          <w:color w:val="auto"/>
        </w:rPr>
      </w:pPr>
      <w:r>
        <w:rPr>
          <w:rFonts w:ascii="Arial" w:cs="Arial" w:eastAsia="Arial" w:hAnsi="Arial"/>
          <w:sz w:val="11"/>
          <w:szCs w:val="11"/>
          <w:color w:val="auto"/>
        </w:rPr>
        <w:t>The amounts reported in the above table were computed by multiplying the number of shares by the closing share price of $58.21 on December 23, 2022, the last trading day of the Company’s 2022 fiscal year.</w:t>
      </w:r>
    </w:p>
    <w:p>
      <w:pPr>
        <w:spacing w:after="0" w:line="138" w:lineRule="exact"/>
        <w:rPr>
          <w:sz w:val="20"/>
          <w:szCs w:val="20"/>
          <w:color w:val="auto"/>
        </w:rPr>
      </w:pPr>
    </w:p>
    <w:p>
      <w:pPr>
        <w:ind w:left="1980" w:right="979"/>
        <w:spacing w:after="0" w:line="245" w:lineRule="auto"/>
        <w:rPr>
          <w:sz w:val="20"/>
          <w:szCs w:val="20"/>
          <w:color w:val="auto"/>
        </w:rPr>
      </w:pPr>
      <w:r>
        <w:rPr>
          <w:rFonts w:ascii="Arial" w:cs="Arial" w:eastAsia="Arial" w:hAnsi="Arial"/>
          <w:sz w:val="11"/>
          <w:szCs w:val="11"/>
          <w:color w:val="auto"/>
        </w:rPr>
        <w:t>The following table sets forth information concerning aggregate option exercises and vesting of restricted stock units earned during the 2022 fiscal year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98425</wp:posOffset>
            </wp:positionV>
            <wp:extent cx="4663440" cy="22288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4663440" cy="222885"/>
                    </a:xfrm>
                    <a:prstGeom prst="rect">
                      <a:avLst/>
                    </a:prstGeom>
                    <a:noFill/>
                  </pic:spPr>
                </pic:pic>
              </a:graphicData>
            </a:graphic>
          </wp:anchor>
        </w:drawing>
      </w:r>
    </w:p>
    <w:p>
      <w:pPr>
        <w:spacing w:after="0" w:line="18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Option Exercises and Stock Vested</w:t>
      </w:r>
    </w:p>
    <w:p>
      <w:pPr>
        <w:spacing w:after="0" w:line="54" w:lineRule="exact"/>
        <w:rPr>
          <w:sz w:val="20"/>
          <w:szCs w:val="20"/>
          <w:color w:val="auto"/>
        </w:rPr>
      </w:pPr>
    </w:p>
    <w:tbl>
      <w:tblPr>
        <w:tblLayout w:type="fixed"/>
        <w:tblInd w:w="1980" w:type="dxa"/>
        <w:tblCellMar>
          <w:top w:w="0" w:type="dxa"/>
          <w:left w:w="0" w:type="dxa"/>
          <w:bottom w:w="0" w:type="dxa"/>
          <w:right w:w="0" w:type="dxa"/>
        </w:tblCellMar>
      </w:tblPr>
      <w:tr>
        <w:trPr>
          <w:trHeight w:val="207"/>
        </w:trPr>
        <w:tc>
          <w:tcPr>
            <w:tcW w:w="3800" w:type="dxa"/>
            <w:vAlign w:val="bottom"/>
            <w:tcBorders>
              <w:top w:val="single" w:sz="8" w:color="0060ED"/>
            </w:tcBorders>
            <w:shd w:val="clear" w:color="auto" w:fill="CCEBF8"/>
          </w:tcPr>
          <w:p>
            <w:pPr>
              <w:spacing w:after="0"/>
              <w:rPr>
                <w:sz w:val="18"/>
                <w:szCs w:val="18"/>
                <w:color w:val="auto"/>
              </w:rPr>
            </w:pPr>
          </w:p>
        </w:tc>
        <w:tc>
          <w:tcPr>
            <w:tcW w:w="120" w:type="dxa"/>
            <w:vAlign w:val="bottom"/>
            <w:tcBorders>
              <w:top w:val="single" w:sz="8" w:color="0060ED"/>
            </w:tcBorders>
            <w:shd w:val="clear" w:color="auto" w:fill="CCEBF8"/>
          </w:tcPr>
          <w:p>
            <w:pPr>
              <w:spacing w:after="0"/>
              <w:rPr>
                <w:sz w:val="18"/>
                <w:szCs w:val="18"/>
                <w:color w:val="auto"/>
              </w:rPr>
            </w:pPr>
          </w:p>
        </w:tc>
        <w:tc>
          <w:tcPr>
            <w:tcW w:w="1620" w:type="dxa"/>
            <w:vAlign w:val="bottom"/>
            <w:tcBorders>
              <w:top w:val="single" w:sz="8" w:color="0060ED"/>
            </w:tcBorders>
            <w:gridSpan w:val="3"/>
            <w:shd w:val="clear" w:color="auto" w:fill="CCEBF8"/>
          </w:tcPr>
          <w:p>
            <w:pPr>
              <w:ind w:left="360"/>
              <w:spacing w:after="0"/>
              <w:rPr>
                <w:sz w:val="20"/>
                <w:szCs w:val="20"/>
                <w:color w:val="auto"/>
              </w:rPr>
            </w:pPr>
            <w:r>
              <w:rPr>
                <w:rFonts w:ascii="Arial" w:cs="Arial" w:eastAsia="Arial" w:hAnsi="Arial"/>
                <w:sz w:val="11"/>
                <w:szCs w:val="11"/>
                <w:b w:val="1"/>
                <w:bCs w:val="1"/>
                <w:color w:val="009BDE"/>
              </w:rPr>
              <w:t>Option Awards</w:t>
            </w:r>
          </w:p>
        </w:tc>
        <w:tc>
          <w:tcPr>
            <w:tcW w:w="1800" w:type="dxa"/>
            <w:vAlign w:val="bottom"/>
            <w:tcBorders>
              <w:top w:val="single" w:sz="8" w:color="0060ED"/>
            </w:tcBorders>
            <w:gridSpan w:val="3"/>
            <w:shd w:val="clear" w:color="auto" w:fill="CCEBF8"/>
          </w:tcPr>
          <w:p>
            <w:pPr>
              <w:ind w:left="420"/>
              <w:spacing w:after="0"/>
              <w:rPr>
                <w:sz w:val="20"/>
                <w:szCs w:val="20"/>
                <w:color w:val="auto"/>
              </w:rPr>
            </w:pPr>
            <w:r>
              <w:rPr>
                <w:rFonts w:ascii="Arial" w:cs="Arial" w:eastAsia="Arial" w:hAnsi="Arial"/>
                <w:sz w:val="11"/>
                <w:szCs w:val="11"/>
                <w:b w:val="1"/>
                <w:bCs w:val="1"/>
                <w:color w:val="009BDE"/>
              </w:rPr>
              <w:t>Stock Awards</w:t>
            </w:r>
          </w:p>
        </w:tc>
      </w:tr>
      <w:tr>
        <w:trPr>
          <w:trHeight w:val="140"/>
        </w:trPr>
        <w:tc>
          <w:tcPr>
            <w:tcW w:w="3800" w:type="dxa"/>
            <w:vAlign w:val="bottom"/>
            <w:tcBorders>
              <w:top w:val="single" w:sz="8" w:color="CCEBF8"/>
            </w:tcBorders>
            <w:shd w:val="clear" w:color="auto" w:fill="CCEBF8"/>
          </w:tcPr>
          <w:p>
            <w:pPr>
              <w:spacing w:after="0"/>
              <w:rPr>
                <w:sz w:val="12"/>
                <w:szCs w:val="12"/>
                <w:color w:val="auto"/>
              </w:rPr>
            </w:pPr>
          </w:p>
        </w:tc>
        <w:tc>
          <w:tcPr>
            <w:tcW w:w="120" w:type="dxa"/>
            <w:vAlign w:val="bottom"/>
            <w:tcBorders>
              <w:top w:val="single" w:sz="8" w:color="CCEBF8"/>
            </w:tcBorders>
            <w:shd w:val="clear" w:color="auto" w:fill="CCEBF8"/>
          </w:tcPr>
          <w:p>
            <w:pPr>
              <w:spacing w:after="0"/>
              <w:rPr>
                <w:sz w:val="12"/>
                <w:szCs w:val="12"/>
                <w:color w:val="auto"/>
              </w:rPr>
            </w:pPr>
          </w:p>
        </w:tc>
        <w:tc>
          <w:tcPr>
            <w:tcW w:w="700" w:type="dxa"/>
            <w:vAlign w:val="bottom"/>
            <w:tcBorders>
              <w:top w:val="single" w:sz="8" w:color="009BDE"/>
            </w:tcBorders>
            <w:shd w:val="clear" w:color="auto" w:fill="CCEBF8"/>
          </w:tcPr>
          <w:p>
            <w:pPr>
              <w:jc w:val="center"/>
              <w:ind w:right="26"/>
              <w:spacing w:after="0"/>
              <w:rPr>
                <w:sz w:val="20"/>
                <w:szCs w:val="20"/>
                <w:color w:val="auto"/>
              </w:rPr>
            </w:pPr>
            <w:r>
              <w:rPr>
                <w:rFonts w:ascii="Arial" w:cs="Arial" w:eastAsia="Arial" w:hAnsi="Arial"/>
                <w:sz w:val="11"/>
                <w:szCs w:val="11"/>
                <w:b w:val="1"/>
                <w:bCs w:val="1"/>
                <w:color w:val="009BDE"/>
                <w:w w:val="98"/>
              </w:rPr>
              <w:t>Number of</w:t>
            </w:r>
          </w:p>
        </w:tc>
        <w:tc>
          <w:tcPr>
            <w:tcW w:w="800" w:type="dxa"/>
            <w:vAlign w:val="bottom"/>
            <w:tcBorders>
              <w:top w:val="single" w:sz="8" w:color="009BDE"/>
            </w:tcBorders>
            <w:shd w:val="clear" w:color="auto" w:fill="CCEBF8"/>
          </w:tcPr>
          <w:p>
            <w:pPr>
              <w:spacing w:after="0"/>
              <w:rPr>
                <w:sz w:val="12"/>
                <w:szCs w:val="12"/>
                <w:color w:val="auto"/>
              </w:rPr>
            </w:pPr>
          </w:p>
        </w:tc>
        <w:tc>
          <w:tcPr>
            <w:tcW w:w="120" w:type="dxa"/>
            <w:vAlign w:val="bottom"/>
            <w:tcBorders>
              <w:top w:val="single" w:sz="8" w:color="CCEBF8"/>
            </w:tcBorders>
            <w:shd w:val="clear" w:color="auto" w:fill="CCEBF8"/>
          </w:tcPr>
          <w:p>
            <w:pPr>
              <w:spacing w:after="0"/>
              <w:rPr>
                <w:sz w:val="12"/>
                <w:szCs w:val="12"/>
                <w:color w:val="auto"/>
              </w:rPr>
            </w:pPr>
          </w:p>
        </w:tc>
        <w:tc>
          <w:tcPr>
            <w:tcW w:w="640" w:type="dxa"/>
            <w:vAlign w:val="bottom"/>
            <w:tcBorders>
              <w:top w:val="single" w:sz="8" w:color="009BDE"/>
            </w:tcBorders>
            <w:shd w:val="clear" w:color="auto" w:fill="CCEBF8"/>
          </w:tcPr>
          <w:p>
            <w:pPr>
              <w:jc w:val="right"/>
              <w:ind w:right="46"/>
              <w:spacing w:after="0"/>
              <w:rPr>
                <w:sz w:val="20"/>
                <w:szCs w:val="20"/>
                <w:color w:val="auto"/>
              </w:rPr>
            </w:pPr>
            <w:r>
              <w:rPr>
                <w:rFonts w:ascii="Arial" w:cs="Arial" w:eastAsia="Arial" w:hAnsi="Arial"/>
                <w:sz w:val="11"/>
                <w:szCs w:val="11"/>
                <w:b w:val="1"/>
                <w:bCs w:val="1"/>
                <w:color w:val="009BDE"/>
                <w:w w:val="94"/>
              </w:rPr>
              <w:t>Number of</w:t>
            </w:r>
          </w:p>
        </w:tc>
        <w:tc>
          <w:tcPr>
            <w:tcW w:w="900" w:type="dxa"/>
            <w:vAlign w:val="bottom"/>
            <w:tcBorders>
              <w:top w:val="single" w:sz="8" w:color="009BDE"/>
            </w:tcBorders>
            <w:shd w:val="clear" w:color="auto" w:fill="CCEBF8"/>
          </w:tcPr>
          <w:p>
            <w:pPr>
              <w:spacing w:after="0"/>
              <w:rPr>
                <w:sz w:val="12"/>
                <w:szCs w:val="12"/>
                <w:color w:val="auto"/>
              </w:rPr>
            </w:pPr>
          </w:p>
        </w:tc>
        <w:tc>
          <w:tcPr>
            <w:tcW w:w="260" w:type="dxa"/>
            <w:vAlign w:val="bottom"/>
            <w:tcBorders>
              <w:top w:val="single" w:sz="8" w:color="CCEBF8"/>
            </w:tcBorders>
            <w:shd w:val="clear" w:color="auto" w:fill="CCEBF8"/>
          </w:tcPr>
          <w:p>
            <w:pPr>
              <w:spacing w:after="0"/>
              <w:rPr>
                <w:sz w:val="12"/>
                <w:szCs w:val="12"/>
                <w:color w:val="auto"/>
              </w:rPr>
            </w:pPr>
          </w:p>
        </w:tc>
      </w:tr>
      <w:tr>
        <w:trPr>
          <w:trHeight w:val="126"/>
        </w:trPr>
        <w:tc>
          <w:tcPr>
            <w:tcW w:w="3800" w:type="dxa"/>
            <w:vAlign w:val="bottom"/>
            <w:shd w:val="clear" w:color="auto" w:fill="CCEBF8"/>
          </w:tcPr>
          <w:p>
            <w:pPr>
              <w:spacing w:after="0"/>
              <w:rPr>
                <w:sz w:val="10"/>
                <w:szCs w:val="10"/>
                <w:color w:val="auto"/>
              </w:rPr>
            </w:pPr>
          </w:p>
        </w:tc>
        <w:tc>
          <w:tcPr>
            <w:tcW w:w="120" w:type="dxa"/>
            <w:vAlign w:val="bottom"/>
            <w:shd w:val="clear" w:color="auto" w:fill="CCEBF8"/>
          </w:tcPr>
          <w:p>
            <w:pPr>
              <w:spacing w:after="0"/>
              <w:rPr>
                <w:sz w:val="10"/>
                <w:szCs w:val="10"/>
                <w:color w:val="auto"/>
              </w:rPr>
            </w:pPr>
          </w:p>
        </w:tc>
        <w:tc>
          <w:tcPr>
            <w:tcW w:w="700" w:type="dxa"/>
            <w:vAlign w:val="bottom"/>
            <w:shd w:val="clear" w:color="auto" w:fill="CCEBF8"/>
          </w:tcPr>
          <w:p>
            <w:pPr>
              <w:jc w:val="center"/>
              <w:ind w:right="6"/>
              <w:spacing w:after="0"/>
              <w:rPr>
                <w:sz w:val="20"/>
                <w:szCs w:val="20"/>
                <w:color w:val="auto"/>
              </w:rPr>
            </w:pPr>
            <w:r>
              <w:rPr>
                <w:rFonts w:ascii="Arial" w:cs="Arial" w:eastAsia="Arial" w:hAnsi="Arial"/>
                <w:sz w:val="11"/>
                <w:szCs w:val="11"/>
                <w:b w:val="1"/>
                <w:bCs w:val="1"/>
                <w:color w:val="009BDE"/>
                <w:w w:val="97"/>
              </w:rPr>
              <w:t>Shares</w:t>
            </w:r>
          </w:p>
        </w:tc>
        <w:tc>
          <w:tcPr>
            <w:tcW w:w="800" w:type="dxa"/>
            <w:vAlign w:val="bottom"/>
            <w:shd w:val="clear" w:color="auto" w:fill="CCEBF8"/>
          </w:tcPr>
          <w:p>
            <w:pPr>
              <w:spacing w:after="0"/>
              <w:rPr>
                <w:sz w:val="10"/>
                <w:szCs w:val="10"/>
                <w:color w:val="auto"/>
              </w:rPr>
            </w:pPr>
          </w:p>
        </w:tc>
        <w:tc>
          <w:tcPr>
            <w:tcW w:w="120" w:type="dxa"/>
            <w:vAlign w:val="bottom"/>
            <w:shd w:val="clear" w:color="auto" w:fill="CCEBF8"/>
          </w:tcPr>
          <w:p>
            <w:pPr>
              <w:spacing w:after="0"/>
              <w:rPr>
                <w:sz w:val="10"/>
                <w:szCs w:val="10"/>
                <w:color w:val="auto"/>
              </w:rPr>
            </w:pPr>
          </w:p>
        </w:tc>
        <w:tc>
          <w:tcPr>
            <w:tcW w:w="640" w:type="dxa"/>
            <w:vAlign w:val="bottom"/>
            <w:shd w:val="clear" w:color="auto" w:fill="CCEBF8"/>
          </w:tcPr>
          <w:p>
            <w:pPr>
              <w:jc w:val="center"/>
              <w:ind w:right="26"/>
              <w:spacing w:after="0"/>
              <w:rPr>
                <w:sz w:val="20"/>
                <w:szCs w:val="20"/>
                <w:color w:val="auto"/>
              </w:rPr>
            </w:pPr>
            <w:r>
              <w:rPr>
                <w:rFonts w:ascii="Arial" w:cs="Arial" w:eastAsia="Arial" w:hAnsi="Arial"/>
                <w:sz w:val="11"/>
                <w:szCs w:val="11"/>
                <w:b w:val="1"/>
                <w:bCs w:val="1"/>
                <w:color w:val="009BDE"/>
                <w:w w:val="97"/>
              </w:rPr>
              <w:t>Shares</w:t>
            </w:r>
          </w:p>
        </w:tc>
        <w:tc>
          <w:tcPr>
            <w:tcW w:w="900" w:type="dxa"/>
            <w:vAlign w:val="bottom"/>
            <w:shd w:val="clear" w:color="auto" w:fill="CCEBF8"/>
          </w:tcPr>
          <w:p>
            <w:pPr>
              <w:spacing w:after="0"/>
              <w:rPr>
                <w:sz w:val="10"/>
                <w:szCs w:val="10"/>
                <w:color w:val="auto"/>
              </w:rPr>
            </w:pPr>
          </w:p>
        </w:tc>
        <w:tc>
          <w:tcPr>
            <w:tcW w:w="260" w:type="dxa"/>
            <w:vAlign w:val="bottom"/>
            <w:shd w:val="clear" w:color="auto" w:fill="CCEBF8"/>
          </w:tcPr>
          <w:p>
            <w:pPr>
              <w:spacing w:after="0"/>
              <w:rPr>
                <w:sz w:val="10"/>
                <w:szCs w:val="10"/>
                <w:color w:val="auto"/>
              </w:rPr>
            </w:pPr>
          </w:p>
        </w:tc>
      </w:tr>
      <w:tr>
        <w:trPr>
          <w:trHeight w:val="126"/>
        </w:trPr>
        <w:tc>
          <w:tcPr>
            <w:tcW w:w="3800" w:type="dxa"/>
            <w:vAlign w:val="bottom"/>
            <w:shd w:val="clear" w:color="auto" w:fill="CCEBF8"/>
          </w:tcPr>
          <w:p>
            <w:pPr>
              <w:spacing w:after="0"/>
              <w:rPr>
                <w:sz w:val="10"/>
                <w:szCs w:val="10"/>
                <w:color w:val="auto"/>
              </w:rPr>
            </w:pPr>
          </w:p>
        </w:tc>
        <w:tc>
          <w:tcPr>
            <w:tcW w:w="120" w:type="dxa"/>
            <w:vAlign w:val="bottom"/>
            <w:shd w:val="clear" w:color="auto" w:fill="CCEBF8"/>
          </w:tcPr>
          <w:p>
            <w:pPr>
              <w:spacing w:after="0"/>
              <w:rPr>
                <w:sz w:val="10"/>
                <w:szCs w:val="10"/>
                <w:color w:val="auto"/>
              </w:rPr>
            </w:pPr>
          </w:p>
        </w:tc>
        <w:tc>
          <w:tcPr>
            <w:tcW w:w="700" w:type="dxa"/>
            <w:vAlign w:val="bottom"/>
            <w:shd w:val="clear" w:color="auto" w:fill="CCEBF8"/>
          </w:tcPr>
          <w:p>
            <w:pPr>
              <w:jc w:val="center"/>
              <w:ind w:right="6"/>
              <w:spacing w:after="0"/>
              <w:rPr>
                <w:sz w:val="20"/>
                <w:szCs w:val="20"/>
                <w:color w:val="auto"/>
              </w:rPr>
            </w:pPr>
            <w:r>
              <w:rPr>
                <w:rFonts w:ascii="Arial" w:cs="Arial" w:eastAsia="Arial" w:hAnsi="Arial"/>
                <w:sz w:val="11"/>
                <w:szCs w:val="11"/>
                <w:b w:val="1"/>
                <w:bCs w:val="1"/>
                <w:color w:val="009BDE"/>
                <w:w w:val="99"/>
              </w:rPr>
              <w:t>Acquired on</w:t>
            </w:r>
          </w:p>
        </w:tc>
        <w:tc>
          <w:tcPr>
            <w:tcW w:w="920" w:type="dxa"/>
            <w:vAlign w:val="bottom"/>
            <w:gridSpan w:val="2"/>
            <w:shd w:val="clear" w:color="auto" w:fill="CCEBF8"/>
          </w:tcPr>
          <w:p>
            <w:pPr>
              <w:jc w:val="center"/>
              <w:ind w:right="60"/>
              <w:spacing w:after="0"/>
              <w:rPr>
                <w:sz w:val="20"/>
                <w:szCs w:val="20"/>
                <w:color w:val="auto"/>
              </w:rPr>
            </w:pPr>
            <w:r>
              <w:rPr>
                <w:rFonts w:ascii="Arial" w:cs="Arial" w:eastAsia="Arial" w:hAnsi="Arial"/>
                <w:sz w:val="11"/>
                <w:szCs w:val="11"/>
                <w:b w:val="1"/>
                <w:bCs w:val="1"/>
                <w:color w:val="009BDE"/>
                <w:w w:val="95"/>
              </w:rPr>
              <w:t>Value Realized</w:t>
            </w:r>
          </w:p>
        </w:tc>
        <w:tc>
          <w:tcPr>
            <w:tcW w:w="640" w:type="dxa"/>
            <w:vAlign w:val="bottom"/>
            <w:shd w:val="clear" w:color="auto" w:fill="CCEBF8"/>
          </w:tcPr>
          <w:p>
            <w:pPr>
              <w:jc w:val="center"/>
              <w:ind w:right="26"/>
              <w:spacing w:after="0"/>
              <w:rPr>
                <w:sz w:val="20"/>
                <w:szCs w:val="20"/>
                <w:color w:val="auto"/>
              </w:rPr>
            </w:pPr>
            <w:r>
              <w:rPr>
                <w:rFonts w:ascii="Arial" w:cs="Arial" w:eastAsia="Arial" w:hAnsi="Arial"/>
                <w:sz w:val="11"/>
                <w:szCs w:val="11"/>
                <w:b w:val="1"/>
                <w:bCs w:val="1"/>
                <w:color w:val="009BDE"/>
              </w:rPr>
              <w:t>Acquired</w:t>
            </w:r>
          </w:p>
        </w:tc>
        <w:tc>
          <w:tcPr>
            <w:tcW w:w="1160" w:type="dxa"/>
            <w:vAlign w:val="bottom"/>
            <w:gridSpan w:val="2"/>
            <w:shd w:val="clear" w:color="auto" w:fill="CCEBF8"/>
          </w:tcPr>
          <w:p>
            <w:pPr>
              <w:jc w:val="center"/>
              <w:ind w:right="220"/>
              <w:spacing w:after="0"/>
              <w:rPr>
                <w:sz w:val="20"/>
                <w:szCs w:val="20"/>
                <w:color w:val="auto"/>
              </w:rPr>
            </w:pPr>
            <w:r>
              <w:rPr>
                <w:rFonts w:ascii="Arial" w:cs="Arial" w:eastAsia="Arial" w:hAnsi="Arial"/>
                <w:sz w:val="11"/>
                <w:szCs w:val="11"/>
                <w:b w:val="1"/>
                <w:bCs w:val="1"/>
                <w:color w:val="009BDE"/>
                <w:w w:val="95"/>
              </w:rPr>
              <w:t>Value Realized</w:t>
            </w:r>
          </w:p>
        </w:tc>
      </w:tr>
      <w:tr>
        <w:trPr>
          <w:trHeight w:val="126"/>
        </w:trPr>
        <w:tc>
          <w:tcPr>
            <w:tcW w:w="3800" w:type="dxa"/>
            <w:vAlign w:val="bottom"/>
            <w:shd w:val="clear" w:color="auto" w:fill="CCEBF8"/>
          </w:tcPr>
          <w:p>
            <w:pPr>
              <w:spacing w:after="0"/>
              <w:rPr>
                <w:sz w:val="10"/>
                <w:szCs w:val="10"/>
                <w:color w:val="auto"/>
              </w:rPr>
            </w:pPr>
          </w:p>
        </w:tc>
        <w:tc>
          <w:tcPr>
            <w:tcW w:w="120" w:type="dxa"/>
            <w:vAlign w:val="bottom"/>
            <w:shd w:val="clear" w:color="auto" w:fill="CCEBF8"/>
          </w:tcPr>
          <w:p>
            <w:pPr>
              <w:spacing w:after="0"/>
              <w:rPr>
                <w:sz w:val="10"/>
                <w:szCs w:val="10"/>
                <w:color w:val="auto"/>
              </w:rPr>
            </w:pPr>
          </w:p>
        </w:tc>
        <w:tc>
          <w:tcPr>
            <w:tcW w:w="700" w:type="dxa"/>
            <w:vAlign w:val="bottom"/>
            <w:shd w:val="clear" w:color="auto" w:fill="CCEBF8"/>
          </w:tcPr>
          <w:p>
            <w:pPr>
              <w:jc w:val="center"/>
              <w:ind w:right="6"/>
              <w:spacing w:after="0"/>
              <w:rPr>
                <w:sz w:val="20"/>
                <w:szCs w:val="20"/>
                <w:color w:val="auto"/>
              </w:rPr>
            </w:pPr>
            <w:r>
              <w:rPr>
                <w:rFonts w:ascii="Arial" w:cs="Arial" w:eastAsia="Arial" w:hAnsi="Arial"/>
                <w:sz w:val="11"/>
                <w:szCs w:val="11"/>
                <w:b w:val="1"/>
                <w:bCs w:val="1"/>
                <w:color w:val="009BDE"/>
                <w:w w:val="97"/>
              </w:rPr>
              <w:t>Exercise</w:t>
            </w:r>
          </w:p>
        </w:tc>
        <w:tc>
          <w:tcPr>
            <w:tcW w:w="920" w:type="dxa"/>
            <w:vAlign w:val="bottom"/>
            <w:gridSpan w:val="2"/>
            <w:shd w:val="clear" w:color="auto" w:fill="CCEBF8"/>
          </w:tcPr>
          <w:p>
            <w:pPr>
              <w:jc w:val="center"/>
              <w:ind w:right="60"/>
              <w:spacing w:after="0"/>
              <w:rPr>
                <w:sz w:val="20"/>
                <w:szCs w:val="20"/>
                <w:color w:val="auto"/>
              </w:rPr>
            </w:pPr>
            <w:r>
              <w:rPr>
                <w:rFonts w:ascii="Arial" w:cs="Arial" w:eastAsia="Arial" w:hAnsi="Arial"/>
                <w:sz w:val="11"/>
                <w:szCs w:val="11"/>
                <w:b w:val="1"/>
                <w:bCs w:val="1"/>
                <w:color w:val="009BDE"/>
                <w:w w:val="97"/>
              </w:rPr>
              <w:t>On Exercise</w:t>
            </w:r>
          </w:p>
        </w:tc>
        <w:tc>
          <w:tcPr>
            <w:tcW w:w="640" w:type="dxa"/>
            <w:vAlign w:val="bottom"/>
            <w:shd w:val="clear" w:color="auto" w:fill="CCEBF8"/>
          </w:tcPr>
          <w:p>
            <w:pPr>
              <w:jc w:val="right"/>
              <w:ind w:right="26"/>
              <w:spacing w:after="0"/>
              <w:rPr>
                <w:sz w:val="20"/>
                <w:szCs w:val="20"/>
                <w:color w:val="auto"/>
              </w:rPr>
            </w:pPr>
            <w:r>
              <w:rPr>
                <w:rFonts w:ascii="Arial" w:cs="Arial" w:eastAsia="Arial" w:hAnsi="Arial"/>
                <w:sz w:val="11"/>
                <w:szCs w:val="11"/>
                <w:b w:val="1"/>
                <w:bCs w:val="1"/>
                <w:color w:val="009BDE"/>
                <w:w w:val="95"/>
              </w:rPr>
              <w:t>on Vesting</w:t>
            </w:r>
          </w:p>
        </w:tc>
        <w:tc>
          <w:tcPr>
            <w:tcW w:w="1160" w:type="dxa"/>
            <w:vAlign w:val="bottom"/>
            <w:gridSpan w:val="2"/>
            <w:shd w:val="clear" w:color="auto" w:fill="CCEBF8"/>
          </w:tcPr>
          <w:p>
            <w:pPr>
              <w:jc w:val="center"/>
              <w:ind w:right="240"/>
              <w:spacing w:after="0"/>
              <w:rPr>
                <w:sz w:val="20"/>
                <w:szCs w:val="20"/>
                <w:color w:val="auto"/>
              </w:rPr>
            </w:pPr>
            <w:r>
              <w:rPr>
                <w:rFonts w:ascii="Arial" w:cs="Arial" w:eastAsia="Arial" w:hAnsi="Arial"/>
                <w:sz w:val="11"/>
                <w:szCs w:val="11"/>
                <w:b w:val="1"/>
                <w:bCs w:val="1"/>
                <w:color w:val="009BDE"/>
                <w:w w:val="96"/>
              </w:rPr>
              <w:t>On Vesting</w:t>
            </w:r>
          </w:p>
        </w:tc>
      </w:tr>
      <w:tr>
        <w:trPr>
          <w:trHeight w:val="151"/>
        </w:trPr>
        <w:tc>
          <w:tcPr>
            <w:tcW w:w="3800" w:type="dxa"/>
            <w:vAlign w:val="bottom"/>
            <w:shd w:val="clear" w:color="auto" w:fill="CCEBF8"/>
          </w:tcPr>
          <w:p>
            <w:pPr>
              <w:ind w:left="60"/>
              <w:spacing w:after="0"/>
              <w:rPr>
                <w:sz w:val="20"/>
                <w:szCs w:val="20"/>
                <w:color w:val="auto"/>
              </w:rPr>
            </w:pPr>
            <w:r>
              <w:rPr>
                <w:rFonts w:ascii="Arial" w:cs="Arial" w:eastAsia="Arial" w:hAnsi="Arial"/>
                <w:sz w:val="11"/>
                <w:szCs w:val="11"/>
                <w:b w:val="1"/>
                <w:bCs w:val="1"/>
                <w:color w:val="009BDE"/>
              </w:rPr>
              <w:t>Name</w:t>
            </w:r>
          </w:p>
        </w:tc>
        <w:tc>
          <w:tcPr>
            <w:tcW w:w="820" w:type="dxa"/>
            <w:vAlign w:val="bottom"/>
            <w:gridSpan w:val="2"/>
            <w:shd w:val="clear" w:color="auto" w:fill="CCEBF8"/>
          </w:tcPr>
          <w:p>
            <w:pPr>
              <w:jc w:val="right"/>
              <w:ind w:right="266"/>
              <w:spacing w:after="0"/>
              <w:rPr>
                <w:sz w:val="20"/>
                <w:szCs w:val="20"/>
                <w:color w:val="auto"/>
              </w:rPr>
            </w:pPr>
            <w:r>
              <w:rPr>
                <w:rFonts w:ascii="Arial" w:cs="Arial" w:eastAsia="Arial" w:hAnsi="Arial"/>
                <w:sz w:val="11"/>
                <w:szCs w:val="11"/>
                <w:b w:val="1"/>
                <w:bCs w:val="1"/>
                <w:color w:val="009BDE"/>
              </w:rPr>
              <w:t>(#)</w:t>
            </w:r>
          </w:p>
        </w:tc>
        <w:tc>
          <w:tcPr>
            <w:tcW w:w="800" w:type="dxa"/>
            <w:vAlign w:val="bottom"/>
            <w:shd w:val="clear" w:color="auto" w:fill="CCEBF8"/>
          </w:tcPr>
          <w:p>
            <w:pPr>
              <w:jc w:val="right"/>
              <w:ind w:right="246"/>
              <w:spacing w:after="0"/>
              <w:rPr>
                <w:sz w:val="20"/>
                <w:szCs w:val="20"/>
                <w:color w:val="auto"/>
              </w:rPr>
            </w:pPr>
            <w:r>
              <w:rPr>
                <w:rFonts w:ascii="Arial" w:cs="Arial" w:eastAsia="Arial" w:hAnsi="Arial"/>
                <w:sz w:val="11"/>
                <w:szCs w:val="11"/>
                <w:b w:val="1"/>
                <w:bCs w:val="1"/>
                <w:color w:val="009BDE"/>
              </w:rPr>
              <w:t>($)</w:t>
            </w:r>
          </w:p>
        </w:tc>
        <w:tc>
          <w:tcPr>
            <w:tcW w:w="120" w:type="dxa"/>
            <w:vAlign w:val="bottom"/>
            <w:shd w:val="clear" w:color="auto" w:fill="CCEBF8"/>
          </w:tcPr>
          <w:p>
            <w:pPr>
              <w:spacing w:after="0"/>
              <w:rPr>
                <w:sz w:val="13"/>
                <w:szCs w:val="13"/>
                <w:color w:val="auto"/>
              </w:rPr>
            </w:pPr>
          </w:p>
        </w:tc>
        <w:tc>
          <w:tcPr>
            <w:tcW w:w="640" w:type="dxa"/>
            <w:vAlign w:val="bottom"/>
            <w:shd w:val="clear" w:color="auto" w:fill="CCEBF8"/>
          </w:tcPr>
          <w:p>
            <w:pPr>
              <w:jc w:val="center"/>
              <w:ind w:right="26"/>
              <w:spacing w:after="0"/>
              <w:rPr>
                <w:sz w:val="20"/>
                <w:szCs w:val="20"/>
                <w:color w:val="auto"/>
              </w:rPr>
            </w:pPr>
            <w:r>
              <w:rPr>
                <w:rFonts w:ascii="Arial" w:cs="Arial" w:eastAsia="Arial" w:hAnsi="Arial"/>
                <w:sz w:val="11"/>
                <w:szCs w:val="11"/>
                <w:b w:val="1"/>
                <w:bCs w:val="1"/>
                <w:color w:val="009BDE"/>
                <w:w w:val="88"/>
              </w:rPr>
              <w:t>(#)</w:t>
            </w:r>
          </w:p>
        </w:tc>
        <w:tc>
          <w:tcPr>
            <w:tcW w:w="90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rPr>
              <w:t>($)</w:t>
            </w:r>
          </w:p>
        </w:tc>
        <w:tc>
          <w:tcPr>
            <w:tcW w:w="260" w:type="dxa"/>
            <w:vAlign w:val="bottom"/>
            <w:shd w:val="clear" w:color="auto" w:fill="CCEBF8"/>
          </w:tcPr>
          <w:p>
            <w:pPr>
              <w:spacing w:after="0"/>
              <w:rPr>
                <w:sz w:val="13"/>
                <w:szCs w:val="13"/>
                <w:color w:val="auto"/>
              </w:rPr>
            </w:pPr>
          </w:p>
        </w:tc>
      </w:tr>
      <w:tr>
        <w:trPr>
          <w:trHeight w:val="85"/>
        </w:trPr>
        <w:tc>
          <w:tcPr>
            <w:tcW w:w="3800" w:type="dxa"/>
            <w:vAlign w:val="bottom"/>
            <w:tcBorders>
              <w:bottom w:val="single" w:sz="8" w:color="009BDE"/>
            </w:tcBorders>
            <w:shd w:val="clear" w:color="auto" w:fill="CCEBF8"/>
          </w:tcPr>
          <w:p>
            <w:pPr>
              <w:spacing w:after="0"/>
              <w:rPr>
                <w:sz w:val="7"/>
                <w:szCs w:val="7"/>
                <w:color w:val="auto"/>
              </w:rPr>
            </w:pPr>
          </w:p>
        </w:tc>
        <w:tc>
          <w:tcPr>
            <w:tcW w:w="120" w:type="dxa"/>
            <w:vAlign w:val="bottom"/>
            <w:tcBorders>
              <w:bottom w:val="single" w:sz="8" w:color="009BDE"/>
            </w:tcBorders>
            <w:shd w:val="clear" w:color="auto" w:fill="CCEBF8"/>
          </w:tcPr>
          <w:p>
            <w:pPr>
              <w:spacing w:after="0"/>
              <w:rPr>
                <w:sz w:val="7"/>
                <w:szCs w:val="7"/>
                <w:color w:val="auto"/>
              </w:rPr>
            </w:pPr>
          </w:p>
        </w:tc>
        <w:tc>
          <w:tcPr>
            <w:tcW w:w="700" w:type="dxa"/>
            <w:vAlign w:val="bottom"/>
            <w:tcBorders>
              <w:bottom w:val="single" w:sz="8" w:color="009BDE"/>
            </w:tcBorders>
            <w:shd w:val="clear" w:color="auto" w:fill="CCEBF8"/>
          </w:tcPr>
          <w:p>
            <w:pPr>
              <w:spacing w:after="0"/>
              <w:rPr>
                <w:sz w:val="7"/>
                <w:szCs w:val="7"/>
                <w:color w:val="auto"/>
              </w:rPr>
            </w:pPr>
          </w:p>
        </w:tc>
        <w:tc>
          <w:tcPr>
            <w:tcW w:w="800" w:type="dxa"/>
            <w:vAlign w:val="bottom"/>
            <w:tcBorders>
              <w:bottom w:val="single" w:sz="8" w:color="009BDE"/>
            </w:tcBorders>
            <w:shd w:val="clear" w:color="auto" w:fill="CCEBF8"/>
          </w:tcPr>
          <w:p>
            <w:pPr>
              <w:spacing w:after="0"/>
              <w:rPr>
                <w:sz w:val="7"/>
                <w:szCs w:val="7"/>
                <w:color w:val="auto"/>
              </w:rPr>
            </w:pPr>
          </w:p>
        </w:tc>
        <w:tc>
          <w:tcPr>
            <w:tcW w:w="120" w:type="dxa"/>
            <w:vAlign w:val="bottom"/>
            <w:tcBorders>
              <w:bottom w:val="single" w:sz="8" w:color="009BDE"/>
            </w:tcBorders>
            <w:shd w:val="clear" w:color="auto" w:fill="CCEBF8"/>
          </w:tcPr>
          <w:p>
            <w:pPr>
              <w:spacing w:after="0"/>
              <w:rPr>
                <w:sz w:val="7"/>
                <w:szCs w:val="7"/>
                <w:color w:val="auto"/>
              </w:rPr>
            </w:pPr>
          </w:p>
        </w:tc>
        <w:tc>
          <w:tcPr>
            <w:tcW w:w="640" w:type="dxa"/>
            <w:vAlign w:val="bottom"/>
            <w:tcBorders>
              <w:bottom w:val="single" w:sz="8" w:color="009BDE"/>
            </w:tcBorders>
            <w:shd w:val="clear" w:color="auto" w:fill="CCEBF8"/>
          </w:tcPr>
          <w:p>
            <w:pPr>
              <w:spacing w:after="0"/>
              <w:rPr>
                <w:sz w:val="7"/>
                <w:szCs w:val="7"/>
                <w:color w:val="auto"/>
              </w:rPr>
            </w:pPr>
          </w:p>
        </w:tc>
        <w:tc>
          <w:tcPr>
            <w:tcW w:w="900" w:type="dxa"/>
            <w:vAlign w:val="bottom"/>
            <w:tcBorders>
              <w:bottom w:val="single" w:sz="8" w:color="009BDE"/>
            </w:tcBorders>
            <w:shd w:val="clear" w:color="auto" w:fill="CCEBF8"/>
          </w:tcPr>
          <w:p>
            <w:pPr>
              <w:spacing w:after="0"/>
              <w:rPr>
                <w:sz w:val="7"/>
                <w:szCs w:val="7"/>
                <w:color w:val="auto"/>
              </w:rPr>
            </w:pPr>
          </w:p>
        </w:tc>
        <w:tc>
          <w:tcPr>
            <w:tcW w:w="260" w:type="dxa"/>
            <w:vAlign w:val="bottom"/>
            <w:tcBorders>
              <w:bottom w:val="single" w:sz="8" w:color="009BDE"/>
            </w:tcBorders>
            <w:shd w:val="clear" w:color="auto" w:fill="CCEBF8"/>
          </w:tcPr>
          <w:p>
            <w:pPr>
              <w:spacing w:after="0"/>
              <w:rPr>
                <w:sz w:val="7"/>
                <w:szCs w:val="7"/>
                <w:color w:val="auto"/>
              </w:rPr>
            </w:pPr>
          </w:p>
        </w:tc>
      </w:tr>
      <w:tr>
        <w:trPr>
          <w:trHeight w:val="183"/>
        </w:trPr>
        <w:tc>
          <w:tcPr>
            <w:tcW w:w="3800" w:type="dxa"/>
            <w:vAlign w:val="bottom"/>
          </w:tcPr>
          <w:p>
            <w:pPr>
              <w:ind w:left="40"/>
              <w:spacing w:after="0"/>
              <w:rPr>
                <w:sz w:val="20"/>
                <w:szCs w:val="20"/>
                <w:color w:val="auto"/>
              </w:rPr>
            </w:pPr>
            <w:r>
              <w:rPr>
                <w:rFonts w:ascii="Arial" w:cs="Arial" w:eastAsia="Arial" w:hAnsi="Arial"/>
                <w:sz w:val="11"/>
                <w:szCs w:val="11"/>
                <w:color w:val="auto"/>
              </w:rPr>
              <w:t>Richard Stoddart</w:t>
            </w:r>
          </w:p>
        </w:tc>
        <w:tc>
          <w:tcPr>
            <w:tcW w:w="820" w:type="dxa"/>
            <w:vAlign w:val="bottom"/>
            <w:gridSpan w:val="2"/>
          </w:tcPr>
          <w:p>
            <w:pPr>
              <w:jc w:val="right"/>
              <w:ind w:right="266"/>
              <w:spacing w:after="0"/>
              <w:rPr>
                <w:sz w:val="20"/>
                <w:szCs w:val="20"/>
                <w:color w:val="auto"/>
              </w:rPr>
            </w:pPr>
            <w:r>
              <w:rPr>
                <w:rFonts w:ascii="Arial" w:cs="Arial" w:eastAsia="Arial" w:hAnsi="Arial"/>
                <w:sz w:val="11"/>
                <w:szCs w:val="11"/>
                <w:color w:val="auto"/>
              </w:rPr>
              <w:t>0</w:t>
            </w:r>
          </w:p>
        </w:tc>
        <w:tc>
          <w:tcPr>
            <w:tcW w:w="80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26,220</w:t>
            </w:r>
          </w:p>
        </w:tc>
        <w:tc>
          <w:tcPr>
            <w:tcW w:w="900" w:type="dxa"/>
            <w:vAlign w:val="bottom"/>
          </w:tcPr>
          <w:p>
            <w:pPr>
              <w:jc w:val="right"/>
              <w:spacing w:after="0"/>
              <w:rPr>
                <w:sz w:val="20"/>
                <w:szCs w:val="20"/>
                <w:color w:val="auto"/>
              </w:rPr>
            </w:pPr>
            <w:r>
              <w:rPr>
                <w:rFonts w:ascii="Arial" w:cs="Arial" w:eastAsia="Arial" w:hAnsi="Arial"/>
                <w:sz w:val="11"/>
                <w:szCs w:val="11"/>
                <w:color w:val="auto"/>
              </w:rPr>
              <w:t>$1,716,361</w:t>
            </w:r>
          </w:p>
        </w:tc>
        <w:tc>
          <w:tcPr>
            <w:tcW w:w="260" w:type="dxa"/>
            <w:vAlign w:val="bottom"/>
          </w:tcPr>
          <w:p>
            <w:pPr>
              <w:spacing w:after="0"/>
              <w:rPr>
                <w:sz w:val="15"/>
                <w:szCs w:val="15"/>
                <w:color w:val="auto"/>
              </w:rPr>
            </w:pPr>
          </w:p>
        </w:tc>
      </w:tr>
      <w:tr>
        <w:trPr>
          <w:trHeight w:val="67"/>
        </w:trPr>
        <w:tc>
          <w:tcPr>
            <w:tcW w:w="3800" w:type="dxa"/>
            <w:vAlign w:val="bottom"/>
            <w:tcBorders>
              <w:bottom w:val="single" w:sz="8" w:color="009BDE"/>
            </w:tcBorders>
          </w:tcPr>
          <w:p>
            <w:pPr>
              <w:spacing w:after="0"/>
              <w:rPr>
                <w:sz w:val="5"/>
                <w:szCs w:val="5"/>
                <w:color w:val="auto"/>
              </w:rPr>
            </w:pPr>
          </w:p>
        </w:tc>
        <w:tc>
          <w:tcPr>
            <w:tcW w:w="12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800" w:type="dxa"/>
            <w:vAlign w:val="bottom"/>
            <w:tcBorders>
              <w:bottom w:val="single" w:sz="8" w:color="009BDE"/>
            </w:tcBorders>
          </w:tcPr>
          <w:p>
            <w:pPr>
              <w:spacing w:after="0"/>
              <w:rPr>
                <w:sz w:val="5"/>
                <w:szCs w:val="5"/>
                <w:color w:val="auto"/>
              </w:rPr>
            </w:pPr>
          </w:p>
        </w:tc>
        <w:tc>
          <w:tcPr>
            <w:tcW w:w="12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9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r>
      <w:tr>
        <w:trPr>
          <w:trHeight w:val="183"/>
        </w:trPr>
        <w:tc>
          <w:tcPr>
            <w:tcW w:w="3800" w:type="dxa"/>
            <w:vAlign w:val="bottom"/>
          </w:tcPr>
          <w:p>
            <w:pPr>
              <w:ind w:left="40"/>
              <w:spacing w:after="0"/>
              <w:rPr>
                <w:sz w:val="20"/>
                <w:szCs w:val="20"/>
                <w:color w:val="auto"/>
              </w:rPr>
            </w:pPr>
            <w:r>
              <w:rPr>
                <w:rFonts w:ascii="Arial" w:cs="Arial" w:eastAsia="Arial" w:hAnsi="Arial"/>
                <w:sz w:val="11"/>
                <w:szCs w:val="11"/>
                <w:color w:val="auto"/>
              </w:rPr>
              <w:t>Chris Cocks</w:t>
            </w:r>
          </w:p>
        </w:tc>
        <w:tc>
          <w:tcPr>
            <w:tcW w:w="820" w:type="dxa"/>
            <w:vAlign w:val="bottom"/>
            <w:gridSpan w:val="2"/>
          </w:tcPr>
          <w:p>
            <w:pPr>
              <w:jc w:val="right"/>
              <w:ind w:right="266"/>
              <w:spacing w:after="0"/>
              <w:rPr>
                <w:sz w:val="20"/>
                <w:szCs w:val="20"/>
                <w:color w:val="auto"/>
              </w:rPr>
            </w:pPr>
            <w:r>
              <w:rPr>
                <w:rFonts w:ascii="Arial" w:cs="Arial" w:eastAsia="Arial" w:hAnsi="Arial"/>
                <w:sz w:val="11"/>
                <w:szCs w:val="11"/>
                <w:color w:val="auto"/>
              </w:rPr>
              <w:t>0</w:t>
            </w:r>
          </w:p>
        </w:tc>
        <w:tc>
          <w:tcPr>
            <w:tcW w:w="80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18,599</w:t>
            </w:r>
          </w:p>
        </w:tc>
        <w:tc>
          <w:tcPr>
            <w:tcW w:w="900" w:type="dxa"/>
            <w:vAlign w:val="bottom"/>
          </w:tcPr>
          <w:p>
            <w:pPr>
              <w:jc w:val="right"/>
              <w:spacing w:after="0"/>
              <w:rPr>
                <w:sz w:val="20"/>
                <w:szCs w:val="20"/>
                <w:color w:val="auto"/>
              </w:rPr>
            </w:pPr>
            <w:r>
              <w:rPr>
                <w:rFonts w:ascii="Arial" w:cs="Arial" w:eastAsia="Arial" w:hAnsi="Arial"/>
                <w:sz w:val="11"/>
                <w:szCs w:val="11"/>
                <w:color w:val="auto"/>
              </w:rPr>
              <w:t>$1,657,192</w:t>
            </w:r>
          </w:p>
        </w:tc>
        <w:tc>
          <w:tcPr>
            <w:tcW w:w="260" w:type="dxa"/>
            <w:vAlign w:val="bottom"/>
          </w:tcPr>
          <w:p>
            <w:pPr>
              <w:spacing w:after="0"/>
              <w:rPr>
                <w:sz w:val="15"/>
                <w:szCs w:val="15"/>
                <w:color w:val="auto"/>
              </w:rPr>
            </w:pPr>
          </w:p>
        </w:tc>
      </w:tr>
      <w:tr>
        <w:trPr>
          <w:trHeight w:val="67"/>
        </w:trPr>
        <w:tc>
          <w:tcPr>
            <w:tcW w:w="3800" w:type="dxa"/>
            <w:vAlign w:val="bottom"/>
            <w:tcBorders>
              <w:bottom w:val="single" w:sz="8" w:color="009BDE"/>
            </w:tcBorders>
          </w:tcPr>
          <w:p>
            <w:pPr>
              <w:spacing w:after="0"/>
              <w:rPr>
                <w:sz w:val="5"/>
                <w:szCs w:val="5"/>
                <w:color w:val="auto"/>
              </w:rPr>
            </w:pPr>
          </w:p>
        </w:tc>
        <w:tc>
          <w:tcPr>
            <w:tcW w:w="12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800" w:type="dxa"/>
            <w:vAlign w:val="bottom"/>
            <w:tcBorders>
              <w:bottom w:val="single" w:sz="8" w:color="009BDE"/>
            </w:tcBorders>
          </w:tcPr>
          <w:p>
            <w:pPr>
              <w:spacing w:after="0"/>
              <w:rPr>
                <w:sz w:val="5"/>
                <w:szCs w:val="5"/>
                <w:color w:val="auto"/>
              </w:rPr>
            </w:pPr>
          </w:p>
        </w:tc>
        <w:tc>
          <w:tcPr>
            <w:tcW w:w="12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9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r>
      <w:tr>
        <w:trPr>
          <w:trHeight w:val="183"/>
        </w:trPr>
        <w:tc>
          <w:tcPr>
            <w:tcW w:w="3800" w:type="dxa"/>
            <w:vAlign w:val="bottom"/>
          </w:tcPr>
          <w:p>
            <w:pPr>
              <w:ind w:left="40"/>
              <w:spacing w:after="0"/>
              <w:rPr>
                <w:sz w:val="20"/>
                <w:szCs w:val="20"/>
                <w:color w:val="auto"/>
              </w:rPr>
            </w:pPr>
            <w:r>
              <w:rPr>
                <w:rFonts w:ascii="Arial" w:cs="Arial" w:eastAsia="Arial" w:hAnsi="Arial"/>
                <w:sz w:val="11"/>
                <w:szCs w:val="11"/>
                <w:color w:val="auto"/>
              </w:rPr>
              <w:t>Deborah Thomas</w:t>
            </w:r>
          </w:p>
        </w:tc>
        <w:tc>
          <w:tcPr>
            <w:tcW w:w="820" w:type="dxa"/>
            <w:vAlign w:val="bottom"/>
            <w:gridSpan w:val="2"/>
          </w:tcPr>
          <w:p>
            <w:pPr>
              <w:jc w:val="right"/>
              <w:ind w:right="266"/>
              <w:spacing w:after="0"/>
              <w:rPr>
                <w:sz w:val="20"/>
                <w:szCs w:val="20"/>
                <w:color w:val="auto"/>
              </w:rPr>
            </w:pPr>
            <w:r>
              <w:rPr>
                <w:rFonts w:ascii="Arial" w:cs="Arial" w:eastAsia="Arial" w:hAnsi="Arial"/>
                <w:sz w:val="11"/>
                <w:szCs w:val="11"/>
                <w:color w:val="auto"/>
              </w:rPr>
              <w:t>0</w:t>
            </w:r>
          </w:p>
        </w:tc>
        <w:tc>
          <w:tcPr>
            <w:tcW w:w="80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26,821</w:t>
            </w:r>
          </w:p>
        </w:tc>
        <w:tc>
          <w:tcPr>
            <w:tcW w:w="900" w:type="dxa"/>
            <w:vAlign w:val="bottom"/>
          </w:tcPr>
          <w:p>
            <w:pPr>
              <w:jc w:val="right"/>
              <w:spacing w:after="0"/>
              <w:rPr>
                <w:sz w:val="20"/>
                <w:szCs w:val="20"/>
                <w:color w:val="auto"/>
              </w:rPr>
            </w:pPr>
            <w:r>
              <w:rPr>
                <w:rFonts w:ascii="Arial" w:cs="Arial" w:eastAsia="Arial" w:hAnsi="Arial"/>
                <w:sz w:val="11"/>
                <w:szCs w:val="11"/>
                <w:color w:val="auto"/>
              </w:rPr>
              <w:t>$2,424,042</w:t>
            </w:r>
          </w:p>
        </w:tc>
        <w:tc>
          <w:tcPr>
            <w:tcW w:w="260" w:type="dxa"/>
            <w:vAlign w:val="bottom"/>
          </w:tcPr>
          <w:p>
            <w:pPr>
              <w:spacing w:after="0"/>
              <w:rPr>
                <w:sz w:val="15"/>
                <w:szCs w:val="15"/>
                <w:color w:val="auto"/>
              </w:rPr>
            </w:pPr>
          </w:p>
        </w:tc>
      </w:tr>
      <w:tr>
        <w:trPr>
          <w:trHeight w:val="67"/>
        </w:trPr>
        <w:tc>
          <w:tcPr>
            <w:tcW w:w="3800" w:type="dxa"/>
            <w:vAlign w:val="bottom"/>
            <w:tcBorders>
              <w:bottom w:val="single" w:sz="8" w:color="009BDE"/>
            </w:tcBorders>
          </w:tcPr>
          <w:p>
            <w:pPr>
              <w:spacing w:after="0"/>
              <w:rPr>
                <w:sz w:val="5"/>
                <w:szCs w:val="5"/>
                <w:color w:val="auto"/>
              </w:rPr>
            </w:pPr>
          </w:p>
        </w:tc>
        <w:tc>
          <w:tcPr>
            <w:tcW w:w="12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800" w:type="dxa"/>
            <w:vAlign w:val="bottom"/>
            <w:tcBorders>
              <w:bottom w:val="single" w:sz="8" w:color="009BDE"/>
            </w:tcBorders>
          </w:tcPr>
          <w:p>
            <w:pPr>
              <w:spacing w:after="0"/>
              <w:rPr>
                <w:sz w:val="5"/>
                <w:szCs w:val="5"/>
                <w:color w:val="auto"/>
              </w:rPr>
            </w:pPr>
          </w:p>
        </w:tc>
        <w:tc>
          <w:tcPr>
            <w:tcW w:w="12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9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r>
      <w:tr>
        <w:trPr>
          <w:trHeight w:val="183"/>
        </w:trPr>
        <w:tc>
          <w:tcPr>
            <w:tcW w:w="3800" w:type="dxa"/>
            <w:vAlign w:val="bottom"/>
          </w:tcPr>
          <w:p>
            <w:pPr>
              <w:ind w:left="40"/>
              <w:spacing w:after="0"/>
              <w:rPr>
                <w:sz w:val="20"/>
                <w:szCs w:val="20"/>
                <w:color w:val="auto"/>
              </w:rPr>
            </w:pPr>
            <w:r>
              <w:rPr>
                <w:rFonts w:ascii="Arial" w:cs="Arial" w:eastAsia="Arial" w:hAnsi="Arial"/>
                <w:sz w:val="11"/>
                <w:szCs w:val="11"/>
                <w:color w:val="auto"/>
              </w:rPr>
              <w:t>Cynthia Williams</w:t>
            </w:r>
          </w:p>
        </w:tc>
        <w:tc>
          <w:tcPr>
            <w:tcW w:w="820" w:type="dxa"/>
            <w:vAlign w:val="bottom"/>
            <w:gridSpan w:val="2"/>
          </w:tcPr>
          <w:p>
            <w:pPr>
              <w:jc w:val="right"/>
              <w:ind w:right="266"/>
              <w:spacing w:after="0"/>
              <w:rPr>
                <w:sz w:val="20"/>
                <w:szCs w:val="20"/>
                <w:color w:val="auto"/>
              </w:rPr>
            </w:pPr>
            <w:r>
              <w:rPr>
                <w:rFonts w:ascii="Arial" w:cs="Arial" w:eastAsia="Arial" w:hAnsi="Arial"/>
                <w:sz w:val="11"/>
                <w:szCs w:val="11"/>
                <w:color w:val="auto"/>
              </w:rPr>
              <w:t>0</w:t>
            </w:r>
          </w:p>
        </w:tc>
        <w:tc>
          <w:tcPr>
            <w:tcW w:w="80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15,809</w:t>
            </w:r>
          </w:p>
        </w:tc>
        <w:tc>
          <w:tcPr>
            <w:tcW w:w="900" w:type="dxa"/>
            <w:vAlign w:val="bottom"/>
          </w:tcPr>
          <w:p>
            <w:pPr>
              <w:jc w:val="right"/>
              <w:spacing w:after="0"/>
              <w:rPr>
                <w:sz w:val="20"/>
                <w:szCs w:val="20"/>
                <w:color w:val="auto"/>
              </w:rPr>
            </w:pPr>
            <w:r>
              <w:rPr>
                <w:rFonts w:ascii="Arial" w:cs="Arial" w:eastAsia="Arial" w:hAnsi="Arial"/>
                <w:sz w:val="11"/>
                <w:szCs w:val="11"/>
                <w:color w:val="auto"/>
              </w:rPr>
              <w:t>$1,318,945</w:t>
            </w:r>
          </w:p>
        </w:tc>
        <w:tc>
          <w:tcPr>
            <w:tcW w:w="260" w:type="dxa"/>
            <w:vAlign w:val="bottom"/>
          </w:tcPr>
          <w:p>
            <w:pPr>
              <w:spacing w:after="0"/>
              <w:rPr>
                <w:sz w:val="15"/>
                <w:szCs w:val="15"/>
                <w:color w:val="auto"/>
              </w:rPr>
            </w:pPr>
          </w:p>
        </w:tc>
      </w:tr>
      <w:tr>
        <w:trPr>
          <w:trHeight w:val="67"/>
        </w:trPr>
        <w:tc>
          <w:tcPr>
            <w:tcW w:w="3800" w:type="dxa"/>
            <w:vAlign w:val="bottom"/>
            <w:tcBorders>
              <w:bottom w:val="single" w:sz="8" w:color="009BDE"/>
            </w:tcBorders>
          </w:tcPr>
          <w:p>
            <w:pPr>
              <w:spacing w:after="0"/>
              <w:rPr>
                <w:sz w:val="5"/>
                <w:szCs w:val="5"/>
                <w:color w:val="auto"/>
              </w:rPr>
            </w:pPr>
          </w:p>
        </w:tc>
        <w:tc>
          <w:tcPr>
            <w:tcW w:w="12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800" w:type="dxa"/>
            <w:vAlign w:val="bottom"/>
            <w:tcBorders>
              <w:bottom w:val="single" w:sz="8" w:color="009BDE"/>
            </w:tcBorders>
          </w:tcPr>
          <w:p>
            <w:pPr>
              <w:spacing w:after="0"/>
              <w:rPr>
                <w:sz w:val="5"/>
                <w:szCs w:val="5"/>
                <w:color w:val="auto"/>
              </w:rPr>
            </w:pPr>
          </w:p>
        </w:tc>
        <w:tc>
          <w:tcPr>
            <w:tcW w:w="12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9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r>
      <w:tr>
        <w:trPr>
          <w:trHeight w:val="183"/>
        </w:trPr>
        <w:tc>
          <w:tcPr>
            <w:tcW w:w="3800" w:type="dxa"/>
            <w:vAlign w:val="bottom"/>
          </w:tcPr>
          <w:p>
            <w:pPr>
              <w:ind w:left="40"/>
              <w:spacing w:after="0"/>
              <w:rPr>
                <w:sz w:val="20"/>
                <w:szCs w:val="20"/>
                <w:color w:val="auto"/>
              </w:rPr>
            </w:pPr>
            <w:r>
              <w:rPr>
                <w:rFonts w:ascii="Arial" w:cs="Arial" w:eastAsia="Arial" w:hAnsi="Arial"/>
                <w:sz w:val="11"/>
                <w:szCs w:val="11"/>
                <w:color w:val="auto"/>
              </w:rPr>
              <w:t>Eric Nyman</w:t>
            </w:r>
          </w:p>
        </w:tc>
        <w:tc>
          <w:tcPr>
            <w:tcW w:w="820" w:type="dxa"/>
            <w:vAlign w:val="bottom"/>
            <w:gridSpan w:val="2"/>
          </w:tcPr>
          <w:p>
            <w:pPr>
              <w:jc w:val="right"/>
              <w:ind w:right="266"/>
              <w:spacing w:after="0"/>
              <w:rPr>
                <w:sz w:val="20"/>
                <w:szCs w:val="20"/>
                <w:color w:val="auto"/>
              </w:rPr>
            </w:pPr>
            <w:r>
              <w:rPr>
                <w:rFonts w:ascii="Arial" w:cs="Arial" w:eastAsia="Arial" w:hAnsi="Arial"/>
                <w:sz w:val="11"/>
                <w:szCs w:val="11"/>
                <w:color w:val="auto"/>
              </w:rPr>
              <w:t>0</w:t>
            </w:r>
          </w:p>
        </w:tc>
        <w:tc>
          <w:tcPr>
            <w:tcW w:w="80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10,239</w:t>
            </w:r>
          </w:p>
        </w:tc>
        <w:tc>
          <w:tcPr>
            <w:tcW w:w="900" w:type="dxa"/>
            <w:vAlign w:val="bottom"/>
          </w:tcPr>
          <w:p>
            <w:pPr>
              <w:jc w:val="right"/>
              <w:spacing w:after="0"/>
              <w:rPr>
                <w:sz w:val="20"/>
                <w:szCs w:val="20"/>
                <w:color w:val="auto"/>
              </w:rPr>
            </w:pPr>
            <w:r>
              <w:rPr>
                <w:rFonts w:ascii="Arial" w:cs="Arial" w:eastAsia="Arial" w:hAnsi="Arial"/>
                <w:sz w:val="11"/>
                <w:szCs w:val="11"/>
                <w:color w:val="auto"/>
              </w:rPr>
              <w:t>$  889,054</w:t>
            </w:r>
          </w:p>
        </w:tc>
        <w:tc>
          <w:tcPr>
            <w:tcW w:w="260" w:type="dxa"/>
            <w:vAlign w:val="bottom"/>
          </w:tcPr>
          <w:p>
            <w:pPr>
              <w:spacing w:after="0"/>
              <w:rPr>
                <w:sz w:val="15"/>
                <w:szCs w:val="15"/>
                <w:color w:val="auto"/>
              </w:rPr>
            </w:pPr>
          </w:p>
        </w:tc>
      </w:tr>
      <w:tr>
        <w:trPr>
          <w:trHeight w:val="67"/>
        </w:trPr>
        <w:tc>
          <w:tcPr>
            <w:tcW w:w="3800" w:type="dxa"/>
            <w:vAlign w:val="bottom"/>
            <w:tcBorders>
              <w:bottom w:val="single" w:sz="8" w:color="009BDE"/>
            </w:tcBorders>
          </w:tcPr>
          <w:p>
            <w:pPr>
              <w:spacing w:after="0"/>
              <w:rPr>
                <w:sz w:val="5"/>
                <w:szCs w:val="5"/>
                <w:color w:val="auto"/>
              </w:rPr>
            </w:pPr>
          </w:p>
        </w:tc>
        <w:tc>
          <w:tcPr>
            <w:tcW w:w="12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800" w:type="dxa"/>
            <w:vAlign w:val="bottom"/>
            <w:tcBorders>
              <w:bottom w:val="single" w:sz="8" w:color="009BDE"/>
            </w:tcBorders>
          </w:tcPr>
          <w:p>
            <w:pPr>
              <w:spacing w:after="0"/>
              <w:rPr>
                <w:sz w:val="5"/>
                <w:szCs w:val="5"/>
                <w:color w:val="auto"/>
              </w:rPr>
            </w:pPr>
          </w:p>
        </w:tc>
        <w:tc>
          <w:tcPr>
            <w:tcW w:w="12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9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r>
      <w:tr>
        <w:trPr>
          <w:trHeight w:val="183"/>
        </w:trPr>
        <w:tc>
          <w:tcPr>
            <w:tcW w:w="3800" w:type="dxa"/>
            <w:vAlign w:val="bottom"/>
          </w:tcPr>
          <w:p>
            <w:pPr>
              <w:ind w:left="40"/>
              <w:spacing w:after="0"/>
              <w:rPr>
                <w:sz w:val="20"/>
                <w:szCs w:val="20"/>
                <w:color w:val="auto"/>
              </w:rPr>
            </w:pPr>
            <w:r>
              <w:rPr>
                <w:rFonts w:ascii="Arial" w:cs="Arial" w:eastAsia="Arial" w:hAnsi="Arial"/>
                <w:sz w:val="11"/>
                <w:szCs w:val="11"/>
                <w:color w:val="auto"/>
              </w:rPr>
              <w:t>Darren Throop</w:t>
            </w:r>
          </w:p>
        </w:tc>
        <w:tc>
          <w:tcPr>
            <w:tcW w:w="820" w:type="dxa"/>
            <w:vAlign w:val="bottom"/>
            <w:gridSpan w:val="2"/>
          </w:tcPr>
          <w:p>
            <w:pPr>
              <w:jc w:val="right"/>
              <w:ind w:right="266"/>
              <w:spacing w:after="0"/>
              <w:rPr>
                <w:sz w:val="20"/>
                <w:szCs w:val="20"/>
                <w:color w:val="auto"/>
              </w:rPr>
            </w:pPr>
            <w:r>
              <w:rPr>
                <w:rFonts w:ascii="Arial" w:cs="Arial" w:eastAsia="Arial" w:hAnsi="Arial"/>
                <w:sz w:val="11"/>
                <w:szCs w:val="11"/>
                <w:color w:val="auto"/>
              </w:rPr>
              <w:t>0</w:t>
            </w:r>
          </w:p>
        </w:tc>
        <w:tc>
          <w:tcPr>
            <w:tcW w:w="80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47,253</w:t>
            </w:r>
          </w:p>
        </w:tc>
        <w:tc>
          <w:tcPr>
            <w:tcW w:w="900" w:type="dxa"/>
            <w:vAlign w:val="bottom"/>
          </w:tcPr>
          <w:p>
            <w:pPr>
              <w:jc w:val="right"/>
              <w:spacing w:after="0"/>
              <w:rPr>
                <w:sz w:val="20"/>
                <w:szCs w:val="20"/>
                <w:color w:val="auto"/>
              </w:rPr>
            </w:pPr>
            <w:r>
              <w:rPr>
                <w:rFonts w:ascii="Arial" w:cs="Arial" w:eastAsia="Arial" w:hAnsi="Arial"/>
                <w:sz w:val="11"/>
                <w:szCs w:val="11"/>
                <w:color w:val="auto"/>
              </w:rPr>
              <w:t>$4,679,793</w:t>
            </w:r>
          </w:p>
        </w:tc>
        <w:tc>
          <w:tcPr>
            <w:tcW w:w="260" w:type="dxa"/>
            <w:vAlign w:val="bottom"/>
          </w:tcPr>
          <w:p>
            <w:pPr>
              <w:spacing w:after="0"/>
              <w:rPr>
                <w:sz w:val="15"/>
                <w:szCs w:val="15"/>
                <w:color w:val="auto"/>
              </w:rPr>
            </w:pPr>
          </w:p>
        </w:tc>
      </w:tr>
      <w:tr>
        <w:trPr>
          <w:trHeight w:val="67"/>
        </w:trPr>
        <w:tc>
          <w:tcPr>
            <w:tcW w:w="3800" w:type="dxa"/>
            <w:vAlign w:val="bottom"/>
            <w:tcBorders>
              <w:bottom w:val="single" w:sz="8" w:color="009BDE"/>
            </w:tcBorders>
          </w:tcPr>
          <w:p>
            <w:pPr>
              <w:spacing w:after="0"/>
              <w:rPr>
                <w:sz w:val="5"/>
                <w:szCs w:val="5"/>
                <w:color w:val="auto"/>
              </w:rPr>
            </w:pPr>
          </w:p>
        </w:tc>
        <w:tc>
          <w:tcPr>
            <w:tcW w:w="12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800" w:type="dxa"/>
            <w:vAlign w:val="bottom"/>
            <w:tcBorders>
              <w:bottom w:val="single" w:sz="8" w:color="009BDE"/>
            </w:tcBorders>
          </w:tcPr>
          <w:p>
            <w:pPr>
              <w:spacing w:after="0"/>
              <w:rPr>
                <w:sz w:val="5"/>
                <w:szCs w:val="5"/>
                <w:color w:val="auto"/>
              </w:rPr>
            </w:pPr>
          </w:p>
        </w:tc>
        <w:tc>
          <w:tcPr>
            <w:tcW w:w="12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9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3971925" cy="21717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6"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58</w:t>
      </w:r>
    </w:p>
    <w:p>
      <w:pPr>
        <w:sectPr>
          <w:pgSz w:w="11900" w:h="16838" w:orient="portrait"/>
          <w:cols w:equalWidth="0" w:num="1">
            <w:col w:w="10159"/>
          </w:cols>
          <w:pgMar w:left="300" w:top="372" w:right="1440" w:bottom="1440" w:gutter="0" w:footer="0" w:header="0"/>
        </w:sectPr>
      </w:pPr>
    </w:p>
    <w:bookmarkStart w:id="80" w:name="page81"/>
    <w:bookmarkEnd w:id="8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839"/>
        <w:spacing w:after="0" w:line="241" w:lineRule="auto"/>
        <w:rPr>
          <w:sz w:val="20"/>
          <w:szCs w:val="20"/>
          <w:color w:val="auto"/>
        </w:rPr>
      </w:pPr>
      <w:r>
        <w:rPr>
          <w:rFonts w:ascii="Arial" w:cs="Arial" w:eastAsia="Arial" w:hAnsi="Arial"/>
          <w:sz w:val="11"/>
          <w:szCs w:val="11"/>
          <w:color w:val="auto"/>
        </w:rPr>
        <w:t>The following table sets forth information regarding each of our NEOs’ years of credited service and accrued pension benefits with the Company under plans providing specified retirement payments and benefits, including tax-qualified defined benefit plans and supplemental executive retirement plans, but excluding tax-qualified defined contribution plans and non-qualified defined contribution plans. Information is provided as of the plans’ measurement dates used for financial reporting purposes for the Company’s 2022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99695</wp:posOffset>
            </wp:positionV>
            <wp:extent cx="4663440" cy="22288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4663440" cy="222885"/>
                    </a:xfrm>
                    <a:prstGeom prst="rect">
                      <a:avLst/>
                    </a:prstGeom>
                    <a:noFill/>
                  </pic:spPr>
                </pic:pic>
              </a:graphicData>
            </a:graphic>
          </wp:anchor>
        </w:drawing>
      </w:r>
    </w:p>
    <w:p>
      <w:pPr>
        <w:spacing w:after="0" w:line="182"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Retirement Plan Annual Benefits and Payments</w:t>
      </w:r>
    </w:p>
    <w:p>
      <w:pPr>
        <w:spacing w:after="0" w:line="54" w:lineRule="exact"/>
        <w:rPr>
          <w:sz w:val="20"/>
          <w:szCs w:val="20"/>
          <w:color w:val="auto"/>
        </w:rPr>
      </w:pPr>
    </w:p>
    <w:tbl>
      <w:tblPr>
        <w:tblLayout w:type="fixed"/>
        <w:tblInd w:w="1980" w:type="dxa"/>
        <w:tblCellMar>
          <w:top w:w="0" w:type="dxa"/>
          <w:left w:w="0" w:type="dxa"/>
          <w:bottom w:w="0" w:type="dxa"/>
          <w:right w:w="0" w:type="dxa"/>
        </w:tblCellMar>
      </w:tblPr>
      <w:tr>
        <w:trPr>
          <w:trHeight w:val="196"/>
        </w:trPr>
        <w:tc>
          <w:tcPr>
            <w:tcW w:w="2580" w:type="dxa"/>
            <w:vAlign w:val="bottom"/>
            <w:tcBorders>
              <w:top w:val="single" w:sz="8" w:color="0060ED"/>
            </w:tcBorders>
            <w:shd w:val="clear" w:color="auto" w:fill="CCEBF8"/>
          </w:tcPr>
          <w:p>
            <w:pPr>
              <w:spacing w:after="0"/>
              <w:rPr>
                <w:sz w:val="17"/>
                <w:szCs w:val="17"/>
                <w:color w:val="auto"/>
              </w:rPr>
            </w:pPr>
          </w:p>
        </w:tc>
        <w:tc>
          <w:tcPr>
            <w:tcW w:w="1220" w:type="dxa"/>
            <w:vAlign w:val="bottom"/>
            <w:tcBorders>
              <w:top w:val="single" w:sz="8" w:color="0060ED"/>
            </w:tcBorders>
            <w:shd w:val="clear" w:color="auto" w:fill="CCEBF8"/>
          </w:tcPr>
          <w:p>
            <w:pPr>
              <w:spacing w:after="0"/>
              <w:rPr>
                <w:sz w:val="17"/>
                <w:szCs w:val="17"/>
                <w:color w:val="auto"/>
              </w:rPr>
            </w:pPr>
          </w:p>
        </w:tc>
        <w:tc>
          <w:tcPr>
            <w:tcW w:w="1100" w:type="dxa"/>
            <w:vAlign w:val="bottom"/>
            <w:tcBorders>
              <w:top w:val="single" w:sz="8" w:color="0060ED"/>
            </w:tcBorders>
            <w:shd w:val="clear" w:color="auto" w:fill="CCEBF8"/>
          </w:tcPr>
          <w:p>
            <w:pPr>
              <w:spacing w:after="0"/>
              <w:rPr>
                <w:sz w:val="17"/>
                <w:szCs w:val="17"/>
                <w:color w:val="auto"/>
              </w:rPr>
            </w:pPr>
          </w:p>
        </w:tc>
        <w:tc>
          <w:tcPr>
            <w:tcW w:w="1340" w:type="dxa"/>
            <w:vAlign w:val="bottom"/>
            <w:tcBorders>
              <w:top w:val="single" w:sz="8" w:color="0060ED"/>
            </w:tcBorders>
            <w:shd w:val="clear" w:color="auto" w:fill="CCEBF8"/>
          </w:tcPr>
          <w:p>
            <w:pPr>
              <w:jc w:val="center"/>
              <w:ind w:right="6"/>
              <w:spacing w:after="0"/>
              <w:rPr>
                <w:sz w:val="20"/>
                <w:szCs w:val="20"/>
                <w:color w:val="auto"/>
              </w:rPr>
            </w:pPr>
            <w:r>
              <w:rPr>
                <w:rFonts w:ascii="Arial" w:cs="Arial" w:eastAsia="Arial" w:hAnsi="Arial"/>
                <w:sz w:val="11"/>
                <w:szCs w:val="11"/>
                <w:b w:val="1"/>
                <w:bCs w:val="1"/>
                <w:color w:val="009BDE"/>
                <w:w w:val="97"/>
              </w:rPr>
              <w:t>Present Value of</w:t>
            </w:r>
          </w:p>
        </w:tc>
        <w:tc>
          <w:tcPr>
            <w:tcW w:w="1100" w:type="dxa"/>
            <w:vAlign w:val="bottom"/>
            <w:tcBorders>
              <w:top w:val="single" w:sz="8" w:color="0060ED"/>
            </w:tcBorders>
            <w:shd w:val="clear" w:color="auto" w:fill="CCEBF8"/>
          </w:tcPr>
          <w:p>
            <w:pPr>
              <w:spacing w:after="0"/>
              <w:rPr>
                <w:sz w:val="17"/>
                <w:szCs w:val="17"/>
                <w:color w:val="auto"/>
              </w:rPr>
            </w:pPr>
          </w:p>
        </w:tc>
      </w:tr>
      <w:tr>
        <w:trPr>
          <w:trHeight w:val="126"/>
        </w:trPr>
        <w:tc>
          <w:tcPr>
            <w:tcW w:w="2580" w:type="dxa"/>
            <w:vAlign w:val="bottom"/>
            <w:shd w:val="clear" w:color="auto" w:fill="CCEBF8"/>
          </w:tcPr>
          <w:p>
            <w:pPr>
              <w:spacing w:after="0"/>
              <w:rPr>
                <w:sz w:val="10"/>
                <w:szCs w:val="10"/>
                <w:color w:val="auto"/>
              </w:rPr>
            </w:pPr>
          </w:p>
        </w:tc>
        <w:tc>
          <w:tcPr>
            <w:tcW w:w="1220" w:type="dxa"/>
            <w:vAlign w:val="bottom"/>
            <w:shd w:val="clear" w:color="auto" w:fill="CCEBF8"/>
          </w:tcPr>
          <w:p>
            <w:pPr>
              <w:spacing w:after="0"/>
              <w:rPr>
                <w:sz w:val="10"/>
                <w:szCs w:val="10"/>
                <w:color w:val="auto"/>
              </w:rPr>
            </w:pPr>
          </w:p>
        </w:tc>
        <w:tc>
          <w:tcPr>
            <w:tcW w:w="1100" w:type="dxa"/>
            <w:vAlign w:val="bottom"/>
            <w:shd w:val="clear" w:color="auto" w:fill="CCEBF8"/>
          </w:tcPr>
          <w:p>
            <w:pPr>
              <w:spacing w:after="0"/>
              <w:rPr>
                <w:sz w:val="10"/>
                <w:szCs w:val="10"/>
                <w:color w:val="auto"/>
              </w:rPr>
            </w:pPr>
          </w:p>
        </w:tc>
        <w:tc>
          <w:tcPr>
            <w:tcW w:w="1340" w:type="dxa"/>
            <w:vAlign w:val="bottom"/>
            <w:shd w:val="clear" w:color="auto" w:fill="CCEBF8"/>
          </w:tcPr>
          <w:p>
            <w:pPr>
              <w:jc w:val="center"/>
              <w:ind w:right="6"/>
              <w:spacing w:after="0"/>
              <w:rPr>
                <w:sz w:val="20"/>
                <w:szCs w:val="20"/>
                <w:color w:val="auto"/>
              </w:rPr>
            </w:pPr>
            <w:r>
              <w:rPr>
                <w:rFonts w:ascii="Arial" w:cs="Arial" w:eastAsia="Arial" w:hAnsi="Arial"/>
                <w:sz w:val="11"/>
                <w:szCs w:val="11"/>
                <w:b w:val="1"/>
                <w:bCs w:val="1"/>
                <w:color w:val="009BDE"/>
                <w:w w:val="98"/>
              </w:rPr>
              <w:t>Accumulated Benefit</w:t>
            </w:r>
          </w:p>
        </w:tc>
        <w:tc>
          <w:tcPr>
            <w:tcW w:w="1100" w:type="dxa"/>
            <w:vAlign w:val="bottom"/>
            <w:shd w:val="clear" w:color="auto" w:fill="CCEBF8"/>
          </w:tcPr>
          <w:p>
            <w:pPr>
              <w:spacing w:after="0"/>
              <w:rPr>
                <w:sz w:val="10"/>
                <w:szCs w:val="10"/>
                <w:color w:val="auto"/>
              </w:rPr>
            </w:pPr>
          </w:p>
        </w:tc>
      </w:tr>
      <w:tr>
        <w:trPr>
          <w:trHeight w:val="126"/>
        </w:trPr>
        <w:tc>
          <w:tcPr>
            <w:tcW w:w="2580" w:type="dxa"/>
            <w:vAlign w:val="bottom"/>
            <w:shd w:val="clear" w:color="auto" w:fill="CCEBF8"/>
          </w:tcPr>
          <w:p>
            <w:pPr>
              <w:spacing w:after="0"/>
              <w:rPr>
                <w:sz w:val="10"/>
                <w:szCs w:val="10"/>
                <w:color w:val="auto"/>
              </w:rPr>
            </w:pPr>
          </w:p>
        </w:tc>
        <w:tc>
          <w:tcPr>
            <w:tcW w:w="1220" w:type="dxa"/>
            <w:vAlign w:val="bottom"/>
            <w:shd w:val="clear" w:color="auto" w:fill="CCEBF8"/>
          </w:tcPr>
          <w:p>
            <w:pPr>
              <w:spacing w:after="0"/>
              <w:rPr>
                <w:sz w:val="10"/>
                <w:szCs w:val="10"/>
                <w:color w:val="auto"/>
              </w:rPr>
            </w:pPr>
          </w:p>
        </w:tc>
        <w:tc>
          <w:tcPr>
            <w:tcW w:w="110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8"/>
              </w:rPr>
              <w:t>Number of</w:t>
            </w:r>
          </w:p>
        </w:tc>
        <w:tc>
          <w:tcPr>
            <w:tcW w:w="134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8"/>
              </w:rPr>
              <w:t>Payable at Normal</w:t>
            </w:r>
          </w:p>
        </w:tc>
        <w:tc>
          <w:tcPr>
            <w:tcW w:w="110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9"/>
              </w:rPr>
              <w:t>Payments</w:t>
            </w:r>
          </w:p>
        </w:tc>
      </w:tr>
      <w:tr>
        <w:trPr>
          <w:trHeight w:val="126"/>
        </w:trPr>
        <w:tc>
          <w:tcPr>
            <w:tcW w:w="2580" w:type="dxa"/>
            <w:vAlign w:val="bottom"/>
            <w:shd w:val="clear" w:color="auto" w:fill="CCEBF8"/>
          </w:tcPr>
          <w:p>
            <w:pPr>
              <w:spacing w:after="0"/>
              <w:rPr>
                <w:sz w:val="10"/>
                <w:szCs w:val="10"/>
                <w:color w:val="auto"/>
              </w:rPr>
            </w:pPr>
          </w:p>
        </w:tc>
        <w:tc>
          <w:tcPr>
            <w:tcW w:w="1220" w:type="dxa"/>
            <w:vAlign w:val="bottom"/>
            <w:shd w:val="clear" w:color="auto" w:fill="CCEBF8"/>
          </w:tcPr>
          <w:p>
            <w:pPr>
              <w:spacing w:after="0"/>
              <w:rPr>
                <w:sz w:val="10"/>
                <w:szCs w:val="10"/>
                <w:color w:val="auto"/>
              </w:rPr>
            </w:pPr>
          </w:p>
        </w:tc>
        <w:tc>
          <w:tcPr>
            <w:tcW w:w="110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8"/>
              </w:rPr>
              <w:t>Years of Credited</w:t>
            </w:r>
          </w:p>
        </w:tc>
        <w:tc>
          <w:tcPr>
            <w:tcW w:w="1340" w:type="dxa"/>
            <w:vAlign w:val="bottom"/>
            <w:shd w:val="clear" w:color="auto" w:fill="CCEBF8"/>
          </w:tcPr>
          <w:p>
            <w:pPr>
              <w:jc w:val="center"/>
              <w:ind w:right="6"/>
              <w:spacing w:after="0"/>
              <w:rPr>
                <w:sz w:val="20"/>
                <w:szCs w:val="20"/>
                <w:color w:val="auto"/>
              </w:rPr>
            </w:pPr>
            <w:r>
              <w:rPr>
                <w:rFonts w:ascii="Arial" w:cs="Arial" w:eastAsia="Arial" w:hAnsi="Arial"/>
                <w:sz w:val="11"/>
                <w:szCs w:val="11"/>
                <w:b w:val="1"/>
                <w:bCs w:val="1"/>
                <w:color w:val="009BDE"/>
                <w:w w:val="97"/>
              </w:rPr>
              <w:t>Retirement</w:t>
            </w:r>
          </w:p>
        </w:tc>
        <w:tc>
          <w:tcPr>
            <w:tcW w:w="110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9"/>
              </w:rPr>
              <w:t>During the Last</w:t>
            </w:r>
          </w:p>
        </w:tc>
      </w:tr>
      <w:tr>
        <w:trPr>
          <w:trHeight w:val="151"/>
        </w:trPr>
        <w:tc>
          <w:tcPr>
            <w:tcW w:w="2580" w:type="dxa"/>
            <w:vAlign w:val="bottom"/>
            <w:shd w:val="clear" w:color="auto" w:fill="CCEBF8"/>
          </w:tcPr>
          <w:p>
            <w:pPr>
              <w:ind w:left="60"/>
              <w:spacing w:after="0"/>
              <w:rPr>
                <w:sz w:val="20"/>
                <w:szCs w:val="20"/>
                <w:color w:val="auto"/>
              </w:rPr>
            </w:pPr>
            <w:r>
              <w:rPr>
                <w:rFonts w:ascii="Arial" w:cs="Arial" w:eastAsia="Arial" w:hAnsi="Arial"/>
                <w:sz w:val="11"/>
                <w:szCs w:val="11"/>
                <w:b w:val="1"/>
                <w:bCs w:val="1"/>
                <w:color w:val="009BDE"/>
              </w:rPr>
              <w:t>Name</w:t>
            </w:r>
          </w:p>
        </w:tc>
        <w:tc>
          <w:tcPr>
            <w:tcW w:w="1220" w:type="dxa"/>
            <w:vAlign w:val="bottom"/>
            <w:shd w:val="clear" w:color="auto" w:fill="CCEBF8"/>
          </w:tcPr>
          <w:p>
            <w:pPr>
              <w:jc w:val="center"/>
              <w:ind w:left="46"/>
              <w:spacing w:after="0"/>
              <w:rPr>
                <w:sz w:val="20"/>
                <w:szCs w:val="20"/>
                <w:color w:val="auto"/>
              </w:rPr>
            </w:pPr>
            <w:r>
              <w:rPr>
                <w:rFonts w:ascii="Arial" w:cs="Arial" w:eastAsia="Arial" w:hAnsi="Arial"/>
                <w:sz w:val="11"/>
                <w:szCs w:val="11"/>
                <w:b w:val="1"/>
                <w:bCs w:val="1"/>
                <w:color w:val="009BDE"/>
                <w:w w:val="99"/>
              </w:rPr>
              <w:t>Plan Name</w:t>
            </w:r>
          </w:p>
        </w:tc>
        <w:tc>
          <w:tcPr>
            <w:tcW w:w="110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6"/>
              </w:rPr>
              <w:t>Service (#)</w:t>
            </w:r>
          </w:p>
        </w:tc>
        <w:tc>
          <w:tcPr>
            <w:tcW w:w="134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6"/>
              </w:rPr>
              <w:t>($)(a)</w:t>
            </w:r>
          </w:p>
        </w:tc>
        <w:tc>
          <w:tcPr>
            <w:tcW w:w="110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7"/>
              </w:rPr>
              <w:t>Fiscal Year($)</w:t>
            </w:r>
          </w:p>
        </w:tc>
      </w:tr>
      <w:tr>
        <w:trPr>
          <w:trHeight w:val="85"/>
        </w:trPr>
        <w:tc>
          <w:tcPr>
            <w:tcW w:w="2580" w:type="dxa"/>
            <w:vAlign w:val="bottom"/>
            <w:tcBorders>
              <w:bottom w:val="single" w:sz="8" w:color="009BDE"/>
            </w:tcBorders>
            <w:shd w:val="clear" w:color="auto" w:fill="CCEBF8"/>
          </w:tcPr>
          <w:p>
            <w:pPr>
              <w:spacing w:after="0"/>
              <w:rPr>
                <w:sz w:val="7"/>
                <w:szCs w:val="7"/>
                <w:color w:val="auto"/>
              </w:rPr>
            </w:pPr>
          </w:p>
        </w:tc>
        <w:tc>
          <w:tcPr>
            <w:tcW w:w="1220" w:type="dxa"/>
            <w:vAlign w:val="bottom"/>
            <w:tcBorders>
              <w:bottom w:val="single" w:sz="8" w:color="009BDE"/>
            </w:tcBorders>
            <w:shd w:val="clear" w:color="auto" w:fill="CCEBF8"/>
          </w:tcPr>
          <w:p>
            <w:pPr>
              <w:spacing w:after="0"/>
              <w:rPr>
                <w:sz w:val="7"/>
                <w:szCs w:val="7"/>
                <w:color w:val="auto"/>
              </w:rPr>
            </w:pPr>
          </w:p>
        </w:tc>
        <w:tc>
          <w:tcPr>
            <w:tcW w:w="1100" w:type="dxa"/>
            <w:vAlign w:val="bottom"/>
            <w:tcBorders>
              <w:bottom w:val="single" w:sz="8" w:color="009BDE"/>
            </w:tcBorders>
            <w:shd w:val="clear" w:color="auto" w:fill="CCEBF8"/>
          </w:tcPr>
          <w:p>
            <w:pPr>
              <w:spacing w:after="0"/>
              <w:rPr>
                <w:sz w:val="7"/>
                <w:szCs w:val="7"/>
                <w:color w:val="auto"/>
              </w:rPr>
            </w:pPr>
          </w:p>
        </w:tc>
        <w:tc>
          <w:tcPr>
            <w:tcW w:w="1340" w:type="dxa"/>
            <w:vAlign w:val="bottom"/>
            <w:tcBorders>
              <w:bottom w:val="single" w:sz="8" w:color="009BDE"/>
            </w:tcBorders>
            <w:shd w:val="clear" w:color="auto" w:fill="CCEBF8"/>
          </w:tcPr>
          <w:p>
            <w:pPr>
              <w:spacing w:after="0"/>
              <w:rPr>
                <w:sz w:val="7"/>
                <w:szCs w:val="7"/>
                <w:color w:val="auto"/>
              </w:rPr>
            </w:pPr>
          </w:p>
        </w:tc>
        <w:tc>
          <w:tcPr>
            <w:tcW w:w="1100" w:type="dxa"/>
            <w:vAlign w:val="bottom"/>
            <w:tcBorders>
              <w:bottom w:val="single" w:sz="8" w:color="009BDE"/>
            </w:tcBorders>
            <w:shd w:val="clear" w:color="auto" w:fill="CCEBF8"/>
          </w:tcPr>
          <w:p>
            <w:pPr>
              <w:spacing w:after="0"/>
              <w:rPr>
                <w:sz w:val="7"/>
                <w:szCs w:val="7"/>
                <w:color w:val="auto"/>
              </w:rPr>
            </w:pPr>
          </w:p>
        </w:tc>
      </w:tr>
      <w:tr>
        <w:trPr>
          <w:trHeight w:val="183"/>
        </w:trPr>
        <w:tc>
          <w:tcPr>
            <w:tcW w:w="2580" w:type="dxa"/>
            <w:vAlign w:val="bottom"/>
          </w:tcPr>
          <w:p>
            <w:pPr>
              <w:ind w:left="40"/>
              <w:spacing w:after="0"/>
              <w:rPr>
                <w:sz w:val="20"/>
                <w:szCs w:val="20"/>
                <w:color w:val="auto"/>
              </w:rPr>
            </w:pPr>
            <w:r>
              <w:rPr>
                <w:rFonts w:ascii="Arial" w:cs="Arial" w:eastAsia="Arial" w:hAnsi="Arial"/>
                <w:sz w:val="11"/>
                <w:szCs w:val="11"/>
                <w:color w:val="auto"/>
              </w:rPr>
              <w:t>Richard Stoddart(b)</w:t>
            </w:r>
          </w:p>
        </w:tc>
        <w:tc>
          <w:tcPr>
            <w:tcW w:w="1220" w:type="dxa"/>
            <w:vAlign w:val="bottom"/>
          </w:tcPr>
          <w:p>
            <w:pPr>
              <w:jc w:val="center"/>
              <w:ind w:left="66"/>
              <w:spacing w:after="0"/>
              <w:rPr>
                <w:sz w:val="20"/>
                <w:szCs w:val="20"/>
                <w:color w:val="auto"/>
              </w:rPr>
            </w:pPr>
            <w:r>
              <w:rPr>
                <w:rFonts w:ascii="Arial" w:cs="Arial" w:eastAsia="Arial" w:hAnsi="Arial"/>
                <w:sz w:val="11"/>
                <w:szCs w:val="11"/>
                <w:color w:val="auto"/>
                <w:w w:val="91"/>
              </w:rPr>
              <w:t>n/a</w:t>
            </w:r>
          </w:p>
        </w:tc>
        <w:tc>
          <w:tcPr>
            <w:tcW w:w="1100" w:type="dxa"/>
            <w:vAlign w:val="bottom"/>
          </w:tcPr>
          <w:p>
            <w:pPr>
              <w:jc w:val="right"/>
              <w:ind w:right="326"/>
              <w:spacing w:after="0"/>
              <w:rPr>
                <w:sz w:val="20"/>
                <w:szCs w:val="20"/>
                <w:color w:val="auto"/>
              </w:rPr>
            </w:pPr>
            <w:r>
              <w:rPr>
                <w:rFonts w:ascii="Arial" w:cs="Arial" w:eastAsia="Arial" w:hAnsi="Arial"/>
                <w:sz w:val="11"/>
                <w:szCs w:val="11"/>
                <w:color w:val="auto"/>
              </w:rPr>
              <w:t>n/a</w:t>
            </w:r>
          </w:p>
        </w:tc>
        <w:tc>
          <w:tcPr>
            <w:tcW w:w="1340" w:type="dxa"/>
            <w:vAlign w:val="bottom"/>
          </w:tcPr>
          <w:p>
            <w:pPr>
              <w:jc w:val="right"/>
              <w:ind w:right="346"/>
              <w:spacing w:after="0"/>
              <w:rPr>
                <w:sz w:val="20"/>
                <w:szCs w:val="20"/>
                <w:color w:val="auto"/>
              </w:rPr>
            </w:pPr>
            <w:r>
              <w:rPr>
                <w:rFonts w:ascii="Arial" w:cs="Arial" w:eastAsia="Arial" w:hAnsi="Arial"/>
                <w:sz w:val="11"/>
                <w:szCs w:val="11"/>
                <w:color w:val="auto"/>
              </w:rPr>
              <w:t>n/a</w:t>
            </w:r>
          </w:p>
        </w:tc>
        <w:tc>
          <w:tcPr>
            <w:tcW w:w="1100" w:type="dxa"/>
            <w:vAlign w:val="bottom"/>
          </w:tcPr>
          <w:p>
            <w:pPr>
              <w:jc w:val="right"/>
              <w:ind w:right="366"/>
              <w:spacing w:after="0"/>
              <w:rPr>
                <w:sz w:val="20"/>
                <w:szCs w:val="20"/>
                <w:color w:val="auto"/>
              </w:rPr>
            </w:pPr>
            <w:r>
              <w:rPr>
                <w:rFonts w:ascii="Arial" w:cs="Arial" w:eastAsia="Arial" w:hAnsi="Arial"/>
                <w:sz w:val="11"/>
                <w:szCs w:val="11"/>
                <w:color w:val="auto"/>
              </w:rPr>
              <w:t>n/a</w:t>
            </w:r>
          </w:p>
        </w:tc>
      </w:tr>
      <w:tr>
        <w:trPr>
          <w:trHeight w:val="67"/>
        </w:trPr>
        <w:tc>
          <w:tcPr>
            <w:tcW w:w="2580" w:type="dxa"/>
            <w:vAlign w:val="bottom"/>
            <w:tcBorders>
              <w:bottom w:val="single" w:sz="8" w:color="009BDE"/>
            </w:tcBorders>
          </w:tcPr>
          <w:p>
            <w:pPr>
              <w:spacing w:after="0"/>
              <w:rPr>
                <w:sz w:val="5"/>
                <w:szCs w:val="5"/>
                <w:color w:val="auto"/>
              </w:rPr>
            </w:pPr>
          </w:p>
        </w:tc>
        <w:tc>
          <w:tcPr>
            <w:tcW w:w="1220" w:type="dxa"/>
            <w:vAlign w:val="bottom"/>
            <w:tcBorders>
              <w:bottom w:val="single" w:sz="8" w:color="009BDE"/>
            </w:tcBorders>
          </w:tcPr>
          <w:p>
            <w:pPr>
              <w:spacing w:after="0"/>
              <w:rPr>
                <w:sz w:val="5"/>
                <w:szCs w:val="5"/>
                <w:color w:val="auto"/>
              </w:rPr>
            </w:pPr>
          </w:p>
        </w:tc>
        <w:tc>
          <w:tcPr>
            <w:tcW w:w="1100" w:type="dxa"/>
            <w:vAlign w:val="bottom"/>
            <w:tcBorders>
              <w:bottom w:val="single" w:sz="8" w:color="009BDE"/>
            </w:tcBorders>
          </w:tcPr>
          <w:p>
            <w:pPr>
              <w:spacing w:after="0"/>
              <w:rPr>
                <w:sz w:val="5"/>
                <w:szCs w:val="5"/>
                <w:color w:val="auto"/>
              </w:rPr>
            </w:pPr>
          </w:p>
        </w:tc>
        <w:tc>
          <w:tcPr>
            <w:tcW w:w="1340" w:type="dxa"/>
            <w:vAlign w:val="bottom"/>
            <w:tcBorders>
              <w:bottom w:val="single" w:sz="8" w:color="009BDE"/>
            </w:tcBorders>
          </w:tcPr>
          <w:p>
            <w:pPr>
              <w:spacing w:after="0"/>
              <w:rPr>
                <w:sz w:val="5"/>
                <w:szCs w:val="5"/>
                <w:color w:val="auto"/>
              </w:rPr>
            </w:pPr>
          </w:p>
        </w:tc>
        <w:tc>
          <w:tcPr>
            <w:tcW w:w="1100" w:type="dxa"/>
            <w:vAlign w:val="bottom"/>
            <w:tcBorders>
              <w:bottom w:val="single" w:sz="8" w:color="009BDE"/>
            </w:tcBorders>
          </w:tcPr>
          <w:p>
            <w:pPr>
              <w:spacing w:after="0"/>
              <w:rPr>
                <w:sz w:val="5"/>
                <w:szCs w:val="5"/>
                <w:color w:val="auto"/>
              </w:rPr>
            </w:pPr>
          </w:p>
        </w:tc>
      </w:tr>
      <w:tr>
        <w:trPr>
          <w:trHeight w:val="183"/>
        </w:trPr>
        <w:tc>
          <w:tcPr>
            <w:tcW w:w="2580" w:type="dxa"/>
            <w:vAlign w:val="bottom"/>
          </w:tcPr>
          <w:p>
            <w:pPr>
              <w:ind w:left="40"/>
              <w:spacing w:after="0"/>
              <w:rPr>
                <w:sz w:val="20"/>
                <w:szCs w:val="20"/>
                <w:color w:val="auto"/>
              </w:rPr>
            </w:pPr>
            <w:r>
              <w:rPr>
                <w:rFonts w:ascii="Arial" w:cs="Arial" w:eastAsia="Arial" w:hAnsi="Arial"/>
                <w:sz w:val="11"/>
                <w:szCs w:val="11"/>
                <w:color w:val="auto"/>
              </w:rPr>
              <w:t>Chris Cocks(b)</w:t>
            </w:r>
          </w:p>
        </w:tc>
        <w:tc>
          <w:tcPr>
            <w:tcW w:w="1220" w:type="dxa"/>
            <w:vAlign w:val="bottom"/>
          </w:tcPr>
          <w:p>
            <w:pPr>
              <w:jc w:val="center"/>
              <w:ind w:left="66"/>
              <w:spacing w:after="0"/>
              <w:rPr>
                <w:sz w:val="20"/>
                <w:szCs w:val="20"/>
                <w:color w:val="auto"/>
              </w:rPr>
            </w:pPr>
            <w:r>
              <w:rPr>
                <w:rFonts w:ascii="Arial" w:cs="Arial" w:eastAsia="Arial" w:hAnsi="Arial"/>
                <w:sz w:val="11"/>
                <w:szCs w:val="11"/>
                <w:color w:val="auto"/>
                <w:w w:val="91"/>
              </w:rPr>
              <w:t>n/a</w:t>
            </w:r>
          </w:p>
        </w:tc>
        <w:tc>
          <w:tcPr>
            <w:tcW w:w="1100" w:type="dxa"/>
            <w:vAlign w:val="bottom"/>
          </w:tcPr>
          <w:p>
            <w:pPr>
              <w:jc w:val="right"/>
              <w:ind w:right="326"/>
              <w:spacing w:after="0"/>
              <w:rPr>
                <w:sz w:val="20"/>
                <w:szCs w:val="20"/>
                <w:color w:val="auto"/>
              </w:rPr>
            </w:pPr>
            <w:r>
              <w:rPr>
                <w:rFonts w:ascii="Arial" w:cs="Arial" w:eastAsia="Arial" w:hAnsi="Arial"/>
                <w:sz w:val="11"/>
                <w:szCs w:val="11"/>
                <w:color w:val="auto"/>
              </w:rPr>
              <w:t>n/a</w:t>
            </w:r>
          </w:p>
        </w:tc>
        <w:tc>
          <w:tcPr>
            <w:tcW w:w="1340" w:type="dxa"/>
            <w:vAlign w:val="bottom"/>
          </w:tcPr>
          <w:p>
            <w:pPr>
              <w:jc w:val="right"/>
              <w:ind w:right="346"/>
              <w:spacing w:after="0"/>
              <w:rPr>
                <w:sz w:val="20"/>
                <w:szCs w:val="20"/>
                <w:color w:val="auto"/>
              </w:rPr>
            </w:pPr>
            <w:r>
              <w:rPr>
                <w:rFonts w:ascii="Arial" w:cs="Arial" w:eastAsia="Arial" w:hAnsi="Arial"/>
                <w:sz w:val="11"/>
                <w:szCs w:val="11"/>
                <w:color w:val="auto"/>
              </w:rPr>
              <w:t>n/a</w:t>
            </w:r>
          </w:p>
        </w:tc>
        <w:tc>
          <w:tcPr>
            <w:tcW w:w="1100" w:type="dxa"/>
            <w:vAlign w:val="bottom"/>
          </w:tcPr>
          <w:p>
            <w:pPr>
              <w:jc w:val="right"/>
              <w:ind w:right="366"/>
              <w:spacing w:after="0"/>
              <w:rPr>
                <w:sz w:val="20"/>
                <w:szCs w:val="20"/>
                <w:color w:val="auto"/>
              </w:rPr>
            </w:pPr>
            <w:r>
              <w:rPr>
                <w:rFonts w:ascii="Arial" w:cs="Arial" w:eastAsia="Arial" w:hAnsi="Arial"/>
                <w:sz w:val="11"/>
                <w:szCs w:val="11"/>
                <w:color w:val="auto"/>
              </w:rPr>
              <w:t>n/a</w:t>
            </w:r>
          </w:p>
        </w:tc>
      </w:tr>
      <w:tr>
        <w:trPr>
          <w:trHeight w:val="67"/>
        </w:trPr>
        <w:tc>
          <w:tcPr>
            <w:tcW w:w="2580" w:type="dxa"/>
            <w:vAlign w:val="bottom"/>
            <w:tcBorders>
              <w:bottom w:val="single" w:sz="8" w:color="009BDE"/>
            </w:tcBorders>
          </w:tcPr>
          <w:p>
            <w:pPr>
              <w:spacing w:after="0"/>
              <w:rPr>
                <w:sz w:val="5"/>
                <w:szCs w:val="5"/>
                <w:color w:val="auto"/>
              </w:rPr>
            </w:pPr>
          </w:p>
        </w:tc>
        <w:tc>
          <w:tcPr>
            <w:tcW w:w="1220" w:type="dxa"/>
            <w:vAlign w:val="bottom"/>
            <w:tcBorders>
              <w:bottom w:val="single" w:sz="8" w:color="009BDE"/>
            </w:tcBorders>
          </w:tcPr>
          <w:p>
            <w:pPr>
              <w:spacing w:after="0"/>
              <w:rPr>
                <w:sz w:val="5"/>
                <w:szCs w:val="5"/>
                <w:color w:val="auto"/>
              </w:rPr>
            </w:pPr>
          </w:p>
        </w:tc>
        <w:tc>
          <w:tcPr>
            <w:tcW w:w="1100" w:type="dxa"/>
            <w:vAlign w:val="bottom"/>
            <w:tcBorders>
              <w:bottom w:val="single" w:sz="8" w:color="009BDE"/>
            </w:tcBorders>
          </w:tcPr>
          <w:p>
            <w:pPr>
              <w:spacing w:after="0"/>
              <w:rPr>
                <w:sz w:val="5"/>
                <w:szCs w:val="5"/>
                <w:color w:val="auto"/>
              </w:rPr>
            </w:pPr>
          </w:p>
        </w:tc>
        <w:tc>
          <w:tcPr>
            <w:tcW w:w="1340" w:type="dxa"/>
            <w:vAlign w:val="bottom"/>
            <w:tcBorders>
              <w:bottom w:val="single" w:sz="8" w:color="009BDE"/>
            </w:tcBorders>
          </w:tcPr>
          <w:p>
            <w:pPr>
              <w:spacing w:after="0"/>
              <w:rPr>
                <w:sz w:val="5"/>
                <w:szCs w:val="5"/>
                <w:color w:val="auto"/>
              </w:rPr>
            </w:pPr>
          </w:p>
        </w:tc>
        <w:tc>
          <w:tcPr>
            <w:tcW w:w="1100" w:type="dxa"/>
            <w:vAlign w:val="bottom"/>
            <w:tcBorders>
              <w:bottom w:val="single" w:sz="8" w:color="009BDE"/>
            </w:tcBorders>
          </w:tcPr>
          <w:p>
            <w:pPr>
              <w:spacing w:after="0"/>
              <w:rPr>
                <w:sz w:val="5"/>
                <w:szCs w:val="5"/>
                <w:color w:val="auto"/>
              </w:rPr>
            </w:pPr>
          </w:p>
        </w:tc>
      </w:tr>
      <w:tr>
        <w:trPr>
          <w:trHeight w:val="183"/>
        </w:trPr>
        <w:tc>
          <w:tcPr>
            <w:tcW w:w="2580" w:type="dxa"/>
            <w:vAlign w:val="bottom"/>
          </w:tcPr>
          <w:p>
            <w:pPr>
              <w:ind w:left="40"/>
              <w:spacing w:after="0"/>
              <w:rPr>
                <w:sz w:val="20"/>
                <w:szCs w:val="20"/>
                <w:color w:val="auto"/>
              </w:rPr>
            </w:pPr>
            <w:r>
              <w:rPr>
                <w:rFonts w:ascii="Arial" w:cs="Arial" w:eastAsia="Arial" w:hAnsi="Arial"/>
                <w:sz w:val="11"/>
                <w:szCs w:val="11"/>
                <w:color w:val="auto"/>
              </w:rPr>
              <w:t>Deborah Thomas</w:t>
            </w:r>
          </w:p>
        </w:tc>
        <w:tc>
          <w:tcPr>
            <w:tcW w:w="1220" w:type="dxa"/>
            <w:vAlign w:val="bottom"/>
          </w:tcPr>
          <w:p>
            <w:pPr>
              <w:jc w:val="center"/>
              <w:ind w:left="66"/>
              <w:spacing w:after="0"/>
              <w:rPr>
                <w:sz w:val="20"/>
                <w:szCs w:val="20"/>
                <w:color w:val="auto"/>
              </w:rPr>
            </w:pPr>
            <w:r>
              <w:rPr>
                <w:rFonts w:ascii="Arial" w:cs="Arial" w:eastAsia="Arial" w:hAnsi="Arial"/>
                <w:sz w:val="11"/>
                <w:szCs w:val="11"/>
                <w:color w:val="auto"/>
                <w:w w:val="97"/>
              </w:rPr>
              <w:t>Supplemental Plan</w:t>
            </w:r>
          </w:p>
        </w:tc>
        <w:tc>
          <w:tcPr>
            <w:tcW w:w="1100" w:type="dxa"/>
            <w:vAlign w:val="bottom"/>
          </w:tcPr>
          <w:p>
            <w:pPr>
              <w:jc w:val="right"/>
              <w:ind w:right="326"/>
              <w:spacing w:after="0"/>
              <w:rPr>
                <w:sz w:val="20"/>
                <w:szCs w:val="20"/>
                <w:color w:val="auto"/>
              </w:rPr>
            </w:pPr>
            <w:r>
              <w:rPr>
                <w:rFonts w:ascii="Arial" w:cs="Arial" w:eastAsia="Arial" w:hAnsi="Arial"/>
                <w:sz w:val="11"/>
                <w:szCs w:val="11"/>
                <w:color w:val="auto"/>
              </w:rPr>
              <w:t>9.00</w:t>
            </w:r>
          </w:p>
        </w:tc>
        <w:tc>
          <w:tcPr>
            <w:tcW w:w="1340" w:type="dxa"/>
            <w:vAlign w:val="bottom"/>
          </w:tcPr>
          <w:p>
            <w:pPr>
              <w:jc w:val="right"/>
              <w:ind w:right="346"/>
              <w:spacing w:after="0"/>
              <w:rPr>
                <w:sz w:val="20"/>
                <w:szCs w:val="20"/>
                <w:color w:val="auto"/>
              </w:rPr>
            </w:pPr>
            <w:r>
              <w:rPr>
                <w:rFonts w:ascii="Arial" w:cs="Arial" w:eastAsia="Arial" w:hAnsi="Arial"/>
                <w:sz w:val="11"/>
                <w:szCs w:val="11"/>
                <w:color w:val="auto"/>
              </w:rPr>
              <w:t>$133,754</w:t>
            </w:r>
          </w:p>
        </w:tc>
        <w:tc>
          <w:tcPr>
            <w:tcW w:w="1100" w:type="dxa"/>
            <w:vAlign w:val="bottom"/>
          </w:tcPr>
          <w:p>
            <w:pPr>
              <w:jc w:val="right"/>
              <w:ind w:right="366"/>
              <w:spacing w:after="0"/>
              <w:rPr>
                <w:sz w:val="20"/>
                <w:szCs w:val="20"/>
                <w:color w:val="auto"/>
              </w:rPr>
            </w:pPr>
            <w:r>
              <w:rPr>
                <w:rFonts w:ascii="Arial" w:cs="Arial" w:eastAsia="Arial" w:hAnsi="Arial"/>
                <w:sz w:val="11"/>
                <w:szCs w:val="11"/>
                <w:color w:val="auto"/>
              </w:rPr>
              <w:t>$  0</w:t>
            </w:r>
          </w:p>
        </w:tc>
      </w:tr>
      <w:tr>
        <w:trPr>
          <w:trHeight w:val="67"/>
        </w:trPr>
        <w:tc>
          <w:tcPr>
            <w:tcW w:w="2580" w:type="dxa"/>
            <w:vAlign w:val="bottom"/>
            <w:tcBorders>
              <w:bottom w:val="single" w:sz="8" w:color="009BDE"/>
            </w:tcBorders>
          </w:tcPr>
          <w:p>
            <w:pPr>
              <w:spacing w:after="0"/>
              <w:rPr>
                <w:sz w:val="5"/>
                <w:szCs w:val="5"/>
                <w:color w:val="auto"/>
              </w:rPr>
            </w:pPr>
          </w:p>
        </w:tc>
        <w:tc>
          <w:tcPr>
            <w:tcW w:w="1220" w:type="dxa"/>
            <w:vAlign w:val="bottom"/>
            <w:tcBorders>
              <w:bottom w:val="single" w:sz="8" w:color="009BDE"/>
            </w:tcBorders>
          </w:tcPr>
          <w:p>
            <w:pPr>
              <w:spacing w:after="0"/>
              <w:rPr>
                <w:sz w:val="5"/>
                <w:szCs w:val="5"/>
                <w:color w:val="auto"/>
              </w:rPr>
            </w:pPr>
          </w:p>
        </w:tc>
        <w:tc>
          <w:tcPr>
            <w:tcW w:w="1100" w:type="dxa"/>
            <w:vAlign w:val="bottom"/>
            <w:tcBorders>
              <w:bottom w:val="single" w:sz="8" w:color="009BDE"/>
            </w:tcBorders>
          </w:tcPr>
          <w:p>
            <w:pPr>
              <w:spacing w:after="0"/>
              <w:rPr>
                <w:sz w:val="5"/>
                <w:szCs w:val="5"/>
                <w:color w:val="auto"/>
              </w:rPr>
            </w:pPr>
          </w:p>
        </w:tc>
        <w:tc>
          <w:tcPr>
            <w:tcW w:w="1340" w:type="dxa"/>
            <w:vAlign w:val="bottom"/>
            <w:tcBorders>
              <w:bottom w:val="single" w:sz="8" w:color="009BDE"/>
            </w:tcBorders>
          </w:tcPr>
          <w:p>
            <w:pPr>
              <w:spacing w:after="0"/>
              <w:rPr>
                <w:sz w:val="5"/>
                <w:szCs w:val="5"/>
                <w:color w:val="auto"/>
              </w:rPr>
            </w:pPr>
          </w:p>
        </w:tc>
        <w:tc>
          <w:tcPr>
            <w:tcW w:w="1100" w:type="dxa"/>
            <w:vAlign w:val="bottom"/>
            <w:tcBorders>
              <w:bottom w:val="single" w:sz="8" w:color="009BDE"/>
            </w:tcBorders>
          </w:tcPr>
          <w:p>
            <w:pPr>
              <w:spacing w:after="0"/>
              <w:rPr>
                <w:sz w:val="5"/>
                <w:szCs w:val="5"/>
                <w:color w:val="auto"/>
              </w:rPr>
            </w:pPr>
          </w:p>
        </w:tc>
      </w:tr>
      <w:tr>
        <w:trPr>
          <w:trHeight w:val="183"/>
        </w:trPr>
        <w:tc>
          <w:tcPr>
            <w:tcW w:w="2580" w:type="dxa"/>
            <w:vAlign w:val="bottom"/>
          </w:tcPr>
          <w:p>
            <w:pPr>
              <w:ind w:left="40"/>
              <w:spacing w:after="0"/>
              <w:rPr>
                <w:sz w:val="20"/>
                <w:szCs w:val="20"/>
                <w:color w:val="auto"/>
              </w:rPr>
            </w:pPr>
            <w:r>
              <w:rPr>
                <w:rFonts w:ascii="Arial" w:cs="Arial" w:eastAsia="Arial" w:hAnsi="Arial"/>
                <w:sz w:val="11"/>
                <w:szCs w:val="11"/>
                <w:color w:val="auto"/>
              </w:rPr>
              <w:t>Cynthia Williams(b)</w:t>
            </w:r>
          </w:p>
        </w:tc>
        <w:tc>
          <w:tcPr>
            <w:tcW w:w="1220" w:type="dxa"/>
            <w:vAlign w:val="bottom"/>
          </w:tcPr>
          <w:p>
            <w:pPr>
              <w:jc w:val="center"/>
              <w:ind w:left="66"/>
              <w:spacing w:after="0"/>
              <w:rPr>
                <w:sz w:val="20"/>
                <w:szCs w:val="20"/>
                <w:color w:val="auto"/>
              </w:rPr>
            </w:pPr>
            <w:r>
              <w:rPr>
                <w:rFonts w:ascii="Arial" w:cs="Arial" w:eastAsia="Arial" w:hAnsi="Arial"/>
                <w:sz w:val="11"/>
                <w:szCs w:val="11"/>
                <w:color w:val="auto"/>
                <w:w w:val="91"/>
              </w:rPr>
              <w:t>n/a</w:t>
            </w:r>
          </w:p>
        </w:tc>
        <w:tc>
          <w:tcPr>
            <w:tcW w:w="1100" w:type="dxa"/>
            <w:vAlign w:val="bottom"/>
          </w:tcPr>
          <w:p>
            <w:pPr>
              <w:jc w:val="right"/>
              <w:ind w:right="326"/>
              <w:spacing w:after="0"/>
              <w:rPr>
                <w:sz w:val="20"/>
                <w:szCs w:val="20"/>
                <w:color w:val="auto"/>
              </w:rPr>
            </w:pPr>
            <w:r>
              <w:rPr>
                <w:rFonts w:ascii="Arial" w:cs="Arial" w:eastAsia="Arial" w:hAnsi="Arial"/>
                <w:sz w:val="11"/>
                <w:szCs w:val="11"/>
                <w:color w:val="auto"/>
              </w:rPr>
              <w:t>n/a</w:t>
            </w:r>
          </w:p>
        </w:tc>
        <w:tc>
          <w:tcPr>
            <w:tcW w:w="1340" w:type="dxa"/>
            <w:vAlign w:val="bottom"/>
          </w:tcPr>
          <w:p>
            <w:pPr>
              <w:jc w:val="right"/>
              <w:ind w:right="346"/>
              <w:spacing w:after="0"/>
              <w:rPr>
                <w:sz w:val="20"/>
                <w:szCs w:val="20"/>
                <w:color w:val="auto"/>
              </w:rPr>
            </w:pPr>
            <w:r>
              <w:rPr>
                <w:rFonts w:ascii="Arial" w:cs="Arial" w:eastAsia="Arial" w:hAnsi="Arial"/>
                <w:sz w:val="11"/>
                <w:szCs w:val="11"/>
                <w:color w:val="auto"/>
              </w:rPr>
              <w:t>n/a</w:t>
            </w:r>
          </w:p>
        </w:tc>
        <w:tc>
          <w:tcPr>
            <w:tcW w:w="1100" w:type="dxa"/>
            <w:vAlign w:val="bottom"/>
          </w:tcPr>
          <w:p>
            <w:pPr>
              <w:jc w:val="right"/>
              <w:ind w:right="366"/>
              <w:spacing w:after="0"/>
              <w:rPr>
                <w:sz w:val="20"/>
                <w:szCs w:val="20"/>
                <w:color w:val="auto"/>
              </w:rPr>
            </w:pPr>
            <w:r>
              <w:rPr>
                <w:rFonts w:ascii="Arial" w:cs="Arial" w:eastAsia="Arial" w:hAnsi="Arial"/>
                <w:sz w:val="11"/>
                <w:szCs w:val="11"/>
                <w:color w:val="auto"/>
              </w:rPr>
              <w:t>n/a</w:t>
            </w:r>
          </w:p>
        </w:tc>
      </w:tr>
      <w:tr>
        <w:trPr>
          <w:trHeight w:val="67"/>
        </w:trPr>
        <w:tc>
          <w:tcPr>
            <w:tcW w:w="2580" w:type="dxa"/>
            <w:vAlign w:val="bottom"/>
            <w:tcBorders>
              <w:bottom w:val="single" w:sz="8" w:color="009BDE"/>
            </w:tcBorders>
          </w:tcPr>
          <w:p>
            <w:pPr>
              <w:spacing w:after="0"/>
              <w:rPr>
                <w:sz w:val="5"/>
                <w:szCs w:val="5"/>
                <w:color w:val="auto"/>
              </w:rPr>
            </w:pPr>
          </w:p>
        </w:tc>
        <w:tc>
          <w:tcPr>
            <w:tcW w:w="1220" w:type="dxa"/>
            <w:vAlign w:val="bottom"/>
            <w:tcBorders>
              <w:bottom w:val="single" w:sz="8" w:color="009BDE"/>
            </w:tcBorders>
          </w:tcPr>
          <w:p>
            <w:pPr>
              <w:spacing w:after="0"/>
              <w:rPr>
                <w:sz w:val="5"/>
                <w:szCs w:val="5"/>
                <w:color w:val="auto"/>
              </w:rPr>
            </w:pPr>
          </w:p>
        </w:tc>
        <w:tc>
          <w:tcPr>
            <w:tcW w:w="1100" w:type="dxa"/>
            <w:vAlign w:val="bottom"/>
            <w:tcBorders>
              <w:bottom w:val="single" w:sz="8" w:color="009BDE"/>
            </w:tcBorders>
          </w:tcPr>
          <w:p>
            <w:pPr>
              <w:spacing w:after="0"/>
              <w:rPr>
                <w:sz w:val="5"/>
                <w:szCs w:val="5"/>
                <w:color w:val="auto"/>
              </w:rPr>
            </w:pPr>
          </w:p>
        </w:tc>
        <w:tc>
          <w:tcPr>
            <w:tcW w:w="1340" w:type="dxa"/>
            <w:vAlign w:val="bottom"/>
            <w:tcBorders>
              <w:bottom w:val="single" w:sz="8" w:color="009BDE"/>
            </w:tcBorders>
          </w:tcPr>
          <w:p>
            <w:pPr>
              <w:spacing w:after="0"/>
              <w:rPr>
                <w:sz w:val="5"/>
                <w:szCs w:val="5"/>
                <w:color w:val="auto"/>
              </w:rPr>
            </w:pPr>
          </w:p>
        </w:tc>
        <w:tc>
          <w:tcPr>
            <w:tcW w:w="1100" w:type="dxa"/>
            <w:vAlign w:val="bottom"/>
            <w:tcBorders>
              <w:bottom w:val="single" w:sz="8" w:color="009BDE"/>
            </w:tcBorders>
          </w:tcPr>
          <w:p>
            <w:pPr>
              <w:spacing w:after="0"/>
              <w:rPr>
                <w:sz w:val="5"/>
                <w:szCs w:val="5"/>
                <w:color w:val="auto"/>
              </w:rPr>
            </w:pPr>
          </w:p>
        </w:tc>
      </w:tr>
      <w:tr>
        <w:trPr>
          <w:trHeight w:val="183"/>
        </w:trPr>
        <w:tc>
          <w:tcPr>
            <w:tcW w:w="2580" w:type="dxa"/>
            <w:vAlign w:val="bottom"/>
          </w:tcPr>
          <w:p>
            <w:pPr>
              <w:ind w:left="40"/>
              <w:spacing w:after="0"/>
              <w:rPr>
                <w:sz w:val="20"/>
                <w:szCs w:val="20"/>
                <w:color w:val="auto"/>
              </w:rPr>
            </w:pPr>
            <w:r>
              <w:rPr>
                <w:rFonts w:ascii="Arial" w:cs="Arial" w:eastAsia="Arial" w:hAnsi="Arial"/>
                <w:sz w:val="11"/>
                <w:szCs w:val="11"/>
                <w:color w:val="auto"/>
              </w:rPr>
              <w:t>Eric Nyman</w:t>
            </w:r>
          </w:p>
        </w:tc>
        <w:tc>
          <w:tcPr>
            <w:tcW w:w="1220" w:type="dxa"/>
            <w:vAlign w:val="bottom"/>
          </w:tcPr>
          <w:p>
            <w:pPr>
              <w:jc w:val="center"/>
              <w:ind w:left="66"/>
              <w:spacing w:after="0"/>
              <w:rPr>
                <w:sz w:val="20"/>
                <w:szCs w:val="20"/>
                <w:color w:val="auto"/>
              </w:rPr>
            </w:pPr>
            <w:r>
              <w:rPr>
                <w:rFonts w:ascii="Arial" w:cs="Arial" w:eastAsia="Arial" w:hAnsi="Arial"/>
                <w:sz w:val="11"/>
                <w:szCs w:val="11"/>
                <w:color w:val="auto"/>
                <w:w w:val="97"/>
              </w:rPr>
              <w:t>Supplemental Plan</w:t>
            </w:r>
          </w:p>
        </w:tc>
        <w:tc>
          <w:tcPr>
            <w:tcW w:w="1100" w:type="dxa"/>
            <w:vAlign w:val="bottom"/>
          </w:tcPr>
          <w:p>
            <w:pPr>
              <w:jc w:val="right"/>
              <w:ind w:right="326"/>
              <w:spacing w:after="0"/>
              <w:rPr>
                <w:sz w:val="20"/>
                <w:szCs w:val="20"/>
                <w:color w:val="auto"/>
              </w:rPr>
            </w:pPr>
            <w:r>
              <w:rPr>
                <w:rFonts w:ascii="Arial" w:cs="Arial" w:eastAsia="Arial" w:hAnsi="Arial"/>
                <w:sz w:val="11"/>
                <w:szCs w:val="11"/>
                <w:color w:val="auto"/>
              </w:rPr>
              <w:t>4.00</w:t>
            </w:r>
          </w:p>
        </w:tc>
        <w:tc>
          <w:tcPr>
            <w:tcW w:w="1340" w:type="dxa"/>
            <w:vAlign w:val="bottom"/>
          </w:tcPr>
          <w:p>
            <w:pPr>
              <w:jc w:val="right"/>
              <w:ind w:right="346"/>
              <w:spacing w:after="0"/>
              <w:rPr>
                <w:sz w:val="20"/>
                <w:szCs w:val="20"/>
                <w:color w:val="auto"/>
              </w:rPr>
            </w:pPr>
            <w:r>
              <w:rPr>
                <w:rFonts w:ascii="Arial" w:cs="Arial" w:eastAsia="Arial" w:hAnsi="Arial"/>
                <w:sz w:val="11"/>
                <w:szCs w:val="11"/>
                <w:color w:val="auto"/>
              </w:rPr>
              <w:t>$  2,104</w:t>
            </w:r>
          </w:p>
        </w:tc>
        <w:tc>
          <w:tcPr>
            <w:tcW w:w="1100" w:type="dxa"/>
            <w:vAlign w:val="bottom"/>
          </w:tcPr>
          <w:p>
            <w:pPr>
              <w:jc w:val="right"/>
              <w:ind w:right="366"/>
              <w:spacing w:after="0"/>
              <w:rPr>
                <w:sz w:val="20"/>
                <w:szCs w:val="20"/>
                <w:color w:val="auto"/>
              </w:rPr>
            </w:pPr>
            <w:r>
              <w:rPr>
                <w:rFonts w:ascii="Arial" w:cs="Arial" w:eastAsia="Arial" w:hAnsi="Arial"/>
                <w:sz w:val="11"/>
                <w:szCs w:val="11"/>
                <w:color w:val="auto"/>
              </w:rPr>
              <w:t>n/a</w:t>
            </w:r>
          </w:p>
        </w:tc>
      </w:tr>
      <w:tr>
        <w:trPr>
          <w:trHeight w:val="67"/>
        </w:trPr>
        <w:tc>
          <w:tcPr>
            <w:tcW w:w="2580" w:type="dxa"/>
            <w:vAlign w:val="bottom"/>
            <w:tcBorders>
              <w:bottom w:val="single" w:sz="8" w:color="009BDE"/>
            </w:tcBorders>
          </w:tcPr>
          <w:p>
            <w:pPr>
              <w:spacing w:after="0"/>
              <w:rPr>
                <w:sz w:val="5"/>
                <w:szCs w:val="5"/>
                <w:color w:val="auto"/>
              </w:rPr>
            </w:pPr>
          </w:p>
        </w:tc>
        <w:tc>
          <w:tcPr>
            <w:tcW w:w="1220" w:type="dxa"/>
            <w:vAlign w:val="bottom"/>
            <w:tcBorders>
              <w:bottom w:val="single" w:sz="8" w:color="009BDE"/>
            </w:tcBorders>
          </w:tcPr>
          <w:p>
            <w:pPr>
              <w:spacing w:after="0"/>
              <w:rPr>
                <w:sz w:val="5"/>
                <w:szCs w:val="5"/>
                <w:color w:val="auto"/>
              </w:rPr>
            </w:pPr>
          </w:p>
        </w:tc>
        <w:tc>
          <w:tcPr>
            <w:tcW w:w="1100" w:type="dxa"/>
            <w:vAlign w:val="bottom"/>
            <w:tcBorders>
              <w:bottom w:val="single" w:sz="8" w:color="009BDE"/>
            </w:tcBorders>
          </w:tcPr>
          <w:p>
            <w:pPr>
              <w:spacing w:after="0"/>
              <w:rPr>
                <w:sz w:val="5"/>
                <w:szCs w:val="5"/>
                <w:color w:val="auto"/>
              </w:rPr>
            </w:pPr>
          </w:p>
        </w:tc>
        <w:tc>
          <w:tcPr>
            <w:tcW w:w="1340" w:type="dxa"/>
            <w:vAlign w:val="bottom"/>
            <w:tcBorders>
              <w:bottom w:val="single" w:sz="8" w:color="009BDE"/>
            </w:tcBorders>
          </w:tcPr>
          <w:p>
            <w:pPr>
              <w:spacing w:after="0"/>
              <w:rPr>
                <w:sz w:val="5"/>
                <w:szCs w:val="5"/>
                <w:color w:val="auto"/>
              </w:rPr>
            </w:pPr>
          </w:p>
        </w:tc>
        <w:tc>
          <w:tcPr>
            <w:tcW w:w="1100" w:type="dxa"/>
            <w:vAlign w:val="bottom"/>
            <w:tcBorders>
              <w:bottom w:val="single" w:sz="8" w:color="009BDE"/>
            </w:tcBorders>
          </w:tcPr>
          <w:p>
            <w:pPr>
              <w:spacing w:after="0"/>
              <w:rPr>
                <w:sz w:val="5"/>
                <w:szCs w:val="5"/>
                <w:color w:val="auto"/>
              </w:rPr>
            </w:pPr>
          </w:p>
        </w:tc>
      </w:tr>
      <w:tr>
        <w:trPr>
          <w:trHeight w:val="183"/>
        </w:trPr>
        <w:tc>
          <w:tcPr>
            <w:tcW w:w="2580" w:type="dxa"/>
            <w:vAlign w:val="bottom"/>
          </w:tcPr>
          <w:p>
            <w:pPr>
              <w:ind w:left="40"/>
              <w:spacing w:after="0"/>
              <w:rPr>
                <w:sz w:val="20"/>
                <w:szCs w:val="20"/>
                <w:color w:val="auto"/>
              </w:rPr>
            </w:pPr>
            <w:r>
              <w:rPr>
                <w:rFonts w:ascii="Arial" w:cs="Arial" w:eastAsia="Arial" w:hAnsi="Arial"/>
                <w:sz w:val="11"/>
                <w:szCs w:val="11"/>
                <w:color w:val="auto"/>
              </w:rPr>
              <w:t>Darren Throop(c)</w:t>
            </w:r>
          </w:p>
        </w:tc>
        <w:tc>
          <w:tcPr>
            <w:tcW w:w="1220" w:type="dxa"/>
            <w:vAlign w:val="bottom"/>
          </w:tcPr>
          <w:p>
            <w:pPr>
              <w:jc w:val="center"/>
              <w:ind w:left="66"/>
              <w:spacing w:after="0"/>
              <w:rPr>
                <w:sz w:val="20"/>
                <w:szCs w:val="20"/>
                <w:color w:val="auto"/>
              </w:rPr>
            </w:pPr>
            <w:r>
              <w:rPr>
                <w:rFonts w:ascii="Arial" w:cs="Arial" w:eastAsia="Arial" w:hAnsi="Arial"/>
                <w:sz w:val="11"/>
                <w:szCs w:val="11"/>
                <w:color w:val="auto"/>
                <w:w w:val="91"/>
              </w:rPr>
              <w:t>n/a</w:t>
            </w:r>
          </w:p>
        </w:tc>
        <w:tc>
          <w:tcPr>
            <w:tcW w:w="1100" w:type="dxa"/>
            <w:vAlign w:val="bottom"/>
          </w:tcPr>
          <w:p>
            <w:pPr>
              <w:jc w:val="right"/>
              <w:ind w:right="326"/>
              <w:spacing w:after="0"/>
              <w:rPr>
                <w:sz w:val="20"/>
                <w:szCs w:val="20"/>
                <w:color w:val="auto"/>
              </w:rPr>
            </w:pPr>
            <w:r>
              <w:rPr>
                <w:rFonts w:ascii="Arial" w:cs="Arial" w:eastAsia="Arial" w:hAnsi="Arial"/>
                <w:sz w:val="11"/>
                <w:szCs w:val="11"/>
                <w:color w:val="auto"/>
              </w:rPr>
              <w:t>n/a</w:t>
            </w:r>
          </w:p>
        </w:tc>
        <w:tc>
          <w:tcPr>
            <w:tcW w:w="1340" w:type="dxa"/>
            <w:vAlign w:val="bottom"/>
          </w:tcPr>
          <w:p>
            <w:pPr>
              <w:jc w:val="right"/>
              <w:ind w:right="346"/>
              <w:spacing w:after="0"/>
              <w:rPr>
                <w:sz w:val="20"/>
                <w:szCs w:val="20"/>
                <w:color w:val="auto"/>
              </w:rPr>
            </w:pPr>
            <w:r>
              <w:rPr>
                <w:rFonts w:ascii="Arial" w:cs="Arial" w:eastAsia="Arial" w:hAnsi="Arial"/>
                <w:sz w:val="11"/>
                <w:szCs w:val="11"/>
                <w:color w:val="auto"/>
              </w:rPr>
              <w:t>n/a</w:t>
            </w:r>
          </w:p>
        </w:tc>
        <w:tc>
          <w:tcPr>
            <w:tcW w:w="1100" w:type="dxa"/>
            <w:vAlign w:val="bottom"/>
          </w:tcPr>
          <w:p>
            <w:pPr>
              <w:jc w:val="right"/>
              <w:ind w:right="366"/>
              <w:spacing w:after="0"/>
              <w:rPr>
                <w:sz w:val="20"/>
                <w:szCs w:val="20"/>
                <w:color w:val="auto"/>
              </w:rPr>
            </w:pPr>
            <w:r>
              <w:rPr>
                <w:rFonts w:ascii="Arial" w:cs="Arial" w:eastAsia="Arial" w:hAnsi="Arial"/>
                <w:sz w:val="11"/>
                <w:szCs w:val="11"/>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42545</wp:posOffset>
            </wp:positionV>
            <wp:extent cx="4663440" cy="571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13" w:lineRule="exact"/>
        <w:rPr>
          <w:sz w:val="20"/>
          <w:szCs w:val="20"/>
          <w:color w:val="auto"/>
        </w:rPr>
      </w:pPr>
    </w:p>
    <w:p>
      <w:pPr>
        <w:ind w:left="2260" w:right="899" w:hanging="288"/>
        <w:spacing w:after="0" w:line="293" w:lineRule="auto"/>
        <w:tabs>
          <w:tab w:leader="none" w:pos="2260" w:val="left"/>
        </w:tabs>
        <w:numPr>
          <w:ilvl w:val="0"/>
          <w:numId w:val="55"/>
        </w:numPr>
        <w:rPr>
          <w:rFonts w:ascii="Arial" w:cs="Arial" w:eastAsia="Arial" w:hAnsi="Arial"/>
          <w:sz w:val="8"/>
          <w:szCs w:val="8"/>
          <w:color w:val="auto"/>
        </w:rPr>
      </w:pPr>
      <w:r>
        <w:rPr>
          <w:rFonts w:ascii="Arial" w:cs="Arial" w:eastAsia="Arial" w:hAnsi="Arial"/>
          <w:sz w:val="8"/>
          <w:szCs w:val="8"/>
          <w:color w:val="auto"/>
        </w:rPr>
        <w:t>The Supplemental Plan is the lump-sum value as of December 25, 2022 of the benefit earned as of December 25, 2022, reflecting credited service and five-year average compensation as of the plan freeze date of December 31, 2007, and current statutory benefit and pay limits as applicable. Certain assumptions were used to determine the lump-sum values and are outlined below. These assumptions are consistent with those used for financial statement purposes, except that the Named Executive Officer is assumed to continue to be employed until the assumed retirement age (i.e., there will be no assumed termination for any reason, including death or disability). The assumptions are as follows: (i) measurement date is December 25, 2022 (ii) the Supplemental Plan benefits lump sum amounts are based on interest rates as prescribed in Code Section 417(e)(3)(C) for August, 2022 and the mortality table as prescribed by Code Section 417(e)(3)(C) as prescribed by the Secretary of the Treasury for payments made in 2023, and (iii) all values are estimates only; actual benefits will be based on the selected retirement date.</w:t>
      </w:r>
    </w:p>
    <w:p>
      <w:pPr>
        <w:spacing w:after="0" w:line="135" w:lineRule="exact"/>
        <w:rPr>
          <w:rFonts w:ascii="Arial" w:cs="Arial" w:eastAsia="Arial" w:hAnsi="Arial"/>
          <w:sz w:val="8"/>
          <w:szCs w:val="8"/>
          <w:color w:val="auto"/>
        </w:rPr>
      </w:pPr>
    </w:p>
    <w:p>
      <w:pPr>
        <w:ind w:left="2260" w:hanging="288"/>
        <w:spacing w:after="0"/>
        <w:tabs>
          <w:tab w:leader="none" w:pos="226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 Pension Plan was frozen prior to Mr. Cocks, Mr. Stoddart, Mr. Throop, and Ms. Williams joining the Company.</w:t>
      </w:r>
    </w:p>
    <w:p>
      <w:pPr>
        <w:spacing w:after="0" w:line="47" w:lineRule="exact"/>
        <w:rPr>
          <w:rFonts w:ascii="Arial" w:cs="Arial" w:eastAsia="Arial" w:hAnsi="Arial"/>
          <w:sz w:val="10"/>
          <w:szCs w:val="10"/>
          <w:color w:val="auto"/>
        </w:rPr>
      </w:pPr>
    </w:p>
    <w:p>
      <w:pPr>
        <w:ind w:left="2260" w:right="939" w:hanging="288"/>
        <w:spacing w:after="0" w:line="230" w:lineRule="auto"/>
        <w:tabs>
          <w:tab w:leader="none" w:pos="2260" w:val="left"/>
        </w:tabs>
        <w:numPr>
          <w:ilvl w:val="0"/>
          <w:numId w:val="55"/>
        </w:numPr>
        <w:rPr>
          <w:rFonts w:ascii="Arial" w:cs="Arial" w:eastAsia="Arial" w:hAnsi="Arial"/>
          <w:sz w:val="10"/>
          <w:szCs w:val="10"/>
          <w:color w:val="auto"/>
        </w:rPr>
      </w:pPr>
      <w:r>
        <w:rPr>
          <w:rFonts w:ascii="Arial" w:cs="Arial" w:eastAsia="Arial" w:hAnsi="Arial"/>
          <w:sz w:val="10"/>
          <w:szCs w:val="10"/>
          <w:color w:val="auto"/>
        </w:rPr>
        <w:t>As an employee of a non-United States subsidiary of the Company, Mr. Throop is not eligible to participate in any of the Company’s United States benefit plans, including the Supplemental Plan. Mr. Throop participates in a Registered Retirement Savings Plan, which he has retained individually and not in connection with any company-sponsored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56515</wp:posOffset>
            </wp:positionV>
            <wp:extent cx="3971925" cy="21717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6"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59</w:t>
      </w:r>
    </w:p>
    <w:p>
      <w:pPr>
        <w:sectPr>
          <w:pgSz w:w="11900" w:h="16838" w:orient="portrait"/>
          <w:cols w:equalWidth="0" w:num="1">
            <w:col w:w="10159"/>
          </w:cols>
          <w:pgMar w:left="300" w:top="372" w:right="1440" w:bottom="1440" w:gutter="0" w:footer="0" w:header="0"/>
        </w:sectPr>
      </w:pPr>
    </w:p>
    <w:bookmarkStart w:id="81" w:name="page82"/>
    <w:bookmarkEnd w:id="8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839"/>
        <w:spacing w:after="0" w:line="241" w:lineRule="auto"/>
        <w:rPr>
          <w:sz w:val="20"/>
          <w:szCs w:val="20"/>
          <w:color w:val="auto"/>
        </w:rPr>
      </w:pPr>
      <w:r>
        <w:rPr>
          <w:rFonts w:ascii="Arial" w:cs="Arial" w:eastAsia="Arial" w:hAnsi="Arial"/>
          <w:sz w:val="11"/>
          <w:szCs w:val="11"/>
          <w:color w:val="auto"/>
        </w:rPr>
        <w:t>The following table provides information with respect to fiscal 2022 for each Named Executive Officer regarding defined contribution plans and other plans which provide for the deferral of compensation on a basis that is not tax-qualified. As an employee of a non-United States subsidiary of the Company, Mr. Throop is not eligible to participate in any of the Company’s United States benefits plans, including the Pension Plan and Supplemental Plan. Mr. Throop participates in the RRSP, which he has retained individually and not in connection with any company-sponsored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99695</wp:posOffset>
            </wp:positionV>
            <wp:extent cx="4663440" cy="22288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4663440" cy="222885"/>
                    </a:xfrm>
                    <a:prstGeom prst="rect">
                      <a:avLst/>
                    </a:prstGeom>
                    <a:noFill/>
                  </pic:spPr>
                </pic:pic>
              </a:graphicData>
            </a:graphic>
          </wp:anchor>
        </w:drawing>
      </w:r>
    </w:p>
    <w:p>
      <w:pPr>
        <w:spacing w:after="0" w:line="182" w:lineRule="exact"/>
        <w:rPr>
          <w:sz w:val="20"/>
          <w:szCs w:val="20"/>
          <w:color w:val="auto"/>
        </w:rPr>
      </w:pPr>
    </w:p>
    <w:p>
      <w:pPr>
        <w:jc w:val="center"/>
        <w:ind w:right="-1140"/>
        <w:spacing w:after="0"/>
        <w:rPr>
          <w:sz w:val="20"/>
          <w:szCs w:val="20"/>
          <w:color w:val="auto"/>
        </w:rPr>
      </w:pPr>
      <w:r>
        <w:rPr>
          <w:rFonts w:ascii="Arial" w:cs="Arial" w:eastAsia="Arial" w:hAnsi="Arial"/>
          <w:sz w:val="17"/>
          <w:szCs w:val="17"/>
          <w:b w:val="1"/>
          <w:bCs w:val="1"/>
          <w:color w:val="FFFFFF"/>
        </w:rPr>
        <w:t>Non-Qualified Deferred Compensation and Other Deferred Compensation</w:t>
      </w:r>
    </w:p>
    <w:p>
      <w:pPr>
        <w:spacing w:after="0" w:line="54" w:lineRule="exact"/>
        <w:rPr>
          <w:sz w:val="20"/>
          <w:szCs w:val="20"/>
          <w:color w:val="auto"/>
        </w:rPr>
      </w:pPr>
    </w:p>
    <w:tbl>
      <w:tblPr>
        <w:tblLayout w:type="fixed"/>
        <w:tblInd w:w="1980" w:type="dxa"/>
        <w:tblCellMar>
          <w:top w:w="0" w:type="dxa"/>
          <w:left w:w="0" w:type="dxa"/>
          <w:bottom w:w="0" w:type="dxa"/>
          <w:right w:w="0" w:type="dxa"/>
        </w:tblCellMar>
      </w:tblPr>
      <w:tr>
        <w:trPr>
          <w:trHeight w:val="180"/>
        </w:trPr>
        <w:tc>
          <w:tcPr>
            <w:tcW w:w="800" w:type="dxa"/>
            <w:vAlign w:val="bottom"/>
            <w:tcBorders>
              <w:top w:val="single" w:sz="8" w:color="0060ED"/>
            </w:tcBorders>
            <w:shd w:val="clear" w:color="auto" w:fill="CCEBF8"/>
          </w:tcPr>
          <w:p>
            <w:pPr>
              <w:spacing w:after="0"/>
              <w:rPr>
                <w:sz w:val="15"/>
                <w:szCs w:val="15"/>
                <w:color w:val="auto"/>
              </w:rPr>
            </w:pPr>
          </w:p>
        </w:tc>
        <w:tc>
          <w:tcPr>
            <w:tcW w:w="1620" w:type="dxa"/>
            <w:vAlign w:val="bottom"/>
            <w:tcBorders>
              <w:top w:val="single" w:sz="8" w:color="0060ED"/>
            </w:tcBorders>
            <w:shd w:val="clear" w:color="auto" w:fill="CCEBF8"/>
          </w:tcPr>
          <w:p>
            <w:pPr>
              <w:spacing w:after="0"/>
              <w:rPr>
                <w:sz w:val="15"/>
                <w:szCs w:val="15"/>
                <w:color w:val="auto"/>
              </w:rPr>
            </w:pPr>
          </w:p>
        </w:tc>
        <w:tc>
          <w:tcPr>
            <w:tcW w:w="500" w:type="dxa"/>
            <w:vAlign w:val="bottom"/>
            <w:tcBorders>
              <w:top w:val="single" w:sz="8" w:color="0060ED"/>
            </w:tcBorders>
            <w:shd w:val="clear" w:color="auto" w:fill="CCEBF8"/>
          </w:tcPr>
          <w:p>
            <w:pPr>
              <w:spacing w:after="0"/>
              <w:rPr>
                <w:sz w:val="15"/>
                <w:szCs w:val="15"/>
                <w:color w:val="auto"/>
              </w:rPr>
            </w:pPr>
          </w:p>
        </w:tc>
        <w:tc>
          <w:tcPr>
            <w:tcW w:w="860" w:type="dxa"/>
            <w:vAlign w:val="bottom"/>
            <w:tcBorders>
              <w:top w:val="single" w:sz="8" w:color="0060ED"/>
            </w:tcBorders>
            <w:shd w:val="clear" w:color="auto" w:fill="CCEBF8"/>
          </w:tcPr>
          <w:p>
            <w:pPr>
              <w:jc w:val="center"/>
              <w:ind w:right="117"/>
              <w:spacing w:after="0"/>
              <w:rPr>
                <w:sz w:val="20"/>
                <w:szCs w:val="20"/>
                <w:color w:val="auto"/>
              </w:rPr>
            </w:pPr>
            <w:r>
              <w:rPr>
                <w:rFonts w:ascii="Arial" w:cs="Arial" w:eastAsia="Arial" w:hAnsi="Arial"/>
                <w:sz w:val="10"/>
                <w:szCs w:val="10"/>
                <w:b w:val="1"/>
                <w:bCs w:val="1"/>
                <w:color w:val="009BDE"/>
                <w:w w:val="98"/>
              </w:rPr>
              <w:t>Executive</w:t>
            </w:r>
          </w:p>
        </w:tc>
        <w:tc>
          <w:tcPr>
            <w:tcW w:w="140" w:type="dxa"/>
            <w:vAlign w:val="bottom"/>
            <w:tcBorders>
              <w:top w:val="single" w:sz="8" w:color="0060ED"/>
            </w:tcBorders>
            <w:shd w:val="clear" w:color="auto" w:fill="CCEBF8"/>
          </w:tcPr>
          <w:p>
            <w:pPr>
              <w:spacing w:after="0"/>
              <w:rPr>
                <w:sz w:val="15"/>
                <w:szCs w:val="15"/>
                <w:color w:val="auto"/>
              </w:rPr>
            </w:pPr>
          </w:p>
        </w:tc>
        <w:tc>
          <w:tcPr>
            <w:tcW w:w="720" w:type="dxa"/>
            <w:vAlign w:val="bottom"/>
            <w:tcBorders>
              <w:top w:val="single" w:sz="8" w:color="0060ED"/>
            </w:tcBorders>
            <w:shd w:val="clear" w:color="auto" w:fill="CCEBF8"/>
          </w:tcPr>
          <w:p>
            <w:pPr>
              <w:jc w:val="right"/>
              <w:ind w:right="157"/>
              <w:spacing w:after="0"/>
              <w:rPr>
                <w:sz w:val="20"/>
                <w:szCs w:val="20"/>
                <w:color w:val="auto"/>
              </w:rPr>
            </w:pPr>
            <w:r>
              <w:rPr>
                <w:rFonts w:ascii="Arial" w:cs="Arial" w:eastAsia="Arial" w:hAnsi="Arial"/>
                <w:sz w:val="10"/>
                <w:szCs w:val="10"/>
                <w:b w:val="1"/>
                <w:bCs w:val="1"/>
                <w:color w:val="009BDE"/>
              </w:rPr>
              <w:t>Registrant</w:t>
            </w:r>
          </w:p>
        </w:tc>
        <w:tc>
          <w:tcPr>
            <w:tcW w:w="180" w:type="dxa"/>
            <w:vAlign w:val="bottom"/>
            <w:tcBorders>
              <w:top w:val="single" w:sz="8" w:color="0060ED"/>
            </w:tcBorders>
            <w:shd w:val="clear" w:color="auto" w:fill="CCEBF8"/>
          </w:tcPr>
          <w:p>
            <w:pPr>
              <w:spacing w:after="0"/>
              <w:rPr>
                <w:sz w:val="15"/>
                <w:szCs w:val="15"/>
                <w:color w:val="auto"/>
              </w:rPr>
            </w:pPr>
          </w:p>
        </w:tc>
        <w:tc>
          <w:tcPr>
            <w:tcW w:w="740" w:type="dxa"/>
            <w:vAlign w:val="bottom"/>
            <w:tcBorders>
              <w:top w:val="single" w:sz="8" w:color="0060ED"/>
            </w:tcBorders>
            <w:shd w:val="clear" w:color="auto" w:fill="CCEBF8"/>
          </w:tcPr>
          <w:p>
            <w:pPr>
              <w:spacing w:after="0"/>
              <w:rPr>
                <w:sz w:val="15"/>
                <w:szCs w:val="15"/>
                <w:color w:val="auto"/>
              </w:rPr>
            </w:pPr>
          </w:p>
        </w:tc>
        <w:tc>
          <w:tcPr>
            <w:tcW w:w="660" w:type="dxa"/>
            <w:vAlign w:val="bottom"/>
            <w:tcBorders>
              <w:top w:val="single" w:sz="8" w:color="0060ED"/>
            </w:tcBorders>
            <w:gridSpan w:val="2"/>
            <w:shd w:val="clear" w:color="auto" w:fill="CCEBF8"/>
          </w:tcPr>
          <w:p>
            <w:pPr>
              <w:jc w:val="center"/>
              <w:spacing w:after="0"/>
              <w:rPr>
                <w:sz w:val="20"/>
                <w:szCs w:val="20"/>
                <w:color w:val="auto"/>
              </w:rPr>
            </w:pPr>
            <w:r>
              <w:rPr>
                <w:rFonts w:ascii="Arial" w:cs="Arial" w:eastAsia="Arial" w:hAnsi="Arial"/>
                <w:sz w:val="10"/>
                <w:szCs w:val="10"/>
                <w:b w:val="1"/>
                <w:bCs w:val="1"/>
                <w:color w:val="009BDE"/>
                <w:w w:val="92"/>
              </w:rPr>
              <w:t>Aggregate</w:t>
            </w:r>
          </w:p>
        </w:tc>
        <w:tc>
          <w:tcPr>
            <w:tcW w:w="1120" w:type="dxa"/>
            <w:vAlign w:val="bottom"/>
            <w:tcBorders>
              <w:top w:val="single" w:sz="8" w:color="0060ED"/>
            </w:tcBorders>
            <w:gridSpan w:val="2"/>
            <w:shd w:val="clear" w:color="auto" w:fill="CCEBF8"/>
          </w:tcPr>
          <w:p>
            <w:pPr>
              <w:jc w:val="center"/>
              <w:ind w:right="17"/>
              <w:spacing w:after="0"/>
              <w:rPr>
                <w:sz w:val="20"/>
                <w:szCs w:val="20"/>
                <w:color w:val="auto"/>
              </w:rPr>
            </w:pPr>
            <w:r>
              <w:rPr>
                <w:rFonts w:ascii="Arial" w:cs="Arial" w:eastAsia="Arial" w:hAnsi="Arial"/>
                <w:sz w:val="10"/>
                <w:szCs w:val="10"/>
                <w:b w:val="1"/>
                <w:bCs w:val="1"/>
                <w:color w:val="009BDE"/>
                <w:w w:val="94"/>
              </w:rPr>
              <w:t>Aggregate Balance</w:t>
            </w:r>
          </w:p>
        </w:tc>
      </w:tr>
      <w:tr>
        <w:trPr>
          <w:trHeight w:val="108"/>
        </w:trPr>
        <w:tc>
          <w:tcPr>
            <w:tcW w:w="800" w:type="dxa"/>
            <w:vAlign w:val="bottom"/>
            <w:shd w:val="clear" w:color="auto" w:fill="CCEBF8"/>
          </w:tcPr>
          <w:p>
            <w:pPr>
              <w:spacing w:after="0"/>
              <w:rPr>
                <w:sz w:val="9"/>
                <w:szCs w:val="9"/>
                <w:color w:val="auto"/>
              </w:rPr>
            </w:pPr>
          </w:p>
        </w:tc>
        <w:tc>
          <w:tcPr>
            <w:tcW w:w="1620" w:type="dxa"/>
            <w:vAlign w:val="bottom"/>
            <w:shd w:val="clear" w:color="auto" w:fill="CCEBF8"/>
          </w:tcPr>
          <w:p>
            <w:pPr>
              <w:spacing w:after="0"/>
              <w:rPr>
                <w:sz w:val="9"/>
                <w:szCs w:val="9"/>
                <w:color w:val="auto"/>
              </w:rPr>
            </w:pPr>
          </w:p>
        </w:tc>
        <w:tc>
          <w:tcPr>
            <w:tcW w:w="500" w:type="dxa"/>
            <w:vAlign w:val="bottom"/>
            <w:shd w:val="clear" w:color="auto" w:fill="CCEBF8"/>
          </w:tcPr>
          <w:p>
            <w:pPr>
              <w:spacing w:after="0"/>
              <w:rPr>
                <w:sz w:val="9"/>
                <w:szCs w:val="9"/>
                <w:color w:val="auto"/>
              </w:rPr>
            </w:pPr>
          </w:p>
        </w:tc>
        <w:tc>
          <w:tcPr>
            <w:tcW w:w="860" w:type="dxa"/>
            <w:vAlign w:val="bottom"/>
            <w:shd w:val="clear" w:color="auto" w:fill="CCEBF8"/>
          </w:tcPr>
          <w:p>
            <w:pPr>
              <w:jc w:val="center"/>
              <w:ind w:right="117"/>
              <w:spacing w:after="0" w:line="108" w:lineRule="exact"/>
              <w:rPr>
                <w:sz w:val="20"/>
                <w:szCs w:val="20"/>
                <w:color w:val="auto"/>
              </w:rPr>
            </w:pPr>
            <w:r>
              <w:rPr>
                <w:rFonts w:ascii="Arial" w:cs="Arial" w:eastAsia="Arial" w:hAnsi="Arial"/>
                <w:sz w:val="10"/>
                <w:szCs w:val="10"/>
                <w:b w:val="1"/>
                <w:bCs w:val="1"/>
                <w:color w:val="009BDE"/>
                <w:w w:val="94"/>
              </w:rPr>
              <w:t>Contributions</w:t>
            </w:r>
          </w:p>
        </w:tc>
        <w:tc>
          <w:tcPr>
            <w:tcW w:w="860" w:type="dxa"/>
            <w:vAlign w:val="bottom"/>
            <w:gridSpan w:val="2"/>
            <w:shd w:val="clear" w:color="auto" w:fill="CCEBF8"/>
          </w:tcPr>
          <w:p>
            <w:pPr>
              <w:ind w:left="60"/>
              <w:spacing w:after="0" w:line="108" w:lineRule="exact"/>
              <w:rPr>
                <w:sz w:val="20"/>
                <w:szCs w:val="20"/>
                <w:color w:val="auto"/>
              </w:rPr>
            </w:pPr>
            <w:r>
              <w:rPr>
                <w:rFonts w:ascii="Arial" w:cs="Arial" w:eastAsia="Arial" w:hAnsi="Arial"/>
                <w:sz w:val="10"/>
                <w:szCs w:val="10"/>
                <w:b w:val="1"/>
                <w:bCs w:val="1"/>
                <w:color w:val="009BDE"/>
              </w:rPr>
              <w:t>Contributions in</w:t>
            </w:r>
          </w:p>
        </w:tc>
        <w:tc>
          <w:tcPr>
            <w:tcW w:w="180" w:type="dxa"/>
            <w:vAlign w:val="bottom"/>
            <w:shd w:val="clear" w:color="auto" w:fill="CCEBF8"/>
          </w:tcPr>
          <w:p>
            <w:pPr>
              <w:spacing w:after="0"/>
              <w:rPr>
                <w:sz w:val="9"/>
                <w:szCs w:val="9"/>
                <w:color w:val="auto"/>
              </w:rPr>
            </w:pPr>
          </w:p>
        </w:tc>
        <w:tc>
          <w:tcPr>
            <w:tcW w:w="740" w:type="dxa"/>
            <w:vAlign w:val="bottom"/>
            <w:shd w:val="clear" w:color="auto" w:fill="CCEBF8"/>
          </w:tcPr>
          <w:p>
            <w:pPr>
              <w:jc w:val="center"/>
              <w:ind w:right="138"/>
              <w:spacing w:after="0" w:line="108" w:lineRule="exact"/>
              <w:rPr>
                <w:sz w:val="20"/>
                <w:szCs w:val="20"/>
                <w:color w:val="auto"/>
              </w:rPr>
            </w:pPr>
            <w:r>
              <w:rPr>
                <w:rFonts w:ascii="Arial" w:cs="Arial" w:eastAsia="Arial" w:hAnsi="Arial"/>
                <w:sz w:val="10"/>
                <w:szCs w:val="10"/>
                <w:b w:val="1"/>
                <w:bCs w:val="1"/>
                <w:color w:val="009BDE"/>
                <w:w w:val="96"/>
              </w:rPr>
              <w:t>Aggregate</w:t>
            </w:r>
          </w:p>
        </w:tc>
        <w:tc>
          <w:tcPr>
            <w:tcW w:w="660" w:type="dxa"/>
            <w:vAlign w:val="bottom"/>
            <w:gridSpan w:val="2"/>
            <w:shd w:val="clear" w:color="auto" w:fill="CCEBF8"/>
          </w:tcPr>
          <w:p>
            <w:pPr>
              <w:jc w:val="center"/>
              <w:spacing w:after="0" w:line="108" w:lineRule="exact"/>
              <w:rPr>
                <w:sz w:val="20"/>
                <w:szCs w:val="20"/>
                <w:color w:val="auto"/>
              </w:rPr>
            </w:pPr>
            <w:r>
              <w:rPr>
                <w:rFonts w:ascii="Arial" w:cs="Arial" w:eastAsia="Arial" w:hAnsi="Arial"/>
                <w:sz w:val="10"/>
                <w:szCs w:val="10"/>
                <w:b w:val="1"/>
                <w:bCs w:val="1"/>
                <w:color w:val="009BDE"/>
                <w:w w:val="93"/>
              </w:rPr>
              <w:t>Withdrawals/</w:t>
            </w:r>
          </w:p>
        </w:tc>
        <w:tc>
          <w:tcPr>
            <w:tcW w:w="160" w:type="dxa"/>
            <w:vAlign w:val="bottom"/>
            <w:shd w:val="clear" w:color="auto" w:fill="CCEBF8"/>
          </w:tcPr>
          <w:p>
            <w:pPr>
              <w:spacing w:after="0"/>
              <w:rPr>
                <w:sz w:val="9"/>
                <w:szCs w:val="9"/>
                <w:color w:val="auto"/>
              </w:rPr>
            </w:pPr>
          </w:p>
        </w:tc>
        <w:tc>
          <w:tcPr>
            <w:tcW w:w="960" w:type="dxa"/>
            <w:vAlign w:val="bottom"/>
            <w:shd w:val="clear" w:color="auto" w:fill="CCEBF8"/>
          </w:tcPr>
          <w:p>
            <w:pPr>
              <w:jc w:val="center"/>
              <w:ind w:right="177"/>
              <w:spacing w:after="0" w:line="108" w:lineRule="exact"/>
              <w:rPr>
                <w:sz w:val="20"/>
                <w:szCs w:val="20"/>
                <w:color w:val="auto"/>
              </w:rPr>
            </w:pPr>
            <w:r>
              <w:rPr>
                <w:rFonts w:ascii="Arial" w:cs="Arial" w:eastAsia="Arial" w:hAnsi="Arial"/>
                <w:sz w:val="10"/>
                <w:szCs w:val="10"/>
                <w:b w:val="1"/>
                <w:bCs w:val="1"/>
                <w:color w:val="009BDE"/>
                <w:w w:val="97"/>
              </w:rPr>
              <w:t>at Last Fiscal</w:t>
            </w:r>
          </w:p>
        </w:tc>
      </w:tr>
      <w:tr>
        <w:trPr>
          <w:trHeight w:val="108"/>
        </w:trPr>
        <w:tc>
          <w:tcPr>
            <w:tcW w:w="800" w:type="dxa"/>
            <w:vAlign w:val="bottom"/>
            <w:shd w:val="clear" w:color="auto" w:fill="CCEBF8"/>
          </w:tcPr>
          <w:p>
            <w:pPr>
              <w:spacing w:after="0"/>
              <w:rPr>
                <w:sz w:val="9"/>
                <w:szCs w:val="9"/>
                <w:color w:val="auto"/>
              </w:rPr>
            </w:pPr>
          </w:p>
        </w:tc>
        <w:tc>
          <w:tcPr>
            <w:tcW w:w="1620" w:type="dxa"/>
            <w:vAlign w:val="bottom"/>
            <w:shd w:val="clear" w:color="auto" w:fill="CCEBF8"/>
          </w:tcPr>
          <w:p>
            <w:pPr>
              <w:spacing w:after="0"/>
              <w:rPr>
                <w:sz w:val="9"/>
                <w:szCs w:val="9"/>
                <w:color w:val="auto"/>
              </w:rPr>
            </w:pPr>
          </w:p>
        </w:tc>
        <w:tc>
          <w:tcPr>
            <w:tcW w:w="1360" w:type="dxa"/>
            <w:vAlign w:val="bottom"/>
            <w:gridSpan w:val="2"/>
            <w:shd w:val="clear" w:color="auto" w:fill="CCEBF8"/>
          </w:tcPr>
          <w:p>
            <w:pPr>
              <w:jc w:val="center"/>
              <w:ind w:left="316"/>
              <w:spacing w:after="0" w:line="108" w:lineRule="exact"/>
              <w:rPr>
                <w:sz w:val="20"/>
                <w:szCs w:val="20"/>
                <w:color w:val="auto"/>
              </w:rPr>
            </w:pPr>
            <w:r>
              <w:rPr>
                <w:rFonts w:ascii="Arial" w:cs="Arial" w:eastAsia="Arial" w:hAnsi="Arial"/>
                <w:sz w:val="10"/>
                <w:szCs w:val="10"/>
                <w:b w:val="1"/>
                <w:bCs w:val="1"/>
                <w:color w:val="009BDE"/>
                <w:w w:val="95"/>
              </w:rPr>
              <w:t>in Last Fiscal Year</w:t>
            </w:r>
          </w:p>
        </w:tc>
        <w:tc>
          <w:tcPr>
            <w:tcW w:w="860" w:type="dxa"/>
            <w:vAlign w:val="bottom"/>
            <w:gridSpan w:val="2"/>
            <w:shd w:val="clear" w:color="auto" w:fill="CCEBF8"/>
          </w:tcPr>
          <w:p>
            <w:pPr>
              <w:ind w:left="60"/>
              <w:spacing w:after="0" w:line="108" w:lineRule="exact"/>
              <w:rPr>
                <w:sz w:val="20"/>
                <w:szCs w:val="20"/>
                <w:color w:val="auto"/>
              </w:rPr>
            </w:pPr>
            <w:r>
              <w:rPr>
                <w:rFonts w:ascii="Arial" w:cs="Arial" w:eastAsia="Arial" w:hAnsi="Arial"/>
                <w:sz w:val="10"/>
                <w:szCs w:val="10"/>
                <w:b w:val="1"/>
                <w:bCs w:val="1"/>
                <w:color w:val="009BDE"/>
              </w:rPr>
              <w:t>Last Fiscal Year</w:t>
            </w:r>
          </w:p>
        </w:tc>
        <w:tc>
          <w:tcPr>
            <w:tcW w:w="920" w:type="dxa"/>
            <w:vAlign w:val="bottom"/>
            <w:gridSpan w:val="2"/>
            <w:shd w:val="clear" w:color="auto" w:fill="CCEBF8"/>
          </w:tcPr>
          <w:p>
            <w:pPr>
              <w:jc w:val="center"/>
              <w:spacing w:after="0" w:line="108" w:lineRule="exact"/>
              <w:rPr>
                <w:sz w:val="20"/>
                <w:szCs w:val="20"/>
                <w:color w:val="auto"/>
              </w:rPr>
            </w:pPr>
            <w:r>
              <w:rPr>
                <w:rFonts w:ascii="Arial" w:cs="Arial" w:eastAsia="Arial" w:hAnsi="Arial"/>
                <w:sz w:val="10"/>
                <w:szCs w:val="10"/>
                <w:b w:val="1"/>
                <w:bCs w:val="1"/>
                <w:color w:val="009BDE"/>
                <w:w w:val="97"/>
              </w:rPr>
              <w:t>Earnings in Last</w:t>
            </w:r>
          </w:p>
        </w:tc>
        <w:tc>
          <w:tcPr>
            <w:tcW w:w="660" w:type="dxa"/>
            <w:vAlign w:val="bottom"/>
            <w:gridSpan w:val="2"/>
            <w:shd w:val="clear" w:color="auto" w:fill="CCEBF8"/>
          </w:tcPr>
          <w:p>
            <w:pPr>
              <w:jc w:val="center"/>
              <w:spacing w:after="0" w:line="108" w:lineRule="exact"/>
              <w:rPr>
                <w:sz w:val="20"/>
                <w:szCs w:val="20"/>
                <w:color w:val="auto"/>
              </w:rPr>
            </w:pPr>
            <w:r>
              <w:rPr>
                <w:rFonts w:ascii="Arial" w:cs="Arial" w:eastAsia="Arial" w:hAnsi="Arial"/>
                <w:sz w:val="10"/>
                <w:szCs w:val="10"/>
                <w:b w:val="1"/>
                <w:bCs w:val="1"/>
                <w:color w:val="009BDE"/>
                <w:w w:val="93"/>
              </w:rPr>
              <w:t>Distributions</w:t>
            </w:r>
          </w:p>
        </w:tc>
        <w:tc>
          <w:tcPr>
            <w:tcW w:w="160" w:type="dxa"/>
            <w:vAlign w:val="bottom"/>
            <w:shd w:val="clear" w:color="auto" w:fill="CCEBF8"/>
          </w:tcPr>
          <w:p>
            <w:pPr>
              <w:spacing w:after="0"/>
              <w:rPr>
                <w:sz w:val="9"/>
                <w:szCs w:val="9"/>
                <w:color w:val="auto"/>
              </w:rPr>
            </w:pPr>
          </w:p>
        </w:tc>
        <w:tc>
          <w:tcPr>
            <w:tcW w:w="960" w:type="dxa"/>
            <w:vAlign w:val="bottom"/>
            <w:shd w:val="clear" w:color="auto" w:fill="CCEBF8"/>
          </w:tcPr>
          <w:p>
            <w:pPr>
              <w:jc w:val="center"/>
              <w:ind w:right="177"/>
              <w:spacing w:after="0" w:line="108" w:lineRule="exact"/>
              <w:rPr>
                <w:sz w:val="20"/>
                <w:szCs w:val="20"/>
                <w:color w:val="auto"/>
              </w:rPr>
            </w:pPr>
            <w:r>
              <w:rPr>
                <w:rFonts w:ascii="Arial" w:cs="Arial" w:eastAsia="Arial" w:hAnsi="Arial"/>
                <w:sz w:val="10"/>
                <w:szCs w:val="10"/>
                <w:b w:val="1"/>
                <w:bCs w:val="1"/>
                <w:color w:val="009BDE"/>
                <w:w w:val="96"/>
              </w:rPr>
              <w:t>Year End</w:t>
            </w:r>
          </w:p>
        </w:tc>
      </w:tr>
      <w:tr>
        <w:trPr>
          <w:trHeight w:val="136"/>
        </w:trPr>
        <w:tc>
          <w:tcPr>
            <w:tcW w:w="800" w:type="dxa"/>
            <w:vAlign w:val="bottom"/>
            <w:shd w:val="clear" w:color="auto" w:fill="CCEBF8"/>
          </w:tcPr>
          <w:p>
            <w:pPr>
              <w:ind w:left="40"/>
              <w:spacing w:after="0"/>
              <w:rPr>
                <w:sz w:val="20"/>
                <w:szCs w:val="20"/>
                <w:color w:val="auto"/>
              </w:rPr>
            </w:pPr>
            <w:r>
              <w:rPr>
                <w:rFonts w:ascii="Arial" w:cs="Arial" w:eastAsia="Arial" w:hAnsi="Arial"/>
                <w:sz w:val="10"/>
                <w:szCs w:val="10"/>
                <w:b w:val="1"/>
                <w:bCs w:val="1"/>
                <w:color w:val="009BDE"/>
              </w:rPr>
              <w:t>Name</w:t>
            </w:r>
          </w:p>
        </w:tc>
        <w:tc>
          <w:tcPr>
            <w:tcW w:w="1620" w:type="dxa"/>
            <w:vAlign w:val="bottom"/>
            <w:shd w:val="clear" w:color="auto" w:fill="CCEBF8"/>
          </w:tcPr>
          <w:p>
            <w:pPr>
              <w:ind w:left="740"/>
              <w:spacing w:after="0"/>
              <w:rPr>
                <w:sz w:val="20"/>
                <w:szCs w:val="20"/>
                <w:color w:val="auto"/>
              </w:rPr>
            </w:pPr>
            <w:r>
              <w:rPr>
                <w:rFonts w:ascii="Arial" w:cs="Arial" w:eastAsia="Arial" w:hAnsi="Arial"/>
                <w:sz w:val="10"/>
                <w:szCs w:val="10"/>
                <w:b w:val="1"/>
                <w:bCs w:val="1"/>
                <w:color w:val="009BDE"/>
              </w:rPr>
              <w:t>Plan Name</w:t>
            </w:r>
          </w:p>
        </w:tc>
        <w:tc>
          <w:tcPr>
            <w:tcW w:w="500" w:type="dxa"/>
            <w:vAlign w:val="bottom"/>
            <w:shd w:val="clear" w:color="auto" w:fill="CCEBF8"/>
          </w:tcPr>
          <w:p>
            <w:pPr>
              <w:spacing w:after="0"/>
              <w:rPr>
                <w:sz w:val="11"/>
                <w:szCs w:val="11"/>
                <w:color w:val="auto"/>
              </w:rPr>
            </w:pPr>
          </w:p>
        </w:tc>
        <w:tc>
          <w:tcPr>
            <w:tcW w:w="860" w:type="dxa"/>
            <w:vAlign w:val="bottom"/>
            <w:shd w:val="clear" w:color="auto" w:fill="CCEBF8"/>
          </w:tcPr>
          <w:p>
            <w:pPr>
              <w:jc w:val="center"/>
              <w:ind w:right="117"/>
              <w:spacing w:after="0"/>
              <w:rPr>
                <w:sz w:val="20"/>
                <w:szCs w:val="20"/>
                <w:color w:val="auto"/>
              </w:rPr>
            </w:pPr>
            <w:r>
              <w:rPr>
                <w:rFonts w:ascii="Arial" w:cs="Arial" w:eastAsia="Arial" w:hAnsi="Arial"/>
                <w:sz w:val="10"/>
                <w:szCs w:val="10"/>
                <w:b w:val="1"/>
                <w:bCs w:val="1"/>
                <w:color w:val="009BDE"/>
                <w:w w:val="89"/>
              </w:rPr>
              <w:t>($)(a)</w:t>
            </w:r>
          </w:p>
        </w:tc>
        <w:tc>
          <w:tcPr>
            <w:tcW w:w="140" w:type="dxa"/>
            <w:vAlign w:val="bottom"/>
            <w:shd w:val="clear" w:color="auto" w:fill="CCEBF8"/>
          </w:tcPr>
          <w:p>
            <w:pPr>
              <w:spacing w:after="0"/>
              <w:rPr>
                <w:sz w:val="11"/>
                <w:szCs w:val="11"/>
                <w:color w:val="auto"/>
              </w:rPr>
            </w:pPr>
          </w:p>
        </w:tc>
        <w:tc>
          <w:tcPr>
            <w:tcW w:w="720" w:type="dxa"/>
            <w:vAlign w:val="bottom"/>
            <w:shd w:val="clear" w:color="auto" w:fill="CCEBF8"/>
          </w:tcPr>
          <w:p>
            <w:pPr>
              <w:jc w:val="right"/>
              <w:ind w:right="277"/>
              <w:spacing w:after="0"/>
              <w:rPr>
                <w:sz w:val="20"/>
                <w:szCs w:val="20"/>
                <w:color w:val="auto"/>
              </w:rPr>
            </w:pPr>
            <w:r>
              <w:rPr>
                <w:rFonts w:ascii="Arial" w:cs="Arial" w:eastAsia="Arial" w:hAnsi="Arial"/>
                <w:sz w:val="10"/>
                <w:szCs w:val="10"/>
                <w:b w:val="1"/>
                <w:bCs w:val="1"/>
                <w:color w:val="009BDE"/>
              </w:rPr>
              <w:t>($)(a)</w:t>
            </w:r>
          </w:p>
        </w:tc>
        <w:tc>
          <w:tcPr>
            <w:tcW w:w="920" w:type="dxa"/>
            <w:vAlign w:val="bottom"/>
            <w:gridSpan w:val="2"/>
            <w:shd w:val="clear" w:color="auto" w:fill="CCEBF8"/>
          </w:tcPr>
          <w:p>
            <w:pPr>
              <w:jc w:val="center"/>
              <w:spacing w:after="0"/>
              <w:rPr>
                <w:sz w:val="20"/>
                <w:szCs w:val="20"/>
                <w:color w:val="auto"/>
              </w:rPr>
            </w:pPr>
            <w:r>
              <w:rPr>
                <w:rFonts w:ascii="Arial" w:cs="Arial" w:eastAsia="Arial" w:hAnsi="Arial"/>
                <w:sz w:val="10"/>
                <w:szCs w:val="10"/>
                <w:b w:val="1"/>
                <w:bCs w:val="1"/>
                <w:color w:val="009BDE"/>
                <w:w w:val="94"/>
              </w:rPr>
              <w:t>Fiscal Year ($)(b)</w:t>
            </w:r>
          </w:p>
        </w:tc>
        <w:tc>
          <w:tcPr>
            <w:tcW w:w="160" w:type="dxa"/>
            <w:vAlign w:val="bottom"/>
            <w:shd w:val="clear" w:color="auto" w:fill="CCEBF8"/>
          </w:tcPr>
          <w:p>
            <w:pPr>
              <w:spacing w:after="0"/>
              <w:rPr>
                <w:sz w:val="11"/>
                <w:szCs w:val="11"/>
                <w:color w:val="auto"/>
              </w:rPr>
            </w:pPr>
          </w:p>
        </w:tc>
        <w:tc>
          <w:tcPr>
            <w:tcW w:w="500" w:type="dxa"/>
            <w:vAlign w:val="bottom"/>
            <w:shd w:val="clear" w:color="auto" w:fill="CCEBF8"/>
          </w:tcPr>
          <w:p>
            <w:pPr>
              <w:jc w:val="center"/>
              <w:ind w:right="138"/>
              <w:spacing w:after="0"/>
              <w:rPr>
                <w:sz w:val="20"/>
                <w:szCs w:val="20"/>
                <w:color w:val="auto"/>
              </w:rPr>
            </w:pPr>
            <w:r>
              <w:rPr>
                <w:rFonts w:ascii="Arial" w:cs="Arial" w:eastAsia="Arial" w:hAnsi="Arial"/>
                <w:sz w:val="10"/>
                <w:szCs w:val="10"/>
                <w:b w:val="1"/>
                <w:bCs w:val="1"/>
                <w:color w:val="009BDE"/>
                <w:w w:val="95"/>
              </w:rPr>
              <w:t>($)(b)</w:t>
            </w:r>
          </w:p>
        </w:tc>
        <w:tc>
          <w:tcPr>
            <w:tcW w:w="160" w:type="dxa"/>
            <w:vAlign w:val="bottom"/>
            <w:shd w:val="clear" w:color="auto" w:fill="CCEBF8"/>
          </w:tcPr>
          <w:p>
            <w:pPr>
              <w:spacing w:after="0"/>
              <w:rPr>
                <w:sz w:val="11"/>
                <w:szCs w:val="11"/>
                <w:color w:val="auto"/>
              </w:rPr>
            </w:pPr>
          </w:p>
        </w:tc>
        <w:tc>
          <w:tcPr>
            <w:tcW w:w="960" w:type="dxa"/>
            <w:vAlign w:val="bottom"/>
            <w:shd w:val="clear" w:color="auto" w:fill="CCEBF8"/>
          </w:tcPr>
          <w:p>
            <w:pPr>
              <w:jc w:val="center"/>
              <w:ind w:right="177"/>
              <w:spacing w:after="0"/>
              <w:rPr>
                <w:sz w:val="20"/>
                <w:szCs w:val="20"/>
                <w:color w:val="auto"/>
              </w:rPr>
            </w:pPr>
            <w:r>
              <w:rPr>
                <w:rFonts w:ascii="Arial" w:cs="Arial" w:eastAsia="Arial" w:hAnsi="Arial"/>
                <w:sz w:val="10"/>
                <w:szCs w:val="10"/>
                <w:b w:val="1"/>
                <w:bCs w:val="1"/>
                <w:color w:val="009BDE"/>
                <w:w w:val="89"/>
              </w:rPr>
              <w:t>($)(c)</w:t>
            </w:r>
          </w:p>
        </w:tc>
      </w:tr>
      <w:tr>
        <w:trPr>
          <w:trHeight w:val="80"/>
        </w:trPr>
        <w:tc>
          <w:tcPr>
            <w:tcW w:w="800" w:type="dxa"/>
            <w:vAlign w:val="bottom"/>
            <w:tcBorders>
              <w:bottom w:val="single" w:sz="8" w:color="009BDE"/>
            </w:tcBorders>
            <w:shd w:val="clear" w:color="auto" w:fill="CCEBF8"/>
          </w:tcPr>
          <w:p>
            <w:pPr>
              <w:spacing w:after="0"/>
              <w:rPr>
                <w:sz w:val="6"/>
                <w:szCs w:val="6"/>
                <w:color w:val="auto"/>
              </w:rPr>
            </w:pPr>
          </w:p>
        </w:tc>
        <w:tc>
          <w:tcPr>
            <w:tcW w:w="1620" w:type="dxa"/>
            <w:vAlign w:val="bottom"/>
            <w:tcBorders>
              <w:bottom w:val="single" w:sz="8" w:color="009BDE"/>
            </w:tcBorders>
            <w:shd w:val="clear" w:color="auto" w:fill="CCEBF8"/>
          </w:tcPr>
          <w:p>
            <w:pPr>
              <w:spacing w:after="0"/>
              <w:rPr>
                <w:sz w:val="6"/>
                <w:szCs w:val="6"/>
                <w:color w:val="auto"/>
              </w:rPr>
            </w:pPr>
          </w:p>
        </w:tc>
        <w:tc>
          <w:tcPr>
            <w:tcW w:w="500" w:type="dxa"/>
            <w:vAlign w:val="bottom"/>
            <w:tcBorders>
              <w:bottom w:val="single" w:sz="8" w:color="009BDE"/>
            </w:tcBorders>
            <w:shd w:val="clear" w:color="auto" w:fill="CCEBF8"/>
          </w:tcPr>
          <w:p>
            <w:pPr>
              <w:spacing w:after="0"/>
              <w:rPr>
                <w:sz w:val="6"/>
                <w:szCs w:val="6"/>
                <w:color w:val="auto"/>
              </w:rPr>
            </w:pPr>
          </w:p>
        </w:tc>
        <w:tc>
          <w:tcPr>
            <w:tcW w:w="860" w:type="dxa"/>
            <w:vAlign w:val="bottom"/>
            <w:tcBorders>
              <w:bottom w:val="single" w:sz="8" w:color="009BDE"/>
            </w:tcBorders>
            <w:shd w:val="clear" w:color="auto" w:fill="CCEBF8"/>
          </w:tcPr>
          <w:p>
            <w:pPr>
              <w:spacing w:after="0"/>
              <w:rPr>
                <w:sz w:val="6"/>
                <w:szCs w:val="6"/>
                <w:color w:val="auto"/>
              </w:rPr>
            </w:pPr>
          </w:p>
        </w:tc>
        <w:tc>
          <w:tcPr>
            <w:tcW w:w="140" w:type="dxa"/>
            <w:vAlign w:val="bottom"/>
            <w:tcBorders>
              <w:bottom w:val="single" w:sz="8" w:color="009BDE"/>
            </w:tcBorders>
            <w:shd w:val="clear" w:color="auto" w:fill="CCEBF8"/>
          </w:tcPr>
          <w:p>
            <w:pPr>
              <w:spacing w:after="0"/>
              <w:rPr>
                <w:sz w:val="6"/>
                <w:szCs w:val="6"/>
                <w:color w:val="auto"/>
              </w:rPr>
            </w:pPr>
          </w:p>
        </w:tc>
        <w:tc>
          <w:tcPr>
            <w:tcW w:w="720" w:type="dxa"/>
            <w:vAlign w:val="bottom"/>
            <w:tcBorders>
              <w:bottom w:val="single" w:sz="8" w:color="009BDE"/>
            </w:tcBorders>
            <w:shd w:val="clear" w:color="auto" w:fill="CCEBF8"/>
          </w:tcPr>
          <w:p>
            <w:pPr>
              <w:spacing w:after="0"/>
              <w:rPr>
                <w:sz w:val="6"/>
                <w:szCs w:val="6"/>
                <w:color w:val="auto"/>
              </w:rPr>
            </w:pPr>
          </w:p>
        </w:tc>
        <w:tc>
          <w:tcPr>
            <w:tcW w:w="180" w:type="dxa"/>
            <w:vAlign w:val="bottom"/>
            <w:tcBorders>
              <w:bottom w:val="single" w:sz="8" w:color="009BDE"/>
            </w:tcBorders>
            <w:shd w:val="clear" w:color="auto" w:fill="CCEBF8"/>
          </w:tcPr>
          <w:p>
            <w:pPr>
              <w:spacing w:after="0"/>
              <w:rPr>
                <w:sz w:val="6"/>
                <w:szCs w:val="6"/>
                <w:color w:val="auto"/>
              </w:rPr>
            </w:pPr>
          </w:p>
        </w:tc>
        <w:tc>
          <w:tcPr>
            <w:tcW w:w="740" w:type="dxa"/>
            <w:vAlign w:val="bottom"/>
            <w:tcBorders>
              <w:bottom w:val="single" w:sz="8" w:color="009BDE"/>
            </w:tcBorders>
            <w:shd w:val="clear" w:color="auto" w:fill="CCEBF8"/>
          </w:tcPr>
          <w:p>
            <w:pPr>
              <w:spacing w:after="0"/>
              <w:rPr>
                <w:sz w:val="6"/>
                <w:szCs w:val="6"/>
                <w:color w:val="auto"/>
              </w:rPr>
            </w:pPr>
          </w:p>
        </w:tc>
        <w:tc>
          <w:tcPr>
            <w:tcW w:w="160" w:type="dxa"/>
            <w:vAlign w:val="bottom"/>
            <w:tcBorders>
              <w:bottom w:val="single" w:sz="8" w:color="009BDE"/>
            </w:tcBorders>
            <w:shd w:val="clear" w:color="auto" w:fill="CCEBF8"/>
          </w:tcPr>
          <w:p>
            <w:pPr>
              <w:spacing w:after="0"/>
              <w:rPr>
                <w:sz w:val="6"/>
                <w:szCs w:val="6"/>
                <w:color w:val="auto"/>
              </w:rPr>
            </w:pPr>
          </w:p>
        </w:tc>
        <w:tc>
          <w:tcPr>
            <w:tcW w:w="500" w:type="dxa"/>
            <w:vAlign w:val="bottom"/>
            <w:tcBorders>
              <w:bottom w:val="single" w:sz="8" w:color="009BDE"/>
            </w:tcBorders>
            <w:shd w:val="clear" w:color="auto" w:fill="CCEBF8"/>
          </w:tcPr>
          <w:p>
            <w:pPr>
              <w:spacing w:after="0"/>
              <w:rPr>
                <w:sz w:val="6"/>
                <w:szCs w:val="6"/>
                <w:color w:val="auto"/>
              </w:rPr>
            </w:pPr>
          </w:p>
        </w:tc>
        <w:tc>
          <w:tcPr>
            <w:tcW w:w="160" w:type="dxa"/>
            <w:vAlign w:val="bottom"/>
            <w:tcBorders>
              <w:bottom w:val="single" w:sz="8" w:color="009BDE"/>
            </w:tcBorders>
            <w:shd w:val="clear" w:color="auto" w:fill="CCEBF8"/>
          </w:tcPr>
          <w:p>
            <w:pPr>
              <w:spacing w:after="0"/>
              <w:rPr>
                <w:sz w:val="6"/>
                <w:szCs w:val="6"/>
                <w:color w:val="auto"/>
              </w:rPr>
            </w:pPr>
          </w:p>
        </w:tc>
        <w:tc>
          <w:tcPr>
            <w:tcW w:w="960" w:type="dxa"/>
            <w:vAlign w:val="bottom"/>
            <w:tcBorders>
              <w:bottom w:val="single" w:sz="8" w:color="009BDE"/>
            </w:tcBorders>
            <w:shd w:val="clear" w:color="auto" w:fill="CCEBF8"/>
          </w:tcPr>
          <w:p>
            <w:pPr>
              <w:spacing w:after="0"/>
              <w:rPr>
                <w:sz w:val="6"/>
                <w:szCs w:val="6"/>
                <w:color w:val="auto"/>
              </w:rPr>
            </w:pPr>
          </w:p>
        </w:tc>
      </w:tr>
      <w:tr>
        <w:trPr>
          <w:trHeight w:val="84"/>
        </w:trPr>
        <w:tc>
          <w:tcPr>
            <w:tcW w:w="800" w:type="dxa"/>
            <w:vAlign w:val="bottom"/>
          </w:tcPr>
          <w:p>
            <w:pPr>
              <w:ind w:left="40"/>
              <w:spacing w:after="0" w:line="84" w:lineRule="exact"/>
              <w:rPr>
                <w:sz w:val="20"/>
                <w:szCs w:val="20"/>
                <w:color w:val="auto"/>
              </w:rPr>
            </w:pPr>
            <w:r>
              <w:rPr>
                <w:rFonts w:ascii="Arial" w:cs="Arial" w:eastAsia="Arial" w:hAnsi="Arial"/>
                <w:sz w:val="8"/>
                <w:szCs w:val="8"/>
                <w:color w:val="auto"/>
              </w:rPr>
              <w:t>Richard Stoddart</w:t>
            </w:r>
          </w:p>
        </w:tc>
        <w:tc>
          <w:tcPr>
            <w:tcW w:w="1620" w:type="dxa"/>
            <w:vAlign w:val="bottom"/>
          </w:tcPr>
          <w:p>
            <w:pPr>
              <w:spacing w:after="0" w:line="84" w:lineRule="exact"/>
              <w:rPr>
                <w:sz w:val="20"/>
                <w:szCs w:val="20"/>
                <w:color w:val="auto"/>
              </w:rPr>
            </w:pPr>
            <w:r>
              <w:rPr>
                <w:rFonts w:ascii="Arial" w:cs="Arial" w:eastAsia="Arial" w:hAnsi="Arial"/>
                <w:sz w:val="8"/>
                <w:szCs w:val="8"/>
                <w:color w:val="auto"/>
              </w:rPr>
              <w:t>Non-Qualified Deferred</w:t>
            </w: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109"/>
        </w:trPr>
        <w:tc>
          <w:tcPr>
            <w:tcW w:w="800" w:type="dxa"/>
            <w:vAlign w:val="bottom"/>
          </w:tcPr>
          <w:p>
            <w:pPr>
              <w:spacing w:after="0"/>
              <w:rPr>
                <w:sz w:val="9"/>
                <w:szCs w:val="9"/>
                <w:color w:val="auto"/>
              </w:rPr>
            </w:pPr>
          </w:p>
        </w:tc>
        <w:tc>
          <w:tcPr>
            <w:tcW w:w="1620" w:type="dxa"/>
            <w:vAlign w:val="bottom"/>
          </w:tcPr>
          <w:p>
            <w:pPr>
              <w:spacing w:after="0"/>
              <w:rPr>
                <w:sz w:val="20"/>
                <w:szCs w:val="20"/>
                <w:color w:val="auto"/>
              </w:rPr>
            </w:pPr>
            <w:r>
              <w:rPr>
                <w:rFonts w:ascii="Arial" w:cs="Arial" w:eastAsia="Arial" w:hAnsi="Arial"/>
                <w:sz w:val="8"/>
                <w:szCs w:val="8"/>
                <w:color w:val="auto"/>
              </w:rPr>
              <w:t>Compensation Plan</w:t>
            </w:r>
          </w:p>
        </w:tc>
        <w:tc>
          <w:tcPr>
            <w:tcW w:w="500" w:type="dxa"/>
            <w:vAlign w:val="bottom"/>
          </w:tcPr>
          <w:p>
            <w:pPr>
              <w:spacing w:after="0"/>
              <w:rPr>
                <w:sz w:val="9"/>
                <w:szCs w:val="9"/>
                <w:color w:val="auto"/>
              </w:rPr>
            </w:pPr>
          </w:p>
        </w:tc>
        <w:tc>
          <w:tcPr>
            <w:tcW w:w="860" w:type="dxa"/>
            <w:vAlign w:val="bottom"/>
          </w:tcPr>
          <w:p>
            <w:pPr>
              <w:jc w:val="right"/>
              <w:ind w:right="17"/>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74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50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960" w:type="dxa"/>
            <w:vAlign w:val="bottom"/>
          </w:tcPr>
          <w:p>
            <w:pPr>
              <w:jc w:val="right"/>
              <w:ind w:right="17"/>
              <w:spacing w:after="0"/>
              <w:rPr>
                <w:sz w:val="20"/>
                <w:szCs w:val="20"/>
                <w:color w:val="auto"/>
              </w:rPr>
            </w:pPr>
            <w:r>
              <w:rPr>
                <w:rFonts w:ascii="Arial" w:cs="Arial" w:eastAsia="Arial" w:hAnsi="Arial"/>
                <w:sz w:val="8"/>
                <w:szCs w:val="8"/>
                <w:color w:val="auto"/>
              </w:rPr>
              <w:t>—</w:t>
            </w:r>
          </w:p>
        </w:tc>
      </w:tr>
      <w:tr>
        <w:trPr>
          <w:trHeight w:val="162"/>
        </w:trPr>
        <w:tc>
          <w:tcPr>
            <w:tcW w:w="80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8"/>
                <w:szCs w:val="8"/>
                <w:color w:val="auto"/>
              </w:rPr>
              <w:t>Supplemental Savings Plan</w:t>
            </w:r>
          </w:p>
        </w:tc>
        <w:tc>
          <w:tcPr>
            <w:tcW w:w="50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ind w:left="60"/>
              <w:spacing w:after="0"/>
              <w:rPr>
                <w:sz w:val="20"/>
                <w:szCs w:val="20"/>
                <w:color w:val="auto"/>
              </w:rPr>
            </w:pPr>
            <w:r>
              <w:rPr>
                <w:rFonts w:ascii="Arial" w:cs="Arial" w:eastAsia="Arial" w:hAnsi="Arial"/>
                <w:sz w:val="8"/>
                <w:szCs w:val="8"/>
                <w:color w:val="auto"/>
              </w:rPr>
              <w:t>$</w:t>
            </w:r>
          </w:p>
        </w:tc>
        <w:tc>
          <w:tcPr>
            <w:tcW w:w="740" w:type="dxa"/>
            <w:vAlign w:val="bottom"/>
          </w:tcPr>
          <w:p>
            <w:pPr>
              <w:jc w:val="right"/>
              <w:ind w:right="18"/>
              <w:spacing w:after="0"/>
              <w:rPr>
                <w:sz w:val="20"/>
                <w:szCs w:val="20"/>
                <w:color w:val="auto"/>
              </w:rPr>
            </w:pPr>
            <w:r>
              <w:rPr>
                <w:rFonts w:ascii="Arial" w:cs="Arial" w:eastAsia="Arial" w:hAnsi="Arial"/>
                <w:sz w:val="8"/>
                <w:szCs w:val="8"/>
                <w:color w:val="auto"/>
              </w:rPr>
              <w:t>5</w:t>
            </w:r>
          </w:p>
        </w:tc>
        <w:tc>
          <w:tcPr>
            <w:tcW w:w="160" w:type="dxa"/>
            <w:vAlign w:val="bottom"/>
          </w:tcPr>
          <w:p>
            <w:pPr>
              <w:jc w:val="right"/>
              <w:ind w:right="14"/>
              <w:spacing w:after="0"/>
              <w:rPr>
                <w:sz w:val="20"/>
                <w:szCs w:val="20"/>
                <w:color w:val="auto"/>
              </w:rPr>
            </w:pPr>
            <w:r>
              <w:rPr>
                <w:rFonts w:ascii="Arial" w:cs="Arial" w:eastAsia="Arial" w:hAnsi="Arial"/>
                <w:sz w:val="8"/>
                <w:szCs w:val="8"/>
                <w:color w:val="auto"/>
              </w:rPr>
              <w:t>$</w:t>
            </w:r>
          </w:p>
        </w:tc>
        <w:tc>
          <w:tcPr>
            <w:tcW w:w="500" w:type="dxa"/>
            <w:vAlign w:val="bottom"/>
          </w:tcPr>
          <w:p>
            <w:pPr>
              <w:jc w:val="right"/>
              <w:ind w:right="18"/>
              <w:spacing w:after="0"/>
              <w:rPr>
                <w:sz w:val="20"/>
                <w:szCs w:val="20"/>
                <w:color w:val="auto"/>
              </w:rPr>
            </w:pPr>
            <w:r>
              <w:rPr>
                <w:rFonts w:ascii="Arial" w:cs="Arial" w:eastAsia="Arial" w:hAnsi="Arial"/>
                <w:sz w:val="8"/>
                <w:szCs w:val="8"/>
                <w:color w:val="auto"/>
              </w:rPr>
              <w:t>4,312</w:t>
            </w:r>
          </w:p>
        </w:tc>
        <w:tc>
          <w:tcPr>
            <w:tcW w:w="16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8"/>
                <w:szCs w:val="8"/>
                <w:color w:val="auto"/>
              </w:rPr>
              <w:t>—</w:t>
            </w:r>
          </w:p>
        </w:tc>
      </w:tr>
      <w:tr>
        <w:trPr>
          <w:trHeight w:val="66"/>
        </w:trPr>
        <w:tc>
          <w:tcPr>
            <w:tcW w:w="800" w:type="dxa"/>
            <w:vAlign w:val="bottom"/>
            <w:tcBorders>
              <w:bottom w:val="single" w:sz="8" w:color="009BDE"/>
            </w:tcBorders>
          </w:tcPr>
          <w:p>
            <w:pPr>
              <w:spacing w:after="0"/>
              <w:rPr>
                <w:sz w:val="5"/>
                <w:szCs w:val="5"/>
                <w:color w:val="auto"/>
              </w:rPr>
            </w:pPr>
          </w:p>
        </w:tc>
        <w:tc>
          <w:tcPr>
            <w:tcW w:w="162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72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74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r>
      <w:tr>
        <w:trPr>
          <w:trHeight w:val="84"/>
        </w:trPr>
        <w:tc>
          <w:tcPr>
            <w:tcW w:w="800" w:type="dxa"/>
            <w:vAlign w:val="bottom"/>
          </w:tcPr>
          <w:p>
            <w:pPr>
              <w:ind w:left="40"/>
              <w:spacing w:after="0" w:line="84" w:lineRule="exact"/>
              <w:rPr>
                <w:sz w:val="20"/>
                <w:szCs w:val="20"/>
                <w:color w:val="auto"/>
              </w:rPr>
            </w:pPr>
            <w:r>
              <w:rPr>
                <w:rFonts w:ascii="Arial" w:cs="Arial" w:eastAsia="Arial" w:hAnsi="Arial"/>
                <w:sz w:val="8"/>
                <w:szCs w:val="8"/>
                <w:color w:val="auto"/>
              </w:rPr>
              <w:t>Chris Cocks</w:t>
            </w:r>
          </w:p>
        </w:tc>
        <w:tc>
          <w:tcPr>
            <w:tcW w:w="1620" w:type="dxa"/>
            <w:vAlign w:val="bottom"/>
          </w:tcPr>
          <w:p>
            <w:pPr>
              <w:spacing w:after="0" w:line="84" w:lineRule="exact"/>
              <w:rPr>
                <w:sz w:val="20"/>
                <w:szCs w:val="20"/>
                <w:color w:val="auto"/>
              </w:rPr>
            </w:pPr>
            <w:r>
              <w:rPr>
                <w:rFonts w:ascii="Arial" w:cs="Arial" w:eastAsia="Arial" w:hAnsi="Arial"/>
                <w:sz w:val="8"/>
                <w:szCs w:val="8"/>
                <w:color w:val="auto"/>
              </w:rPr>
              <w:t>Non-Qualified Deferred</w:t>
            </w: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109"/>
        </w:trPr>
        <w:tc>
          <w:tcPr>
            <w:tcW w:w="800" w:type="dxa"/>
            <w:vAlign w:val="bottom"/>
          </w:tcPr>
          <w:p>
            <w:pPr>
              <w:spacing w:after="0"/>
              <w:rPr>
                <w:sz w:val="9"/>
                <w:szCs w:val="9"/>
                <w:color w:val="auto"/>
              </w:rPr>
            </w:pPr>
          </w:p>
        </w:tc>
        <w:tc>
          <w:tcPr>
            <w:tcW w:w="1620" w:type="dxa"/>
            <w:vAlign w:val="bottom"/>
          </w:tcPr>
          <w:p>
            <w:pPr>
              <w:spacing w:after="0"/>
              <w:rPr>
                <w:sz w:val="20"/>
                <w:szCs w:val="20"/>
                <w:color w:val="auto"/>
              </w:rPr>
            </w:pPr>
            <w:r>
              <w:rPr>
                <w:rFonts w:ascii="Arial" w:cs="Arial" w:eastAsia="Arial" w:hAnsi="Arial"/>
                <w:sz w:val="8"/>
                <w:szCs w:val="8"/>
                <w:color w:val="auto"/>
              </w:rPr>
              <w:t>Compensation Plan</w:t>
            </w:r>
          </w:p>
        </w:tc>
        <w:tc>
          <w:tcPr>
            <w:tcW w:w="500" w:type="dxa"/>
            <w:vAlign w:val="bottom"/>
          </w:tcPr>
          <w:p>
            <w:pPr>
              <w:jc w:val="right"/>
              <w:spacing w:after="0"/>
              <w:rPr>
                <w:sz w:val="20"/>
                <w:szCs w:val="20"/>
                <w:color w:val="auto"/>
              </w:rPr>
            </w:pPr>
            <w:r>
              <w:rPr>
                <w:rFonts w:ascii="Arial" w:cs="Arial" w:eastAsia="Arial" w:hAnsi="Arial"/>
                <w:sz w:val="8"/>
                <w:szCs w:val="8"/>
                <w:color w:val="auto"/>
              </w:rPr>
              <w:t>$</w:t>
            </w:r>
          </w:p>
        </w:tc>
        <w:tc>
          <w:tcPr>
            <w:tcW w:w="860" w:type="dxa"/>
            <w:vAlign w:val="bottom"/>
          </w:tcPr>
          <w:p>
            <w:pPr>
              <w:jc w:val="right"/>
              <w:ind w:right="17"/>
              <w:spacing w:after="0"/>
              <w:rPr>
                <w:sz w:val="20"/>
                <w:szCs w:val="20"/>
                <w:color w:val="auto"/>
              </w:rPr>
            </w:pPr>
            <w:r>
              <w:rPr>
                <w:rFonts w:ascii="Arial" w:cs="Arial" w:eastAsia="Arial" w:hAnsi="Arial"/>
                <w:sz w:val="8"/>
                <w:szCs w:val="8"/>
                <w:color w:val="auto"/>
              </w:rPr>
              <w:t>1,289,423</w:t>
            </w:r>
          </w:p>
        </w:tc>
        <w:tc>
          <w:tcPr>
            <w:tcW w:w="14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ind w:left="60"/>
              <w:spacing w:after="0"/>
              <w:rPr>
                <w:sz w:val="20"/>
                <w:szCs w:val="20"/>
                <w:color w:val="auto"/>
              </w:rPr>
            </w:pPr>
            <w:r>
              <w:rPr>
                <w:rFonts w:ascii="Arial" w:cs="Arial" w:eastAsia="Arial" w:hAnsi="Arial"/>
                <w:sz w:val="8"/>
                <w:szCs w:val="8"/>
                <w:color w:val="auto"/>
              </w:rPr>
              <w:t>($</w:t>
            </w:r>
          </w:p>
        </w:tc>
        <w:tc>
          <w:tcPr>
            <w:tcW w:w="740" w:type="dxa"/>
            <w:vAlign w:val="bottom"/>
          </w:tcPr>
          <w:p>
            <w:pPr>
              <w:jc w:val="right"/>
              <w:spacing w:after="0"/>
              <w:rPr>
                <w:sz w:val="20"/>
                <w:szCs w:val="20"/>
                <w:color w:val="auto"/>
              </w:rPr>
            </w:pPr>
            <w:r>
              <w:rPr>
                <w:rFonts w:ascii="Arial" w:cs="Arial" w:eastAsia="Arial" w:hAnsi="Arial"/>
                <w:sz w:val="8"/>
                <w:szCs w:val="8"/>
                <w:color w:val="auto"/>
              </w:rPr>
              <w:t>108,823)</w:t>
            </w:r>
          </w:p>
        </w:tc>
        <w:tc>
          <w:tcPr>
            <w:tcW w:w="160" w:type="dxa"/>
            <w:vAlign w:val="bottom"/>
          </w:tcPr>
          <w:p>
            <w:pPr>
              <w:spacing w:after="0"/>
              <w:rPr>
                <w:sz w:val="9"/>
                <w:szCs w:val="9"/>
                <w:color w:val="auto"/>
              </w:rPr>
            </w:pPr>
          </w:p>
        </w:tc>
        <w:tc>
          <w:tcPr>
            <w:tcW w:w="50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60" w:type="dxa"/>
            <w:vAlign w:val="bottom"/>
          </w:tcPr>
          <w:p>
            <w:pPr>
              <w:jc w:val="right"/>
              <w:ind w:right="17"/>
              <w:spacing w:after="0"/>
              <w:rPr>
                <w:sz w:val="20"/>
                <w:szCs w:val="20"/>
                <w:color w:val="auto"/>
              </w:rPr>
            </w:pPr>
            <w:r>
              <w:rPr>
                <w:rFonts w:ascii="Arial" w:cs="Arial" w:eastAsia="Arial" w:hAnsi="Arial"/>
                <w:sz w:val="8"/>
                <w:szCs w:val="8"/>
                <w:color w:val="auto"/>
              </w:rPr>
              <w:t>$</w:t>
            </w:r>
          </w:p>
        </w:tc>
        <w:tc>
          <w:tcPr>
            <w:tcW w:w="960" w:type="dxa"/>
            <w:vAlign w:val="bottom"/>
          </w:tcPr>
          <w:p>
            <w:pPr>
              <w:jc w:val="right"/>
              <w:ind w:right="17"/>
              <w:spacing w:after="0"/>
              <w:rPr>
                <w:sz w:val="20"/>
                <w:szCs w:val="20"/>
                <w:color w:val="auto"/>
              </w:rPr>
            </w:pPr>
            <w:r>
              <w:rPr>
                <w:rFonts w:ascii="Arial" w:cs="Arial" w:eastAsia="Arial" w:hAnsi="Arial"/>
                <w:sz w:val="8"/>
                <w:szCs w:val="8"/>
                <w:color w:val="auto"/>
              </w:rPr>
              <w:t>3,103,315</w:t>
            </w:r>
          </w:p>
        </w:tc>
      </w:tr>
      <w:tr>
        <w:trPr>
          <w:trHeight w:val="162"/>
        </w:trPr>
        <w:tc>
          <w:tcPr>
            <w:tcW w:w="80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8"/>
                <w:szCs w:val="8"/>
                <w:color w:val="auto"/>
              </w:rPr>
              <w:t>Supplemental Savings Plan</w:t>
            </w:r>
          </w:p>
        </w:tc>
        <w:tc>
          <w:tcPr>
            <w:tcW w:w="50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8"/>
                <w:szCs w:val="8"/>
                <w:color w:val="auto"/>
              </w:rPr>
              <w:t>—</w:t>
            </w:r>
          </w:p>
        </w:tc>
        <w:tc>
          <w:tcPr>
            <w:tcW w:w="140" w:type="dxa"/>
            <w:vAlign w:val="bottom"/>
          </w:tcPr>
          <w:p>
            <w:pPr>
              <w:ind w:left="40"/>
              <w:spacing w:after="0"/>
              <w:rPr>
                <w:sz w:val="20"/>
                <w:szCs w:val="20"/>
                <w:color w:val="auto"/>
              </w:rPr>
            </w:pPr>
            <w:r>
              <w:rPr>
                <w:rFonts w:ascii="Arial" w:cs="Arial" w:eastAsia="Arial" w:hAnsi="Arial"/>
                <w:sz w:val="8"/>
                <w:szCs w:val="8"/>
                <w:color w:val="auto"/>
              </w:rPr>
              <w:t>$</w:t>
            </w:r>
          </w:p>
        </w:tc>
        <w:tc>
          <w:tcPr>
            <w:tcW w:w="720" w:type="dxa"/>
            <w:vAlign w:val="bottom"/>
          </w:tcPr>
          <w:p>
            <w:pPr>
              <w:jc w:val="right"/>
              <w:spacing w:after="0"/>
              <w:rPr>
                <w:sz w:val="20"/>
                <w:szCs w:val="20"/>
                <w:color w:val="auto"/>
              </w:rPr>
            </w:pPr>
            <w:r>
              <w:rPr>
                <w:rFonts w:ascii="Arial" w:cs="Arial" w:eastAsia="Arial" w:hAnsi="Arial"/>
                <w:sz w:val="8"/>
                <w:szCs w:val="8"/>
                <w:color w:val="auto"/>
              </w:rPr>
              <w:t>202,743</w:t>
            </w:r>
          </w:p>
        </w:tc>
        <w:tc>
          <w:tcPr>
            <w:tcW w:w="180" w:type="dxa"/>
            <w:vAlign w:val="bottom"/>
          </w:tcPr>
          <w:p>
            <w:pPr>
              <w:ind w:left="60"/>
              <w:spacing w:after="0"/>
              <w:rPr>
                <w:sz w:val="20"/>
                <w:szCs w:val="20"/>
                <w:color w:val="auto"/>
              </w:rPr>
            </w:pPr>
            <w:r>
              <w:rPr>
                <w:rFonts w:ascii="Arial" w:cs="Arial" w:eastAsia="Arial" w:hAnsi="Arial"/>
                <w:sz w:val="8"/>
                <w:szCs w:val="8"/>
                <w:color w:val="auto"/>
              </w:rPr>
              <w:t>$</w:t>
            </w:r>
          </w:p>
        </w:tc>
        <w:tc>
          <w:tcPr>
            <w:tcW w:w="740" w:type="dxa"/>
            <w:vAlign w:val="bottom"/>
          </w:tcPr>
          <w:p>
            <w:pPr>
              <w:jc w:val="right"/>
              <w:ind w:right="18"/>
              <w:spacing w:after="0"/>
              <w:rPr>
                <w:sz w:val="20"/>
                <w:szCs w:val="20"/>
                <w:color w:val="auto"/>
              </w:rPr>
            </w:pPr>
            <w:r>
              <w:rPr>
                <w:rFonts w:ascii="Arial" w:cs="Arial" w:eastAsia="Arial" w:hAnsi="Arial"/>
                <w:sz w:val="8"/>
                <w:szCs w:val="8"/>
                <w:color w:val="auto"/>
              </w:rPr>
              <w:t>7,236</w:t>
            </w:r>
          </w:p>
        </w:tc>
        <w:tc>
          <w:tcPr>
            <w:tcW w:w="160" w:type="dxa"/>
            <w:vAlign w:val="bottom"/>
          </w:tcPr>
          <w:p>
            <w:pPr>
              <w:spacing w:after="0"/>
              <w:rPr>
                <w:sz w:val="14"/>
                <w:szCs w:val="14"/>
                <w:color w:val="auto"/>
              </w:rPr>
            </w:pPr>
          </w:p>
        </w:tc>
        <w:tc>
          <w:tcPr>
            <w:tcW w:w="50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60" w:type="dxa"/>
            <w:vAlign w:val="bottom"/>
          </w:tcPr>
          <w:p>
            <w:pPr>
              <w:jc w:val="right"/>
              <w:ind w:right="17"/>
              <w:spacing w:after="0"/>
              <w:rPr>
                <w:sz w:val="20"/>
                <w:szCs w:val="20"/>
                <w:color w:val="auto"/>
              </w:rPr>
            </w:pPr>
            <w:r>
              <w:rPr>
                <w:rFonts w:ascii="Arial" w:cs="Arial" w:eastAsia="Arial" w:hAnsi="Arial"/>
                <w:sz w:val="8"/>
                <w:szCs w:val="8"/>
                <w:color w:val="auto"/>
              </w:rPr>
              <w:t>$</w:t>
            </w:r>
          </w:p>
        </w:tc>
        <w:tc>
          <w:tcPr>
            <w:tcW w:w="960" w:type="dxa"/>
            <w:vAlign w:val="bottom"/>
          </w:tcPr>
          <w:p>
            <w:pPr>
              <w:jc w:val="right"/>
              <w:ind w:right="17"/>
              <w:spacing w:after="0"/>
              <w:rPr>
                <w:sz w:val="20"/>
                <w:szCs w:val="20"/>
                <w:color w:val="auto"/>
              </w:rPr>
            </w:pPr>
            <w:r>
              <w:rPr>
                <w:rFonts w:ascii="Arial" w:cs="Arial" w:eastAsia="Arial" w:hAnsi="Arial"/>
                <w:sz w:val="8"/>
                <w:szCs w:val="8"/>
                <w:color w:val="auto"/>
              </w:rPr>
              <w:t>511,337</w:t>
            </w:r>
          </w:p>
        </w:tc>
      </w:tr>
      <w:tr>
        <w:trPr>
          <w:trHeight w:val="66"/>
        </w:trPr>
        <w:tc>
          <w:tcPr>
            <w:tcW w:w="800" w:type="dxa"/>
            <w:vAlign w:val="bottom"/>
            <w:tcBorders>
              <w:bottom w:val="single" w:sz="8" w:color="009BDE"/>
            </w:tcBorders>
          </w:tcPr>
          <w:p>
            <w:pPr>
              <w:spacing w:after="0"/>
              <w:rPr>
                <w:sz w:val="5"/>
                <w:szCs w:val="5"/>
                <w:color w:val="auto"/>
              </w:rPr>
            </w:pPr>
          </w:p>
        </w:tc>
        <w:tc>
          <w:tcPr>
            <w:tcW w:w="162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72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74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r>
      <w:tr>
        <w:trPr>
          <w:trHeight w:val="84"/>
        </w:trPr>
        <w:tc>
          <w:tcPr>
            <w:tcW w:w="800" w:type="dxa"/>
            <w:vAlign w:val="bottom"/>
          </w:tcPr>
          <w:p>
            <w:pPr>
              <w:ind w:left="40"/>
              <w:spacing w:after="0" w:line="84" w:lineRule="exact"/>
              <w:rPr>
                <w:sz w:val="20"/>
                <w:szCs w:val="20"/>
                <w:color w:val="auto"/>
              </w:rPr>
            </w:pPr>
            <w:r>
              <w:rPr>
                <w:rFonts w:ascii="Arial" w:cs="Arial" w:eastAsia="Arial" w:hAnsi="Arial"/>
                <w:sz w:val="8"/>
                <w:szCs w:val="8"/>
                <w:color w:val="auto"/>
              </w:rPr>
              <w:t>Deborah Thomas</w:t>
            </w:r>
          </w:p>
        </w:tc>
        <w:tc>
          <w:tcPr>
            <w:tcW w:w="1620" w:type="dxa"/>
            <w:vAlign w:val="bottom"/>
          </w:tcPr>
          <w:p>
            <w:pPr>
              <w:spacing w:after="0" w:line="84" w:lineRule="exact"/>
              <w:rPr>
                <w:sz w:val="20"/>
                <w:szCs w:val="20"/>
                <w:color w:val="auto"/>
              </w:rPr>
            </w:pPr>
            <w:r>
              <w:rPr>
                <w:rFonts w:ascii="Arial" w:cs="Arial" w:eastAsia="Arial" w:hAnsi="Arial"/>
                <w:sz w:val="8"/>
                <w:szCs w:val="8"/>
                <w:color w:val="auto"/>
              </w:rPr>
              <w:t>Non-Qualified Deferred</w:t>
            </w: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109"/>
        </w:trPr>
        <w:tc>
          <w:tcPr>
            <w:tcW w:w="800" w:type="dxa"/>
            <w:vAlign w:val="bottom"/>
          </w:tcPr>
          <w:p>
            <w:pPr>
              <w:spacing w:after="0"/>
              <w:rPr>
                <w:sz w:val="9"/>
                <w:szCs w:val="9"/>
                <w:color w:val="auto"/>
              </w:rPr>
            </w:pPr>
          </w:p>
        </w:tc>
        <w:tc>
          <w:tcPr>
            <w:tcW w:w="1620" w:type="dxa"/>
            <w:vAlign w:val="bottom"/>
          </w:tcPr>
          <w:p>
            <w:pPr>
              <w:spacing w:after="0"/>
              <w:rPr>
                <w:sz w:val="20"/>
                <w:szCs w:val="20"/>
                <w:color w:val="auto"/>
              </w:rPr>
            </w:pPr>
            <w:r>
              <w:rPr>
                <w:rFonts w:ascii="Arial" w:cs="Arial" w:eastAsia="Arial" w:hAnsi="Arial"/>
                <w:sz w:val="8"/>
                <w:szCs w:val="8"/>
                <w:color w:val="auto"/>
              </w:rPr>
              <w:t>Compensation Plan</w:t>
            </w:r>
          </w:p>
        </w:tc>
        <w:tc>
          <w:tcPr>
            <w:tcW w:w="500" w:type="dxa"/>
            <w:vAlign w:val="bottom"/>
          </w:tcPr>
          <w:p>
            <w:pPr>
              <w:spacing w:after="0"/>
              <w:rPr>
                <w:sz w:val="9"/>
                <w:szCs w:val="9"/>
                <w:color w:val="auto"/>
              </w:rPr>
            </w:pPr>
          </w:p>
        </w:tc>
        <w:tc>
          <w:tcPr>
            <w:tcW w:w="860" w:type="dxa"/>
            <w:vAlign w:val="bottom"/>
          </w:tcPr>
          <w:p>
            <w:pPr>
              <w:jc w:val="right"/>
              <w:ind w:right="17"/>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ind w:left="60"/>
              <w:spacing w:after="0"/>
              <w:rPr>
                <w:sz w:val="20"/>
                <w:szCs w:val="20"/>
                <w:color w:val="auto"/>
              </w:rPr>
            </w:pPr>
            <w:r>
              <w:rPr>
                <w:rFonts w:ascii="Arial" w:cs="Arial" w:eastAsia="Arial" w:hAnsi="Arial"/>
                <w:sz w:val="8"/>
                <w:szCs w:val="8"/>
                <w:color w:val="auto"/>
              </w:rPr>
              <w:t>($</w:t>
            </w:r>
          </w:p>
        </w:tc>
        <w:tc>
          <w:tcPr>
            <w:tcW w:w="740" w:type="dxa"/>
            <w:vAlign w:val="bottom"/>
          </w:tcPr>
          <w:p>
            <w:pPr>
              <w:jc w:val="right"/>
              <w:spacing w:after="0"/>
              <w:rPr>
                <w:sz w:val="20"/>
                <w:szCs w:val="20"/>
                <w:color w:val="auto"/>
              </w:rPr>
            </w:pPr>
            <w:r>
              <w:rPr>
                <w:rFonts w:ascii="Arial" w:cs="Arial" w:eastAsia="Arial" w:hAnsi="Arial"/>
                <w:sz w:val="8"/>
                <w:szCs w:val="8"/>
                <w:color w:val="auto"/>
              </w:rPr>
              <w:t>180,220)</w:t>
            </w:r>
          </w:p>
        </w:tc>
        <w:tc>
          <w:tcPr>
            <w:tcW w:w="160" w:type="dxa"/>
            <w:vAlign w:val="bottom"/>
          </w:tcPr>
          <w:p>
            <w:pPr>
              <w:spacing w:after="0"/>
              <w:rPr>
                <w:sz w:val="9"/>
                <w:szCs w:val="9"/>
                <w:color w:val="auto"/>
              </w:rPr>
            </w:pPr>
          </w:p>
        </w:tc>
        <w:tc>
          <w:tcPr>
            <w:tcW w:w="50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60" w:type="dxa"/>
            <w:vAlign w:val="bottom"/>
          </w:tcPr>
          <w:p>
            <w:pPr>
              <w:jc w:val="right"/>
              <w:ind w:right="17"/>
              <w:spacing w:after="0"/>
              <w:rPr>
                <w:sz w:val="20"/>
                <w:szCs w:val="20"/>
                <w:color w:val="auto"/>
              </w:rPr>
            </w:pPr>
            <w:r>
              <w:rPr>
                <w:rFonts w:ascii="Arial" w:cs="Arial" w:eastAsia="Arial" w:hAnsi="Arial"/>
                <w:sz w:val="8"/>
                <w:szCs w:val="8"/>
                <w:color w:val="auto"/>
              </w:rPr>
              <w:t>$</w:t>
            </w:r>
          </w:p>
        </w:tc>
        <w:tc>
          <w:tcPr>
            <w:tcW w:w="960" w:type="dxa"/>
            <w:vAlign w:val="bottom"/>
          </w:tcPr>
          <w:p>
            <w:pPr>
              <w:jc w:val="right"/>
              <w:ind w:right="17"/>
              <w:spacing w:after="0"/>
              <w:rPr>
                <w:sz w:val="20"/>
                <w:szCs w:val="20"/>
                <w:color w:val="auto"/>
              </w:rPr>
            </w:pPr>
            <w:r>
              <w:rPr>
                <w:rFonts w:ascii="Arial" w:cs="Arial" w:eastAsia="Arial" w:hAnsi="Arial"/>
                <w:sz w:val="8"/>
                <w:szCs w:val="8"/>
                <w:color w:val="auto"/>
              </w:rPr>
              <w:t>758,690</w:t>
            </w:r>
          </w:p>
        </w:tc>
      </w:tr>
      <w:tr>
        <w:trPr>
          <w:trHeight w:val="162"/>
        </w:trPr>
        <w:tc>
          <w:tcPr>
            <w:tcW w:w="80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8"/>
                <w:szCs w:val="8"/>
                <w:color w:val="auto"/>
              </w:rPr>
              <w:t>Supplemental Savings Plan</w:t>
            </w:r>
          </w:p>
        </w:tc>
        <w:tc>
          <w:tcPr>
            <w:tcW w:w="50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8"/>
                <w:szCs w:val="8"/>
                <w:color w:val="auto"/>
              </w:rPr>
              <w:t>—</w:t>
            </w:r>
          </w:p>
        </w:tc>
        <w:tc>
          <w:tcPr>
            <w:tcW w:w="140" w:type="dxa"/>
            <w:vAlign w:val="bottom"/>
          </w:tcPr>
          <w:p>
            <w:pPr>
              <w:ind w:left="40"/>
              <w:spacing w:after="0"/>
              <w:rPr>
                <w:sz w:val="20"/>
                <w:szCs w:val="20"/>
                <w:color w:val="auto"/>
              </w:rPr>
            </w:pPr>
            <w:r>
              <w:rPr>
                <w:rFonts w:ascii="Arial" w:cs="Arial" w:eastAsia="Arial" w:hAnsi="Arial"/>
                <w:sz w:val="8"/>
                <w:szCs w:val="8"/>
                <w:color w:val="auto"/>
              </w:rPr>
              <w:t>$</w:t>
            </w:r>
          </w:p>
        </w:tc>
        <w:tc>
          <w:tcPr>
            <w:tcW w:w="720" w:type="dxa"/>
            <w:vAlign w:val="bottom"/>
          </w:tcPr>
          <w:p>
            <w:pPr>
              <w:jc w:val="right"/>
              <w:spacing w:after="0"/>
              <w:rPr>
                <w:sz w:val="20"/>
                <w:szCs w:val="20"/>
                <w:color w:val="auto"/>
              </w:rPr>
            </w:pPr>
            <w:r>
              <w:rPr>
                <w:rFonts w:ascii="Arial" w:cs="Arial" w:eastAsia="Arial" w:hAnsi="Arial"/>
                <w:sz w:val="8"/>
                <w:szCs w:val="8"/>
                <w:color w:val="auto"/>
              </w:rPr>
              <w:t>224,412</w:t>
            </w:r>
          </w:p>
        </w:tc>
        <w:tc>
          <w:tcPr>
            <w:tcW w:w="180" w:type="dxa"/>
            <w:vAlign w:val="bottom"/>
          </w:tcPr>
          <w:p>
            <w:pPr>
              <w:ind w:left="60"/>
              <w:spacing w:after="0"/>
              <w:rPr>
                <w:sz w:val="20"/>
                <w:szCs w:val="20"/>
                <w:color w:val="auto"/>
              </w:rPr>
            </w:pPr>
            <w:r>
              <w:rPr>
                <w:rFonts w:ascii="Arial" w:cs="Arial" w:eastAsia="Arial" w:hAnsi="Arial"/>
                <w:sz w:val="8"/>
                <w:szCs w:val="8"/>
                <w:color w:val="auto"/>
              </w:rPr>
              <w:t>$</w:t>
            </w:r>
          </w:p>
        </w:tc>
        <w:tc>
          <w:tcPr>
            <w:tcW w:w="740" w:type="dxa"/>
            <w:vAlign w:val="bottom"/>
          </w:tcPr>
          <w:p>
            <w:pPr>
              <w:jc w:val="right"/>
              <w:ind w:right="18"/>
              <w:spacing w:after="0"/>
              <w:rPr>
                <w:sz w:val="20"/>
                <w:szCs w:val="20"/>
                <w:color w:val="auto"/>
              </w:rPr>
            </w:pPr>
            <w:r>
              <w:rPr>
                <w:rFonts w:ascii="Arial" w:cs="Arial" w:eastAsia="Arial" w:hAnsi="Arial"/>
                <w:sz w:val="8"/>
                <w:szCs w:val="8"/>
                <w:color w:val="auto"/>
              </w:rPr>
              <w:t>42,690</w:t>
            </w:r>
          </w:p>
        </w:tc>
        <w:tc>
          <w:tcPr>
            <w:tcW w:w="160" w:type="dxa"/>
            <w:vAlign w:val="bottom"/>
          </w:tcPr>
          <w:p>
            <w:pPr>
              <w:spacing w:after="0"/>
              <w:rPr>
                <w:sz w:val="14"/>
                <w:szCs w:val="14"/>
                <w:color w:val="auto"/>
              </w:rPr>
            </w:pPr>
          </w:p>
        </w:tc>
        <w:tc>
          <w:tcPr>
            <w:tcW w:w="50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60" w:type="dxa"/>
            <w:vAlign w:val="bottom"/>
          </w:tcPr>
          <w:p>
            <w:pPr>
              <w:jc w:val="right"/>
              <w:ind w:right="17"/>
              <w:spacing w:after="0"/>
              <w:rPr>
                <w:sz w:val="20"/>
                <w:szCs w:val="20"/>
                <w:color w:val="auto"/>
              </w:rPr>
            </w:pPr>
            <w:r>
              <w:rPr>
                <w:rFonts w:ascii="Arial" w:cs="Arial" w:eastAsia="Arial" w:hAnsi="Arial"/>
                <w:sz w:val="8"/>
                <w:szCs w:val="8"/>
                <w:color w:val="auto"/>
              </w:rPr>
              <w:t>$</w:t>
            </w:r>
          </w:p>
        </w:tc>
        <w:tc>
          <w:tcPr>
            <w:tcW w:w="960" w:type="dxa"/>
            <w:vAlign w:val="bottom"/>
          </w:tcPr>
          <w:p>
            <w:pPr>
              <w:jc w:val="right"/>
              <w:ind w:right="17"/>
              <w:spacing w:after="0"/>
              <w:rPr>
                <w:sz w:val="20"/>
                <w:szCs w:val="20"/>
                <w:color w:val="auto"/>
              </w:rPr>
            </w:pPr>
            <w:r>
              <w:rPr>
                <w:rFonts w:ascii="Arial" w:cs="Arial" w:eastAsia="Arial" w:hAnsi="Arial"/>
                <w:sz w:val="8"/>
                <w:szCs w:val="8"/>
                <w:color w:val="auto"/>
              </w:rPr>
              <w:t>1,931,471</w:t>
            </w:r>
          </w:p>
        </w:tc>
      </w:tr>
      <w:tr>
        <w:trPr>
          <w:trHeight w:val="66"/>
        </w:trPr>
        <w:tc>
          <w:tcPr>
            <w:tcW w:w="800" w:type="dxa"/>
            <w:vAlign w:val="bottom"/>
            <w:tcBorders>
              <w:bottom w:val="single" w:sz="8" w:color="009BDE"/>
            </w:tcBorders>
          </w:tcPr>
          <w:p>
            <w:pPr>
              <w:spacing w:after="0"/>
              <w:rPr>
                <w:sz w:val="5"/>
                <w:szCs w:val="5"/>
                <w:color w:val="auto"/>
              </w:rPr>
            </w:pPr>
          </w:p>
        </w:tc>
        <w:tc>
          <w:tcPr>
            <w:tcW w:w="162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72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74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r>
      <w:tr>
        <w:trPr>
          <w:trHeight w:val="84"/>
        </w:trPr>
        <w:tc>
          <w:tcPr>
            <w:tcW w:w="800" w:type="dxa"/>
            <w:vAlign w:val="bottom"/>
          </w:tcPr>
          <w:p>
            <w:pPr>
              <w:ind w:left="40"/>
              <w:spacing w:after="0" w:line="84" w:lineRule="exact"/>
              <w:rPr>
                <w:sz w:val="20"/>
                <w:szCs w:val="20"/>
                <w:color w:val="auto"/>
              </w:rPr>
            </w:pPr>
            <w:r>
              <w:rPr>
                <w:rFonts w:ascii="Arial" w:cs="Arial" w:eastAsia="Arial" w:hAnsi="Arial"/>
                <w:sz w:val="8"/>
                <w:szCs w:val="8"/>
                <w:color w:val="auto"/>
              </w:rPr>
              <w:t>Cynthia Williams</w:t>
            </w:r>
          </w:p>
        </w:tc>
        <w:tc>
          <w:tcPr>
            <w:tcW w:w="1620" w:type="dxa"/>
            <w:vAlign w:val="bottom"/>
          </w:tcPr>
          <w:p>
            <w:pPr>
              <w:spacing w:after="0" w:line="84" w:lineRule="exact"/>
              <w:rPr>
                <w:sz w:val="20"/>
                <w:szCs w:val="20"/>
                <w:color w:val="auto"/>
              </w:rPr>
            </w:pPr>
            <w:r>
              <w:rPr>
                <w:rFonts w:ascii="Arial" w:cs="Arial" w:eastAsia="Arial" w:hAnsi="Arial"/>
                <w:sz w:val="8"/>
                <w:szCs w:val="8"/>
                <w:color w:val="auto"/>
              </w:rPr>
              <w:t>Non-Qualified Deferred</w:t>
            </w: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109"/>
        </w:trPr>
        <w:tc>
          <w:tcPr>
            <w:tcW w:w="800" w:type="dxa"/>
            <w:vAlign w:val="bottom"/>
          </w:tcPr>
          <w:p>
            <w:pPr>
              <w:spacing w:after="0"/>
              <w:rPr>
                <w:sz w:val="9"/>
                <w:szCs w:val="9"/>
                <w:color w:val="auto"/>
              </w:rPr>
            </w:pPr>
          </w:p>
        </w:tc>
        <w:tc>
          <w:tcPr>
            <w:tcW w:w="1620" w:type="dxa"/>
            <w:vAlign w:val="bottom"/>
          </w:tcPr>
          <w:p>
            <w:pPr>
              <w:spacing w:after="0"/>
              <w:rPr>
                <w:sz w:val="20"/>
                <w:szCs w:val="20"/>
                <w:color w:val="auto"/>
              </w:rPr>
            </w:pPr>
            <w:r>
              <w:rPr>
                <w:rFonts w:ascii="Arial" w:cs="Arial" w:eastAsia="Arial" w:hAnsi="Arial"/>
                <w:sz w:val="8"/>
                <w:szCs w:val="8"/>
                <w:color w:val="auto"/>
              </w:rPr>
              <w:t>Compensation Plan</w:t>
            </w:r>
          </w:p>
        </w:tc>
        <w:tc>
          <w:tcPr>
            <w:tcW w:w="500" w:type="dxa"/>
            <w:vAlign w:val="bottom"/>
          </w:tcPr>
          <w:p>
            <w:pPr>
              <w:jc w:val="right"/>
              <w:spacing w:after="0"/>
              <w:rPr>
                <w:sz w:val="20"/>
                <w:szCs w:val="20"/>
                <w:color w:val="auto"/>
              </w:rPr>
            </w:pPr>
            <w:r>
              <w:rPr>
                <w:rFonts w:ascii="Arial" w:cs="Arial" w:eastAsia="Arial" w:hAnsi="Arial"/>
                <w:sz w:val="8"/>
                <w:szCs w:val="8"/>
                <w:color w:val="auto"/>
              </w:rPr>
              <w:t>$</w:t>
            </w:r>
          </w:p>
        </w:tc>
        <w:tc>
          <w:tcPr>
            <w:tcW w:w="860" w:type="dxa"/>
            <w:vAlign w:val="bottom"/>
          </w:tcPr>
          <w:p>
            <w:pPr>
              <w:jc w:val="right"/>
              <w:ind w:right="17"/>
              <w:spacing w:after="0"/>
              <w:rPr>
                <w:sz w:val="20"/>
                <w:szCs w:val="20"/>
                <w:color w:val="auto"/>
              </w:rPr>
            </w:pPr>
            <w:r>
              <w:rPr>
                <w:rFonts w:ascii="Arial" w:cs="Arial" w:eastAsia="Arial" w:hAnsi="Arial"/>
                <w:sz w:val="8"/>
                <w:szCs w:val="8"/>
                <w:color w:val="auto"/>
              </w:rPr>
              <w:t>145,385</w:t>
            </w:r>
          </w:p>
        </w:tc>
        <w:tc>
          <w:tcPr>
            <w:tcW w:w="14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ind w:left="60"/>
              <w:spacing w:after="0"/>
              <w:rPr>
                <w:sz w:val="20"/>
                <w:szCs w:val="20"/>
                <w:color w:val="auto"/>
              </w:rPr>
            </w:pPr>
            <w:r>
              <w:rPr>
                <w:rFonts w:ascii="Arial" w:cs="Arial" w:eastAsia="Arial" w:hAnsi="Arial"/>
                <w:sz w:val="8"/>
                <w:szCs w:val="8"/>
                <w:color w:val="auto"/>
              </w:rPr>
              <w:t>($</w:t>
            </w:r>
          </w:p>
        </w:tc>
        <w:tc>
          <w:tcPr>
            <w:tcW w:w="740" w:type="dxa"/>
            <w:vAlign w:val="bottom"/>
          </w:tcPr>
          <w:p>
            <w:pPr>
              <w:jc w:val="right"/>
              <w:spacing w:after="0"/>
              <w:rPr>
                <w:sz w:val="20"/>
                <w:szCs w:val="20"/>
                <w:color w:val="auto"/>
              </w:rPr>
            </w:pPr>
            <w:r>
              <w:rPr>
                <w:rFonts w:ascii="Arial" w:cs="Arial" w:eastAsia="Arial" w:hAnsi="Arial"/>
                <w:sz w:val="8"/>
                <w:szCs w:val="8"/>
                <w:color w:val="auto"/>
              </w:rPr>
              <w:t>7,521)</w:t>
            </w:r>
          </w:p>
        </w:tc>
        <w:tc>
          <w:tcPr>
            <w:tcW w:w="160" w:type="dxa"/>
            <w:vAlign w:val="bottom"/>
          </w:tcPr>
          <w:p>
            <w:pPr>
              <w:spacing w:after="0"/>
              <w:rPr>
                <w:sz w:val="9"/>
                <w:szCs w:val="9"/>
                <w:color w:val="auto"/>
              </w:rPr>
            </w:pPr>
          </w:p>
        </w:tc>
        <w:tc>
          <w:tcPr>
            <w:tcW w:w="50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60" w:type="dxa"/>
            <w:vAlign w:val="bottom"/>
          </w:tcPr>
          <w:p>
            <w:pPr>
              <w:jc w:val="right"/>
              <w:ind w:right="17"/>
              <w:spacing w:after="0"/>
              <w:rPr>
                <w:sz w:val="20"/>
                <w:szCs w:val="20"/>
                <w:color w:val="auto"/>
              </w:rPr>
            </w:pPr>
            <w:r>
              <w:rPr>
                <w:rFonts w:ascii="Arial" w:cs="Arial" w:eastAsia="Arial" w:hAnsi="Arial"/>
                <w:sz w:val="8"/>
                <w:szCs w:val="8"/>
                <w:color w:val="auto"/>
              </w:rPr>
              <w:t>$</w:t>
            </w:r>
          </w:p>
        </w:tc>
        <w:tc>
          <w:tcPr>
            <w:tcW w:w="960" w:type="dxa"/>
            <w:vAlign w:val="bottom"/>
          </w:tcPr>
          <w:p>
            <w:pPr>
              <w:jc w:val="right"/>
              <w:ind w:right="17"/>
              <w:spacing w:after="0"/>
              <w:rPr>
                <w:sz w:val="20"/>
                <w:szCs w:val="20"/>
                <w:color w:val="auto"/>
              </w:rPr>
            </w:pPr>
            <w:r>
              <w:rPr>
                <w:rFonts w:ascii="Arial" w:cs="Arial" w:eastAsia="Arial" w:hAnsi="Arial"/>
                <w:sz w:val="8"/>
                <w:szCs w:val="8"/>
                <w:color w:val="auto"/>
              </w:rPr>
              <w:t>137,842</w:t>
            </w:r>
          </w:p>
        </w:tc>
      </w:tr>
      <w:tr>
        <w:trPr>
          <w:trHeight w:val="162"/>
        </w:trPr>
        <w:tc>
          <w:tcPr>
            <w:tcW w:w="80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8"/>
                <w:szCs w:val="8"/>
                <w:color w:val="auto"/>
              </w:rPr>
              <w:t>Supplemental Savings Plan</w:t>
            </w:r>
          </w:p>
        </w:tc>
        <w:tc>
          <w:tcPr>
            <w:tcW w:w="50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8"/>
                <w:szCs w:val="8"/>
                <w:color w:val="auto"/>
              </w:rPr>
              <w:t>—</w:t>
            </w:r>
          </w:p>
        </w:tc>
        <w:tc>
          <w:tcPr>
            <w:tcW w:w="140" w:type="dxa"/>
            <w:vAlign w:val="bottom"/>
          </w:tcPr>
          <w:p>
            <w:pPr>
              <w:ind w:left="40"/>
              <w:spacing w:after="0"/>
              <w:rPr>
                <w:sz w:val="20"/>
                <w:szCs w:val="20"/>
                <w:color w:val="auto"/>
              </w:rPr>
            </w:pPr>
            <w:r>
              <w:rPr>
                <w:rFonts w:ascii="Arial" w:cs="Arial" w:eastAsia="Arial" w:hAnsi="Arial"/>
                <w:sz w:val="8"/>
                <w:szCs w:val="8"/>
                <w:color w:val="auto"/>
              </w:rPr>
              <w:t>$</w:t>
            </w:r>
          </w:p>
        </w:tc>
        <w:tc>
          <w:tcPr>
            <w:tcW w:w="720" w:type="dxa"/>
            <w:vAlign w:val="bottom"/>
          </w:tcPr>
          <w:p>
            <w:pPr>
              <w:jc w:val="right"/>
              <w:spacing w:after="0"/>
              <w:rPr>
                <w:sz w:val="20"/>
                <w:szCs w:val="20"/>
                <w:color w:val="auto"/>
              </w:rPr>
            </w:pPr>
            <w:r>
              <w:rPr>
                <w:rFonts w:ascii="Arial" w:cs="Arial" w:eastAsia="Arial" w:hAnsi="Arial"/>
                <w:sz w:val="8"/>
                <w:szCs w:val="8"/>
                <w:color w:val="auto"/>
              </w:rPr>
              <w:t>25,836</w:t>
            </w:r>
          </w:p>
        </w:tc>
        <w:tc>
          <w:tcPr>
            <w:tcW w:w="180" w:type="dxa"/>
            <w:vAlign w:val="bottom"/>
          </w:tcPr>
          <w:p>
            <w:pPr>
              <w:spacing w:after="0"/>
              <w:rPr>
                <w:sz w:val="14"/>
                <w:szCs w:val="14"/>
                <w:color w:val="auto"/>
              </w:rPr>
            </w:pPr>
          </w:p>
        </w:tc>
        <w:tc>
          <w:tcPr>
            <w:tcW w:w="74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4"/>
                <w:szCs w:val="14"/>
                <w:color w:val="auto"/>
              </w:rPr>
            </w:pPr>
          </w:p>
        </w:tc>
        <w:tc>
          <w:tcPr>
            <w:tcW w:w="50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60" w:type="dxa"/>
            <w:vAlign w:val="bottom"/>
          </w:tcPr>
          <w:p>
            <w:pPr>
              <w:jc w:val="right"/>
              <w:ind w:right="17"/>
              <w:spacing w:after="0"/>
              <w:rPr>
                <w:sz w:val="20"/>
                <w:szCs w:val="20"/>
                <w:color w:val="auto"/>
              </w:rPr>
            </w:pPr>
            <w:r>
              <w:rPr>
                <w:rFonts w:ascii="Arial" w:cs="Arial" w:eastAsia="Arial" w:hAnsi="Arial"/>
                <w:sz w:val="8"/>
                <w:szCs w:val="8"/>
                <w:color w:val="auto"/>
              </w:rPr>
              <w:t>$</w:t>
            </w:r>
          </w:p>
        </w:tc>
        <w:tc>
          <w:tcPr>
            <w:tcW w:w="960" w:type="dxa"/>
            <w:vAlign w:val="bottom"/>
          </w:tcPr>
          <w:p>
            <w:pPr>
              <w:jc w:val="right"/>
              <w:ind w:right="17"/>
              <w:spacing w:after="0"/>
              <w:rPr>
                <w:sz w:val="20"/>
                <w:szCs w:val="20"/>
                <w:color w:val="auto"/>
              </w:rPr>
            </w:pPr>
            <w:r>
              <w:rPr>
                <w:rFonts w:ascii="Arial" w:cs="Arial" w:eastAsia="Arial" w:hAnsi="Arial"/>
                <w:sz w:val="8"/>
                <w:szCs w:val="8"/>
                <w:color w:val="auto"/>
              </w:rPr>
              <w:t>25,836</w:t>
            </w:r>
          </w:p>
        </w:tc>
      </w:tr>
      <w:tr>
        <w:trPr>
          <w:trHeight w:val="66"/>
        </w:trPr>
        <w:tc>
          <w:tcPr>
            <w:tcW w:w="800" w:type="dxa"/>
            <w:vAlign w:val="bottom"/>
            <w:tcBorders>
              <w:bottom w:val="single" w:sz="8" w:color="009BDE"/>
            </w:tcBorders>
          </w:tcPr>
          <w:p>
            <w:pPr>
              <w:spacing w:after="0"/>
              <w:rPr>
                <w:sz w:val="5"/>
                <w:szCs w:val="5"/>
                <w:color w:val="auto"/>
              </w:rPr>
            </w:pPr>
          </w:p>
        </w:tc>
        <w:tc>
          <w:tcPr>
            <w:tcW w:w="162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72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74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r>
      <w:tr>
        <w:trPr>
          <w:trHeight w:val="84"/>
        </w:trPr>
        <w:tc>
          <w:tcPr>
            <w:tcW w:w="800" w:type="dxa"/>
            <w:vAlign w:val="bottom"/>
          </w:tcPr>
          <w:p>
            <w:pPr>
              <w:ind w:left="40"/>
              <w:spacing w:after="0" w:line="84" w:lineRule="exact"/>
              <w:rPr>
                <w:sz w:val="20"/>
                <w:szCs w:val="20"/>
                <w:color w:val="auto"/>
              </w:rPr>
            </w:pPr>
            <w:r>
              <w:rPr>
                <w:rFonts w:ascii="Arial" w:cs="Arial" w:eastAsia="Arial" w:hAnsi="Arial"/>
                <w:sz w:val="8"/>
                <w:szCs w:val="8"/>
                <w:color w:val="auto"/>
              </w:rPr>
              <w:t>Eric Nyman</w:t>
            </w:r>
          </w:p>
        </w:tc>
        <w:tc>
          <w:tcPr>
            <w:tcW w:w="1620" w:type="dxa"/>
            <w:vAlign w:val="bottom"/>
          </w:tcPr>
          <w:p>
            <w:pPr>
              <w:spacing w:after="0" w:line="84" w:lineRule="exact"/>
              <w:rPr>
                <w:sz w:val="20"/>
                <w:szCs w:val="20"/>
                <w:color w:val="auto"/>
              </w:rPr>
            </w:pPr>
            <w:r>
              <w:rPr>
                <w:rFonts w:ascii="Arial" w:cs="Arial" w:eastAsia="Arial" w:hAnsi="Arial"/>
                <w:sz w:val="8"/>
                <w:szCs w:val="8"/>
                <w:color w:val="auto"/>
              </w:rPr>
              <w:t>Non-Qualified Deferred</w:t>
            </w: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109"/>
        </w:trPr>
        <w:tc>
          <w:tcPr>
            <w:tcW w:w="800" w:type="dxa"/>
            <w:vAlign w:val="bottom"/>
          </w:tcPr>
          <w:p>
            <w:pPr>
              <w:spacing w:after="0"/>
              <w:rPr>
                <w:sz w:val="9"/>
                <w:szCs w:val="9"/>
                <w:color w:val="auto"/>
              </w:rPr>
            </w:pPr>
          </w:p>
        </w:tc>
        <w:tc>
          <w:tcPr>
            <w:tcW w:w="1620" w:type="dxa"/>
            <w:vAlign w:val="bottom"/>
          </w:tcPr>
          <w:p>
            <w:pPr>
              <w:spacing w:after="0"/>
              <w:rPr>
                <w:sz w:val="20"/>
                <w:szCs w:val="20"/>
                <w:color w:val="auto"/>
              </w:rPr>
            </w:pPr>
            <w:r>
              <w:rPr>
                <w:rFonts w:ascii="Arial" w:cs="Arial" w:eastAsia="Arial" w:hAnsi="Arial"/>
                <w:sz w:val="8"/>
                <w:szCs w:val="8"/>
                <w:color w:val="auto"/>
              </w:rPr>
              <w:t>Compensation Plan</w:t>
            </w:r>
          </w:p>
        </w:tc>
        <w:tc>
          <w:tcPr>
            <w:tcW w:w="500" w:type="dxa"/>
            <w:vAlign w:val="bottom"/>
          </w:tcPr>
          <w:p>
            <w:pPr>
              <w:spacing w:after="0"/>
              <w:rPr>
                <w:sz w:val="9"/>
                <w:szCs w:val="9"/>
                <w:color w:val="auto"/>
              </w:rPr>
            </w:pPr>
          </w:p>
        </w:tc>
        <w:tc>
          <w:tcPr>
            <w:tcW w:w="860" w:type="dxa"/>
            <w:vAlign w:val="bottom"/>
          </w:tcPr>
          <w:p>
            <w:pPr>
              <w:jc w:val="right"/>
              <w:ind w:right="17"/>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74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50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960" w:type="dxa"/>
            <w:vAlign w:val="bottom"/>
          </w:tcPr>
          <w:p>
            <w:pPr>
              <w:jc w:val="right"/>
              <w:ind w:right="17"/>
              <w:spacing w:after="0"/>
              <w:rPr>
                <w:sz w:val="20"/>
                <w:szCs w:val="20"/>
                <w:color w:val="auto"/>
              </w:rPr>
            </w:pPr>
            <w:r>
              <w:rPr>
                <w:rFonts w:ascii="Arial" w:cs="Arial" w:eastAsia="Arial" w:hAnsi="Arial"/>
                <w:sz w:val="8"/>
                <w:szCs w:val="8"/>
                <w:color w:val="auto"/>
              </w:rPr>
              <w:t>—</w:t>
            </w:r>
          </w:p>
        </w:tc>
      </w:tr>
      <w:tr>
        <w:trPr>
          <w:trHeight w:val="162"/>
        </w:trPr>
        <w:tc>
          <w:tcPr>
            <w:tcW w:w="80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8"/>
                <w:szCs w:val="8"/>
                <w:color w:val="auto"/>
              </w:rPr>
              <w:t>Supplemental Savings Plan</w:t>
            </w:r>
          </w:p>
        </w:tc>
        <w:tc>
          <w:tcPr>
            <w:tcW w:w="50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8"/>
                <w:szCs w:val="8"/>
                <w:color w:val="auto"/>
              </w:rPr>
              <w:t>—</w:t>
            </w:r>
          </w:p>
        </w:tc>
        <w:tc>
          <w:tcPr>
            <w:tcW w:w="140" w:type="dxa"/>
            <w:vAlign w:val="bottom"/>
          </w:tcPr>
          <w:p>
            <w:pPr>
              <w:ind w:left="40"/>
              <w:spacing w:after="0"/>
              <w:rPr>
                <w:sz w:val="20"/>
                <w:szCs w:val="20"/>
                <w:color w:val="auto"/>
              </w:rPr>
            </w:pPr>
            <w:r>
              <w:rPr>
                <w:rFonts w:ascii="Arial" w:cs="Arial" w:eastAsia="Arial" w:hAnsi="Arial"/>
                <w:sz w:val="8"/>
                <w:szCs w:val="8"/>
                <w:color w:val="auto"/>
              </w:rPr>
              <w:t>$</w:t>
            </w:r>
          </w:p>
        </w:tc>
        <w:tc>
          <w:tcPr>
            <w:tcW w:w="720" w:type="dxa"/>
            <w:vAlign w:val="bottom"/>
          </w:tcPr>
          <w:p>
            <w:pPr>
              <w:jc w:val="right"/>
              <w:spacing w:after="0"/>
              <w:rPr>
                <w:sz w:val="20"/>
                <w:szCs w:val="20"/>
                <w:color w:val="auto"/>
              </w:rPr>
            </w:pPr>
            <w:r>
              <w:rPr>
                <w:rFonts w:ascii="Arial" w:cs="Arial" w:eastAsia="Arial" w:hAnsi="Arial"/>
                <w:sz w:val="8"/>
                <w:szCs w:val="8"/>
                <w:color w:val="auto"/>
              </w:rPr>
              <w:t>146,457</w:t>
            </w:r>
          </w:p>
        </w:tc>
        <w:tc>
          <w:tcPr>
            <w:tcW w:w="180" w:type="dxa"/>
            <w:vAlign w:val="bottom"/>
          </w:tcPr>
          <w:p>
            <w:pPr>
              <w:ind w:left="60"/>
              <w:spacing w:after="0"/>
              <w:rPr>
                <w:sz w:val="20"/>
                <w:szCs w:val="20"/>
                <w:color w:val="auto"/>
              </w:rPr>
            </w:pPr>
            <w:r>
              <w:rPr>
                <w:rFonts w:ascii="Arial" w:cs="Arial" w:eastAsia="Arial" w:hAnsi="Arial"/>
                <w:sz w:val="8"/>
                <w:szCs w:val="8"/>
                <w:color w:val="auto"/>
              </w:rPr>
              <w:t>$</w:t>
            </w:r>
          </w:p>
        </w:tc>
        <w:tc>
          <w:tcPr>
            <w:tcW w:w="740" w:type="dxa"/>
            <w:vAlign w:val="bottom"/>
          </w:tcPr>
          <w:p>
            <w:pPr>
              <w:jc w:val="right"/>
              <w:ind w:right="18"/>
              <w:spacing w:after="0"/>
              <w:rPr>
                <w:sz w:val="20"/>
                <w:szCs w:val="20"/>
                <w:color w:val="auto"/>
              </w:rPr>
            </w:pPr>
            <w:r>
              <w:rPr>
                <w:rFonts w:ascii="Arial" w:cs="Arial" w:eastAsia="Arial" w:hAnsi="Arial"/>
                <w:sz w:val="8"/>
                <w:szCs w:val="8"/>
                <w:color w:val="auto"/>
              </w:rPr>
              <w:t>13,884</w:t>
            </w:r>
          </w:p>
        </w:tc>
        <w:tc>
          <w:tcPr>
            <w:tcW w:w="160" w:type="dxa"/>
            <w:vAlign w:val="bottom"/>
          </w:tcPr>
          <w:p>
            <w:pPr>
              <w:spacing w:after="0"/>
              <w:rPr>
                <w:sz w:val="14"/>
                <w:szCs w:val="14"/>
                <w:color w:val="auto"/>
              </w:rPr>
            </w:pPr>
          </w:p>
        </w:tc>
        <w:tc>
          <w:tcPr>
            <w:tcW w:w="50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60" w:type="dxa"/>
            <w:vAlign w:val="bottom"/>
          </w:tcPr>
          <w:p>
            <w:pPr>
              <w:jc w:val="right"/>
              <w:ind w:right="17"/>
              <w:spacing w:after="0"/>
              <w:rPr>
                <w:sz w:val="20"/>
                <w:szCs w:val="20"/>
                <w:color w:val="auto"/>
              </w:rPr>
            </w:pPr>
            <w:r>
              <w:rPr>
                <w:rFonts w:ascii="Arial" w:cs="Arial" w:eastAsia="Arial" w:hAnsi="Arial"/>
                <w:sz w:val="8"/>
                <w:szCs w:val="8"/>
                <w:color w:val="auto"/>
              </w:rPr>
              <w:t>$</w:t>
            </w:r>
          </w:p>
        </w:tc>
        <w:tc>
          <w:tcPr>
            <w:tcW w:w="960" w:type="dxa"/>
            <w:vAlign w:val="bottom"/>
          </w:tcPr>
          <w:p>
            <w:pPr>
              <w:jc w:val="right"/>
              <w:ind w:right="17"/>
              <w:spacing w:after="0"/>
              <w:rPr>
                <w:sz w:val="20"/>
                <w:szCs w:val="20"/>
                <w:color w:val="auto"/>
              </w:rPr>
            </w:pPr>
            <w:r>
              <w:rPr>
                <w:rFonts w:ascii="Arial" w:cs="Arial" w:eastAsia="Arial" w:hAnsi="Arial"/>
                <w:sz w:val="8"/>
                <w:szCs w:val="8"/>
                <w:color w:val="auto"/>
              </w:rPr>
              <w:t>704,102</w:t>
            </w:r>
          </w:p>
        </w:tc>
      </w:tr>
      <w:tr>
        <w:trPr>
          <w:trHeight w:val="66"/>
        </w:trPr>
        <w:tc>
          <w:tcPr>
            <w:tcW w:w="800" w:type="dxa"/>
            <w:vAlign w:val="bottom"/>
            <w:tcBorders>
              <w:bottom w:val="single" w:sz="8" w:color="009BDE"/>
            </w:tcBorders>
          </w:tcPr>
          <w:p>
            <w:pPr>
              <w:spacing w:after="0"/>
              <w:rPr>
                <w:sz w:val="5"/>
                <w:szCs w:val="5"/>
                <w:color w:val="auto"/>
              </w:rPr>
            </w:pPr>
          </w:p>
        </w:tc>
        <w:tc>
          <w:tcPr>
            <w:tcW w:w="162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72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74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r>
      <w:tr>
        <w:trPr>
          <w:trHeight w:val="84"/>
        </w:trPr>
        <w:tc>
          <w:tcPr>
            <w:tcW w:w="800" w:type="dxa"/>
            <w:vAlign w:val="bottom"/>
          </w:tcPr>
          <w:p>
            <w:pPr>
              <w:ind w:left="40"/>
              <w:spacing w:after="0" w:line="84" w:lineRule="exact"/>
              <w:rPr>
                <w:sz w:val="20"/>
                <w:szCs w:val="20"/>
                <w:color w:val="auto"/>
              </w:rPr>
            </w:pPr>
            <w:r>
              <w:rPr>
                <w:rFonts w:ascii="Arial" w:cs="Arial" w:eastAsia="Arial" w:hAnsi="Arial"/>
                <w:sz w:val="8"/>
                <w:szCs w:val="8"/>
                <w:color w:val="auto"/>
              </w:rPr>
              <w:t>Darren Throop</w:t>
            </w:r>
          </w:p>
        </w:tc>
        <w:tc>
          <w:tcPr>
            <w:tcW w:w="1620" w:type="dxa"/>
            <w:vAlign w:val="bottom"/>
          </w:tcPr>
          <w:p>
            <w:pPr>
              <w:spacing w:after="0" w:line="84" w:lineRule="exact"/>
              <w:rPr>
                <w:sz w:val="20"/>
                <w:szCs w:val="20"/>
                <w:color w:val="auto"/>
              </w:rPr>
            </w:pPr>
            <w:r>
              <w:rPr>
                <w:rFonts w:ascii="Arial" w:cs="Arial" w:eastAsia="Arial" w:hAnsi="Arial"/>
                <w:sz w:val="8"/>
                <w:szCs w:val="8"/>
                <w:color w:val="auto"/>
              </w:rPr>
              <w:t>Non-Qualified Deferred</w:t>
            </w: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109"/>
        </w:trPr>
        <w:tc>
          <w:tcPr>
            <w:tcW w:w="800" w:type="dxa"/>
            <w:vAlign w:val="bottom"/>
          </w:tcPr>
          <w:p>
            <w:pPr>
              <w:spacing w:after="0"/>
              <w:rPr>
                <w:sz w:val="9"/>
                <w:szCs w:val="9"/>
                <w:color w:val="auto"/>
              </w:rPr>
            </w:pPr>
          </w:p>
        </w:tc>
        <w:tc>
          <w:tcPr>
            <w:tcW w:w="1620" w:type="dxa"/>
            <w:vAlign w:val="bottom"/>
          </w:tcPr>
          <w:p>
            <w:pPr>
              <w:spacing w:after="0"/>
              <w:rPr>
                <w:sz w:val="20"/>
                <w:szCs w:val="20"/>
                <w:color w:val="auto"/>
              </w:rPr>
            </w:pPr>
            <w:r>
              <w:rPr>
                <w:rFonts w:ascii="Arial" w:cs="Arial" w:eastAsia="Arial" w:hAnsi="Arial"/>
                <w:sz w:val="8"/>
                <w:szCs w:val="8"/>
                <w:color w:val="auto"/>
              </w:rPr>
              <w:t>Compensation Plan</w:t>
            </w:r>
          </w:p>
        </w:tc>
        <w:tc>
          <w:tcPr>
            <w:tcW w:w="500" w:type="dxa"/>
            <w:vAlign w:val="bottom"/>
          </w:tcPr>
          <w:p>
            <w:pPr>
              <w:spacing w:after="0"/>
              <w:rPr>
                <w:sz w:val="9"/>
                <w:szCs w:val="9"/>
                <w:color w:val="auto"/>
              </w:rPr>
            </w:pPr>
          </w:p>
        </w:tc>
        <w:tc>
          <w:tcPr>
            <w:tcW w:w="860" w:type="dxa"/>
            <w:vAlign w:val="bottom"/>
          </w:tcPr>
          <w:p>
            <w:pPr>
              <w:jc w:val="right"/>
              <w:ind w:right="17"/>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74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50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960" w:type="dxa"/>
            <w:vAlign w:val="bottom"/>
          </w:tcPr>
          <w:p>
            <w:pPr>
              <w:jc w:val="right"/>
              <w:ind w:right="17"/>
              <w:spacing w:after="0"/>
              <w:rPr>
                <w:sz w:val="20"/>
                <w:szCs w:val="20"/>
                <w:color w:val="auto"/>
              </w:rPr>
            </w:pPr>
            <w:r>
              <w:rPr>
                <w:rFonts w:ascii="Arial" w:cs="Arial" w:eastAsia="Arial" w:hAnsi="Arial"/>
                <w:sz w:val="8"/>
                <w:szCs w:val="8"/>
                <w:color w:val="auto"/>
              </w:rPr>
              <w:t>—</w:t>
            </w:r>
          </w:p>
        </w:tc>
      </w:tr>
      <w:tr>
        <w:trPr>
          <w:trHeight w:val="162"/>
        </w:trPr>
        <w:tc>
          <w:tcPr>
            <w:tcW w:w="80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8"/>
                <w:szCs w:val="8"/>
                <w:color w:val="auto"/>
              </w:rPr>
              <w:t>Supplemental Savings Plan</w:t>
            </w:r>
          </w:p>
        </w:tc>
        <w:tc>
          <w:tcPr>
            <w:tcW w:w="50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4"/>
                <w:szCs w:val="14"/>
                <w:color w:val="auto"/>
              </w:rPr>
            </w:pPr>
          </w:p>
        </w:tc>
        <w:tc>
          <w:tcPr>
            <w:tcW w:w="74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4"/>
                <w:szCs w:val="14"/>
                <w:color w:val="auto"/>
              </w:rPr>
            </w:pPr>
          </w:p>
        </w:tc>
        <w:tc>
          <w:tcPr>
            <w:tcW w:w="50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8"/>
                <w:szCs w:val="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41910</wp:posOffset>
            </wp:positionV>
            <wp:extent cx="4663440" cy="571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12" w:lineRule="exact"/>
        <w:rPr>
          <w:sz w:val="20"/>
          <w:szCs w:val="20"/>
          <w:color w:val="auto"/>
        </w:rPr>
      </w:pPr>
    </w:p>
    <w:p>
      <w:pPr>
        <w:ind w:left="2260" w:right="1019" w:hanging="288"/>
        <w:spacing w:after="0" w:line="230" w:lineRule="auto"/>
        <w:tabs>
          <w:tab w:leader="none" w:pos="2260" w:val="left"/>
        </w:tabs>
        <w:numPr>
          <w:ilvl w:val="0"/>
          <w:numId w:val="56"/>
        </w:numPr>
        <w:rPr>
          <w:rFonts w:ascii="Arial" w:cs="Arial" w:eastAsia="Arial" w:hAnsi="Arial"/>
          <w:sz w:val="10"/>
          <w:szCs w:val="10"/>
          <w:color w:val="auto"/>
        </w:rPr>
      </w:pPr>
      <w:r>
        <w:rPr>
          <w:rFonts w:ascii="Arial" w:cs="Arial" w:eastAsia="Arial" w:hAnsi="Arial"/>
          <w:sz w:val="10"/>
          <w:szCs w:val="10"/>
          <w:color w:val="auto"/>
        </w:rPr>
        <w:t>Both the executive and registrant contributions above are also disclosed in the preceding Summary Compensation Table as either salary, non-equity incentive plan compensation or under all other compensation, as applicable. Registrant contributions earned during 2022 and credited to the account during 2022 as well as executive contributions on amounts earned during 2022 but paid in 2023 are included in the table above.</w:t>
      </w:r>
    </w:p>
    <w:p>
      <w:pPr>
        <w:spacing w:after="0" w:line="47" w:lineRule="exact"/>
        <w:rPr>
          <w:rFonts w:ascii="Arial" w:cs="Arial" w:eastAsia="Arial" w:hAnsi="Arial"/>
          <w:sz w:val="10"/>
          <w:szCs w:val="10"/>
          <w:color w:val="auto"/>
        </w:rPr>
      </w:pPr>
    </w:p>
    <w:p>
      <w:pPr>
        <w:ind w:left="2260" w:hanging="288"/>
        <w:spacing w:after="0"/>
        <w:tabs>
          <w:tab w:leader="none" w:pos="2260" w:val="left"/>
        </w:tabs>
        <w:numPr>
          <w:ilvl w:val="0"/>
          <w:numId w:val="56"/>
        </w:numPr>
        <w:rPr>
          <w:rFonts w:ascii="Arial" w:cs="Arial" w:eastAsia="Arial" w:hAnsi="Arial"/>
          <w:sz w:val="10"/>
          <w:szCs w:val="10"/>
          <w:color w:val="auto"/>
        </w:rPr>
      </w:pPr>
      <w:r>
        <w:rPr>
          <w:rFonts w:ascii="Arial" w:cs="Arial" w:eastAsia="Arial" w:hAnsi="Arial"/>
          <w:sz w:val="10"/>
          <w:szCs w:val="10"/>
          <w:color w:val="auto"/>
        </w:rPr>
        <w:t>The aggregate earnings in the last fiscal year include earnings on amounts deferred by the individual in years prior to fiscal 2022.</w:t>
      </w:r>
    </w:p>
    <w:p>
      <w:pPr>
        <w:spacing w:after="0" w:line="47" w:lineRule="exact"/>
        <w:rPr>
          <w:rFonts w:ascii="Arial" w:cs="Arial" w:eastAsia="Arial" w:hAnsi="Arial"/>
          <w:sz w:val="10"/>
          <w:szCs w:val="10"/>
          <w:color w:val="auto"/>
        </w:rPr>
      </w:pPr>
    </w:p>
    <w:p>
      <w:pPr>
        <w:ind w:left="2260" w:right="859" w:hanging="288"/>
        <w:spacing w:after="0" w:line="228" w:lineRule="auto"/>
        <w:tabs>
          <w:tab w:leader="none" w:pos="2260" w:val="left"/>
        </w:tabs>
        <w:numPr>
          <w:ilvl w:val="0"/>
          <w:numId w:val="56"/>
        </w:numPr>
        <w:rPr>
          <w:rFonts w:ascii="Arial" w:cs="Arial" w:eastAsia="Arial" w:hAnsi="Arial"/>
          <w:sz w:val="10"/>
          <w:szCs w:val="10"/>
          <w:color w:val="auto"/>
        </w:rPr>
      </w:pPr>
      <w:r>
        <w:rPr>
          <w:rFonts w:ascii="Arial" w:cs="Arial" w:eastAsia="Arial" w:hAnsi="Arial"/>
          <w:sz w:val="10"/>
          <w:szCs w:val="10"/>
          <w:color w:val="auto"/>
        </w:rPr>
        <w:t>Includes registrant and executive contributions on amounts earned during 2022 but credited during 2023. In addition to the amounts contributed for 2022, the amounts below were reported as compensation in prior Summary Compensation Tables (Mr. Cocks had his compensation for fiscal 2021 forward reported as a Named Executive Officer in the Company’s proxy statement, Mr. Stoddart had his compensation for fiscal 2021 forward reported as a Named Executive Officer in the Company’s proxy statement, and Ms. Thomas had her compensation for fiscal 2009 forward reported as a Named Executive Officer in the Company’s proxy statements) except for Mr. Nyman and Ms. Williams as they were not included in prior year Summary Compensation Table disclosures.</w:t>
      </w:r>
    </w:p>
    <w:p>
      <w:pPr>
        <w:spacing w:after="0" w:line="22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800" w:type="dxa"/>
            <w:vAlign w:val="bottom"/>
          </w:tcPr>
          <w:p>
            <w:pPr>
              <w:ind w:left="40"/>
              <w:spacing w:after="0"/>
              <w:rPr>
                <w:sz w:val="20"/>
                <w:szCs w:val="20"/>
                <w:color w:val="auto"/>
              </w:rPr>
            </w:pPr>
            <w:r>
              <w:rPr>
                <w:rFonts w:ascii="Arial" w:cs="Arial" w:eastAsia="Arial" w:hAnsi="Arial"/>
                <w:sz w:val="10"/>
                <w:szCs w:val="10"/>
                <w:color w:val="auto"/>
              </w:rPr>
              <w:t>Richard Stoddart</w:t>
            </w:r>
          </w:p>
        </w:tc>
        <w:tc>
          <w:tcPr>
            <w:tcW w:w="35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62"/>
        </w:trPr>
        <w:tc>
          <w:tcPr>
            <w:tcW w:w="3800" w:type="dxa"/>
            <w:vAlign w:val="bottom"/>
            <w:tcBorders>
              <w:bottom w:val="single" w:sz="8" w:color="009BDE"/>
            </w:tcBorders>
          </w:tcPr>
          <w:p>
            <w:pPr>
              <w:spacing w:after="0"/>
              <w:rPr>
                <w:sz w:val="5"/>
                <w:szCs w:val="5"/>
                <w:color w:val="auto"/>
              </w:rPr>
            </w:pPr>
          </w:p>
        </w:tc>
        <w:tc>
          <w:tcPr>
            <w:tcW w:w="3540" w:type="dxa"/>
            <w:vAlign w:val="bottom"/>
            <w:tcBorders>
              <w:bottom w:val="single" w:sz="8" w:color="009BDE"/>
            </w:tcBorders>
          </w:tcPr>
          <w:p>
            <w:pPr>
              <w:spacing w:after="0"/>
              <w:rPr>
                <w:sz w:val="5"/>
                <w:szCs w:val="5"/>
                <w:color w:val="auto"/>
              </w:rPr>
            </w:pPr>
          </w:p>
        </w:tc>
      </w:tr>
      <w:tr>
        <w:trPr>
          <w:trHeight w:val="170"/>
        </w:trPr>
        <w:tc>
          <w:tcPr>
            <w:tcW w:w="3800" w:type="dxa"/>
            <w:vAlign w:val="bottom"/>
          </w:tcPr>
          <w:p>
            <w:pPr>
              <w:ind w:left="40"/>
              <w:spacing w:after="0"/>
              <w:rPr>
                <w:sz w:val="20"/>
                <w:szCs w:val="20"/>
                <w:color w:val="auto"/>
              </w:rPr>
            </w:pPr>
            <w:r>
              <w:rPr>
                <w:rFonts w:ascii="Arial" w:cs="Arial" w:eastAsia="Arial" w:hAnsi="Arial"/>
                <w:sz w:val="10"/>
                <w:szCs w:val="10"/>
                <w:color w:val="auto"/>
              </w:rPr>
              <w:t>Chris Cocks</w:t>
            </w:r>
          </w:p>
        </w:tc>
        <w:tc>
          <w:tcPr>
            <w:tcW w:w="3540" w:type="dxa"/>
            <w:vAlign w:val="bottom"/>
          </w:tcPr>
          <w:p>
            <w:pPr>
              <w:jc w:val="right"/>
              <w:spacing w:after="0"/>
              <w:rPr>
                <w:sz w:val="20"/>
                <w:szCs w:val="20"/>
                <w:color w:val="auto"/>
              </w:rPr>
            </w:pPr>
            <w:r>
              <w:rPr>
                <w:rFonts w:ascii="Arial" w:cs="Arial" w:eastAsia="Arial" w:hAnsi="Arial"/>
                <w:sz w:val="10"/>
                <w:szCs w:val="10"/>
                <w:color w:val="auto"/>
              </w:rPr>
              <w:t>$1,061,443</w:t>
            </w:r>
          </w:p>
        </w:tc>
      </w:tr>
      <w:tr>
        <w:trPr>
          <w:trHeight w:val="62"/>
        </w:trPr>
        <w:tc>
          <w:tcPr>
            <w:tcW w:w="3800" w:type="dxa"/>
            <w:vAlign w:val="bottom"/>
            <w:tcBorders>
              <w:bottom w:val="single" w:sz="8" w:color="009BDE"/>
            </w:tcBorders>
          </w:tcPr>
          <w:p>
            <w:pPr>
              <w:spacing w:after="0"/>
              <w:rPr>
                <w:sz w:val="5"/>
                <w:szCs w:val="5"/>
                <w:color w:val="auto"/>
              </w:rPr>
            </w:pPr>
          </w:p>
        </w:tc>
        <w:tc>
          <w:tcPr>
            <w:tcW w:w="3540" w:type="dxa"/>
            <w:vAlign w:val="bottom"/>
            <w:tcBorders>
              <w:bottom w:val="single" w:sz="8" w:color="009BDE"/>
            </w:tcBorders>
          </w:tcPr>
          <w:p>
            <w:pPr>
              <w:spacing w:after="0"/>
              <w:rPr>
                <w:sz w:val="5"/>
                <w:szCs w:val="5"/>
                <w:color w:val="auto"/>
              </w:rPr>
            </w:pPr>
          </w:p>
        </w:tc>
      </w:tr>
      <w:tr>
        <w:trPr>
          <w:trHeight w:val="170"/>
        </w:trPr>
        <w:tc>
          <w:tcPr>
            <w:tcW w:w="3800" w:type="dxa"/>
            <w:vAlign w:val="bottom"/>
          </w:tcPr>
          <w:p>
            <w:pPr>
              <w:ind w:left="40"/>
              <w:spacing w:after="0"/>
              <w:rPr>
                <w:sz w:val="20"/>
                <w:szCs w:val="20"/>
                <w:color w:val="auto"/>
              </w:rPr>
            </w:pPr>
            <w:r>
              <w:rPr>
                <w:rFonts w:ascii="Arial" w:cs="Arial" w:eastAsia="Arial" w:hAnsi="Arial"/>
                <w:sz w:val="10"/>
                <w:szCs w:val="10"/>
                <w:color w:val="auto"/>
              </w:rPr>
              <w:t>Deborah Thomas</w:t>
            </w:r>
          </w:p>
        </w:tc>
        <w:tc>
          <w:tcPr>
            <w:tcW w:w="3540" w:type="dxa"/>
            <w:vAlign w:val="bottom"/>
          </w:tcPr>
          <w:p>
            <w:pPr>
              <w:jc w:val="right"/>
              <w:spacing w:after="0"/>
              <w:rPr>
                <w:sz w:val="20"/>
                <w:szCs w:val="20"/>
                <w:color w:val="auto"/>
              </w:rPr>
            </w:pPr>
            <w:r>
              <w:rPr>
                <w:rFonts w:ascii="Arial" w:cs="Arial" w:eastAsia="Arial" w:hAnsi="Arial"/>
                <w:sz w:val="10"/>
                <w:szCs w:val="10"/>
                <w:color w:val="auto"/>
              </w:rPr>
              <w:t>$1,422,461</w:t>
            </w:r>
          </w:p>
        </w:tc>
      </w:tr>
      <w:tr>
        <w:trPr>
          <w:trHeight w:val="62"/>
        </w:trPr>
        <w:tc>
          <w:tcPr>
            <w:tcW w:w="3800" w:type="dxa"/>
            <w:vAlign w:val="bottom"/>
            <w:tcBorders>
              <w:bottom w:val="single" w:sz="8" w:color="009BDE"/>
            </w:tcBorders>
          </w:tcPr>
          <w:p>
            <w:pPr>
              <w:spacing w:after="0"/>
              <w:rPr>
                <w:sz w:val="5"/>
                <w:szCs w:val="5"/>
                <w:color w:val="auto"/>
              </w:rPr>
            </w:pPr>
          </w:p>
        </w:tc>
        <w:tc>
          <w:tcPr>
            <w:tcW w:w="3540" w:type="dxa"/>
            <w:vAlign w:val="bottom"/>
            <w:tcBorders>
              <w:bottom w:val="single" w:sz="8" w:color="009BDE"/>
            </w:tcBorders>
          </w:tcPr>
          <w:p>
            <w:pPr>
              <w:spacing w:after="0"/>
              <w:rPr>
                <w:sz w:val="5"/>
                <w:szCs w:val="5"/>
                <w:color w:val="auto"/>
              </w:rPr>
            </w:pPr>
          </w:p>
        </w:tc>
      </w:tr>
      <w:tr>
        <w:trPr>
          <w:trHeight w:val="170"/>
        </w:trPr>
        <w:tc>
          <w:tcPr>
            <w:tcW w:w="3800" w:type="dxa"/>
            <w:vAlign w:val="bottom"/>
          </w:tcPr>
          <w:p>
            <w:pPr>
              <w:ind w:left="40"/>
              <w:spacing w:after="0"/>
              <w:rPr>
                <w:sz w:val="20"/>
                <w:szCs w:val="20"/>
                <w:color w:val="auto"/>
              </w:rPr>
            </w:pPr>
            <w:r>
              <w:rPr>
                <w:rFonts w:ascii="Arial" w:cs="Arial" w:eastAsia="Arial" w:hAnsi="Arial"/>
                <w:sz w:val="10"/>
                <w:szCs w:val="10"/>
                <w:color w:val="auto"/>
              </w:rPr>
              <w:t>Cynthia Williams</w:t>
            </w:r>
          </w:p>
        </w:tc>
        <w:tc>
          <w:tcPr>
            <w:tcW w:w="35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62"/>
        </w:trPr>
        <w:tc>
          <w:tcPr>
            <w:tcW w:w="3800" w:type="dxa"/>
            <w:vAlign w:val="bottom"/>
            <w:tcBorders>
              <w:bottom w:val="single" w:sz="8" w:color="009BDE"/>
            </w:tcBorders>
          </w:tcPr>
          <w:p>
            <w:pPr>
              <w:spacing w:after="0"/>
              <w:rPr>
                <w:sz w:val="5"/>
                <w:szCs w:val="5"/>
                <w:color w:val="auto"/>
              </w:rPr>
            </w:pPr>
          </w:p>
        </w:tc>
        <w:tc>
          <w:tcPr>
            <w:tcW w:w="3540" w:type="dxa"/>
            <w:vAlign w:val="bottom"/>
            <w:tcBorders>
              <w:bottom w:val="single" w:sz="8" w:color="009BDE"/>
            </w:tcBorders>
          </w:tcPr>
          <w:p>
            <w:pPr>
              <w:spacing w:after="0"/>
              <w:rPr>
                <w:sz w:val="5"/>
                <w:szCs w:val="5"/>
                <w:color w:val="auto"/>
              </w:rPr>
            </w:pPr>
          </w:p>
        </w:tc>
      </w:tr>
      <w:tr>
        <w:trPr>
          <w:trHeight w:val="170"/>
        </w:trPr>
        <w:tc>
          <w:tcPr>
            <w:tcW w:w="3800" w:type="dxa"/>
            <w:vAlign w:val="bottom"/>
          </w:tcPr>
          <w:p>
            <w:pPr>
              <w:ind w:left="40"/>
              <w:spacing w:after="0"/>
              <w:rPr>
                <w:sz w:val="20"/>
                <w:szCs w:val="20"/>
                <w:color w:val="auto"/>
              </w:rPr>
            </w:pPr>
            <w:r>
              <w:rPr>
                <w:rFonts w:ascii="Arial" w:cs="Arial" w:eastAsia="Arial" w:hAnsi="Arial"/>
                <w:sz w:val="10"/>
                <w:szCs w:val="10"/>
                <w:color w:val="auto"/>
              </w:rPr>
              <w:t>Eric Nyman</w:t>
            </w:r>
          </w:p>
        </w:tc>
        <w:tc>
          <w:tcPr>
            <w:tcW w:w="35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62"/>
        </w:trPr>
        <w:tc>
          <w:tcPr>
            <w:tcW w:w="3800" w:type="dxa"/>
            <w:vAlign w:val="bottom"/>
            <w:tcBorders>
              <w:bottom w:val="single" w:sz="8" w:color="009BDE"/>
            </w:tcBorders>
          </w:tcPr>
          <w:p>
            <w:pPr>
              <w:spacing w:after="0"/>
              <w:rPr>
                <w:sz w:val="5"/>
                <w:szCs w:val="5"/>
                <w:color w:val="auto"/>
              </w:rPr>
            </w:pPr>
          </w:p>
        </w:tc>
        <w:tc>
          <w:tcPr>
            <w:tcW w:w="3540" w:type="dxa"/>
            <w:vAlign w:val="bottom"/>
            <w:tcBorders>
              <w:bottom w:val="single" w:sz="8" w:color="009BDE"/>
            </w:tcBorders>
          </w:tcPr>
          <w:p>
            <w:pPr>
              <w:spacing w:after="0"/>
              <w:rPr>
                <w:sz w:val="5"/>
                <w:szCs w:val="5"/>
                <w:color w:val="auto"/>
              </w:rPr>
            </w:pPr>
          </w:p>
        </w:tc>
      </w:tr>
      <w:tr>
        <w:trPr>
          <w:trHeight w:val="170"/>
        </w:trPr>
        <w:tc>
          <w:tcPr>
            <w:tcW w:w="3800" w:type="dxa"/>
            <w:vAlign w:val="bottom"/>
          </w:tcPr>
          <w:p>
            <w:pPr>
              <w:ind w:left="40"/>
              <w:spacing w:after="0"/>
              <w:rPr>
                <w:sz w:val="20"/>
                <w:szCs w:val="20"/>
                <w:color w:val="auto"/>
              </w:rPr>
            </w:pPr>
            <w:r>
              <w:rPr>
                <w:rFonts w:ascii="Arial" w:cs="Arial" w:eastAsia="Arial" w:hAnsi="Arial"/>
                <w:sz w:val="10"/>
                <w:szCs w:val="10"/>
                <w:color w:val="auto"/>
              </w:rPr>
              <w:t>Darren Throop</w:t>
            </w:r>
          </w:p>
        </w:tc>
        <w:tc>
          <w:tcPr>
            <w:tcW w:w="35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62"/>
        </w:trPr>
        <w:tc>
          <w:tcPr>
            <w:tcW w:w="3800" w:type="dxa"/>
            <w:vAlign w:val="bottom"/>
            <w:tcBorders>
              <w:bottom w:val="single" w:sz="8" w:color="009BDE"/>
            </w:tcBorders>
          </w:tcPr>
          <w:p>
            <w:pPr>
              <w:spacing w:after="0"/>
              <w:rPr>
                <w:sz w:val="5"/>
                <w:szCs w:val="5"/>
                <w:color w:val="auto"/>
              </w:rPr>
            </w:pPr>
          </w:p>
        </w:tc>
        <w:tc>
          <w:tcPr>
            <w:tcW w:w="3540" w:type="dxa"/>
            <w:vAlign w:val="bottom"/>
            <w:tcBorders>
              <w:bottom w:val="single" w:sz="8" w:color="009BDE"/>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3971925" cy="21717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5"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60</w:t>
      </w:r>
    </w:p>
    <w:p>
      <w:pPr>
        <w:sectPr>
          <w:pgSz w:w="11900" w:h="16838" w:orient="portrait"/>
          <w:cols w:equalWidth="0" w:num="1">
            <w:col w:w="10159"/>
          </w:cols>
          <w:pgMar w:left="300" w:top="372" w:right="1440" w:bottom="1440" w:gutter="0" w:footer="0" w:header="0"/>
        </w:sectPr>
      </w:pPr>
    </w:p>
    <w:bookmarkStart w:id="82" w:name="page83"/>
    <w:bookmarkEnd w:id="8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1259"/>
        <w:spacing w:after="0" w:line="245" w:lineRule="auto"/>
        <w:rPr>
          <w:sz w:val="20"/>
          <w:szCs w:val="20"/>
          <w:color w:val="auto"/>
        </w:rPr>
      </w:pPr>
      <w:r>
        <w:rPr>
          <w:rFonts w:ascii="Arial" w:cs="Arial" w:eastAsia="Arial" w:hAnsi="Arial"/>
          <w:sz w:val="11"/>
          <w:szCs w:val="11"/>
          <w:color w:val="auto"/>
        </w:rPr>
        <w:t>Amounts included in the “Non-Qualified Deferred Compensation” table above consist of executive deferrals and registrant contributions under the Supplemental Plan and the Non-Qualified Deferred Compensation Plan, each of which are described below.</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3"/>
          <w:szCs w:val="13"/>
          <w:b w:val="1"/>
          <w:bCs w:val="1"/>
          <w:i w:val="1"/>
          <w:iCs w:val="1"/>
          <w:color w:val="009BDE"/>
        </w:rPr>
        <w:t>Supplemental Plan</w:t>
      </w:r>
    </w:p>
    <w:p>
      <w:pPr>
        <w:spacing w:after="0" w:line="113" w:lineRule="exact"/>
        <w:rPr>
          <w:sz w:val="20"/>
          <w:szCs w:val="20"/>
          <w:color w:val="auto"/>
        </w:rPr>
      </w:pPr>
    </w:p>
    <w:p>
      <w:pPr>
        <w:ind w:left="1980" w:right="859"/>
        <w:spacing w:after="0" w:line="239" w:lineRule="auto"/>
        <w:rPr>
          <w:sz w:val="20"/>
          <w:szCs w:val="20"/>
          <w:color w:val="auto"/>
        </w:rPr>
      </w:pPr>
      <w:r>
        <w:rPr>
          <w:rFonts w:ascii="Arial" w:cs="Arial" w:eastAsia="Arial" w:hAnsi="Arial"/>
          <w:sz w:val="11"/>
          <w:szCs w:val="11"/>
          <w:color w:val="auto"/>
        </w:rPr>
        <w:t>Each of our NEOs other than Mr. Throop participated in the Supplemental Plan. All registrant contributions reflected in the preceding table were allocated to the Supplemental Plan. Elective deferrals are not permitted under the Supplemental Plan. Account balances received interest at the rate of 3.5% per year for 2022. This rate reflects the 2022 return, less an allowance for certain expenses, paid by the insurance companies providing this corporate owned life insurance product to Hasbro. Matching contributions are fully vested at all times while the annual Company and transition contributions are subject to a 3-year vesting requirement, however remaining benefits are subject to forfeiture for violations of non-competition or confidentiality obligations or for termination due to certain criminal acts involving Company property. Benefits under the Supplemental Plan are payable as a lump sum upon termination of employment (including retirement and death), subject to a six-month waiting period under Code Section 409A, as applicable. Effective January 1, 2008, this plan was expanded to include new employer contributions in excess of IRS limits.</w:t>
      </w:r>
    </w:p>
    <w:p>
      <w:pPr>
        <w:spacing w:after="0" w:line="197" w:lineRule="exact"/>
        <w:rPr>
          <w:sz w:val="20"/>
          <w:szCs w:val="20"/>
          <w:color w:val="auto"/>
        </w:rPr>
      </w:pPr>
    </w:p>
    <w:p>
      <w:pPr>
        <w:ind w:left="1980"/>
        <w:spacing w:after="0"/>
        <w:rPr>
          <w:sz w:val="20"/>
          <w:szCs w:val="20"/>
          <w:color w:val="auto"/>
        </w:rPr>
      </w:pPr>
      <w:r>
        <w:rPr>
          <w:rFonts w:ascii="Arial" w:cs="Arial" w:eastAsia="Arial" w:hAnsi="Arial"/>
          <w:sz w:val="13"/>
          <w:szCs w:val="13"/>
          <w:b w:val="1"/>
          <w:bCs w:val="1"/>
          <w:i w:val="1"/>
          <w:iCs w:val="1"/>
          <w:color w:val="009BDE"/>
        </w:rPr>
        <w:t>Non-Qualified Deferred Compensation Plan</w:t>
      </w:r>
    </w:p>
    <w:p>
      <w:pPr>
        <w:spacing w:after="0" w:line="113"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The Deferred Compensation Plan is available to all of the Company’s U.S. based employees who are at or above job level 7 and whose base compensation is equal to or greater than $135,000 for 2022, including our NEOs. Participants may defer up to 75% of their base salary and 85% of the awards they are paid under the Company’s non-equity incentive plans. Participant account balances are credited with earnings based on the participant’s selection from the list of measurement funds offered in the plan, including a fixed rate option. The allocation of investments may be changed as often as daily, with the exception of the Hasbro Stock Fund and the fixed rate option. Selection of the Hasbro Stock Fund and the fixed rate option is made once per year and becomes effective the following January.</w:t>
      </w:r>
    </w:p>
    <w:p>
      <w:pPr>
        <w:spacing w:after="0" w:line="87"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Rates of return earned (lost) by our NEOs are the same as the rates of return earned (lost) by other participants selecting the same investment choices.</w:t>
      </w:r>
    </w:p>
    <w:p>
      <w:pPr>
        <w:spacing w:after="0" w:line="1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As such, the Company does not consider these rates of return to be “above-market” within the meaning of the rules of the SEC.</w:t>
      </w:r>
    </w:p>
    <w:p>
      <w:pPr>
        <w:spacing w:after="0" w:line="99" w:lineRule="exact"/>
        <w:rPr>
          <w:sz w:val="20"/>
          <w:szCs w:val="20"/>
          <w:color w:val="auto"/>
        </w:rPr>
      </w:pPr>
    </w:p>
    <w:p>
      <w:pPr>
        <w:ind w:left="1980" w:right="959"/>
        <w:spacing w:after="0" w:line="242" w:lineRule="auto"/>
        <w:rPr>
          <w:sz w:val="20"/>
          <w:szCs w:val="20"/>
          <w:color w:val="auto"/>
        </w:rPr>
      </w:pPr>
      <w:r>
        <w:rPr>
          <w:rFonts w:ascii="Arial" w:cs="Arial" w:eastAsia="Arial" w:hAnsi="Arial"/>
          <w:sz w:val="11"/>
          <w:szCs w:val="11"/>
          <w:color w:val="auto"/>
        </w:rPr>
        <w:t>Generally, account balances under the plan may be paid as a lump sum or in installments over a five, ten or fifteen-year period following the termination of employment, except amounts designated as short-term payouts which are payable at a pre-selected date in the future. Account balances may be distributed prior to retirement in the event of a financial hardship, but not in excess of the amount needed to meet the hardship.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22860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4663440" cy="228600"/>
                    </a:xfrm>
                    <a:prstGeom prst="rect">
                      <a:avLst/>
                    </a:prstGeom>
                    <a:noFill/>
                  </pic:spPr>
                </pic:pic>
              </a:graphicData>
            </a:graphic>
          </wp:anchor>
        </w:drawing>
      </w:r>
    </w:p>
    <w:p>
      <w:pPr>
        <w:spacing w:after="0" w:line="263"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Potential Payments Upon Termination or Change in Control</w:t>
      </w:r>
    </w:p>
    <w:p>
      <w:pPr>
        <w:spacing w:after="0" w:line="219" w:lineRule="exact"/>
        <w:rPr>
          <w:sz w:val="20"/>
          <w:szCs w:val="20"/>
          <w:color w:val="auto"/>
        </w:rPr>
      </w:pPr>
    </w:p>
    <w:p>
      <w:pPr>
        <w:ind w:left="1980" w:right="919"/>
        <w:spacing w:after="0" w:line="269" w:lineRule="auto"/>
        <w:rPr>
          <w:sz w:val="20"/>
          <w:szCs w:val="20"/>
          <w:color w:val="auto"/>
        </w:rPr>
      </w:pPr>
      <w:r>
        <w:rPr>
          <w:rFonts w:ascii="Arial" w:cs="Arial" w:eastAsia="Arial" w:hAnsi="Arial"/>
          <w:sz w:val="10"/>
          <w:szCs w:val="10"/>
          <w:color w:val="auto"/>
        </w:rPr>
        <w:t>The following table provides information as to the value of incremental payments and other benefits that would have been received by our NEOs, other than Mr. Stoddart, upon a termination of their employment with the Company due to various types of situations, including upon a change in control of the Company, assuming such termination and change in control had taken place on December 23, 2022 (the last trading day of the Company’s 2022 fiscal year), and based on any agreements with our NEOs in place as of December 25, 2022. The benefits reflect the closing price of the Company’s Common Stock of $58.21 on December 23, 2022, where appropriate. Following these tables is a narrative description of the plans and agreements pursuant to which these payments and benefits are payable. Mr. Stoddart is not eligible for any payments upon termination or change in control.</w:t>
      </w:r>
    </w:p>
    <w:p>
      <w:pPr>
        <w:spacing w:after="0" w:line="73" w:lineRule="exact"/>
        <w:rPr>
          <w:sz w:val="20"/>
          <w:szCs w:val="20"/>
          <w:color w:val="auto"/>
        </w:rPr>
      </w:pPr>
    </w:p>
    <w:p>
      <w:pPr>
        <w:ind w:left="1980" w:right="859"/>
        <w:spacing w:after="0" w:line="270" w:lineRule="auto"/>
        <w:rPr>
          <w:sz w:val="20"/>
          <w:szCs w:val="20"/>
          <w:color w:val="auto"/>
        </w:rPr>
      </w:pPr>
      <w:r>
        <w:rPr>
          <w:rFonts w:ascii="Arial" w:cs="Arial" w:eastAsia="Arial" w:hAnsi="Arial"/>
          <w:sz w:val="10"/>
          <w:szCs w:val="10"/>
          <w:color w:val="auto"/>
        </w:rPr>
        <w:t>In addition to the benefits detailed in the following tables, our NEOs are eligible to receive vested benefits under the Company’s pension plans and deferred compensation plans, to the extent applicable, which are quantified in the preceding tables in this Proxy Statement, as well as benefits under stock options held by such executive officers which are vested and exercisable as of the date of their termination. In addition, our NEOs, other than Messrs. Stoddart and Throop and Ms. Williams, are eligible to participate in the Company’s post-retirement life insurance program, which is available to all salaried employees employed by the Company on December 31, 2019, who at such time met the eligibility requirements for early or normal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51435</wp:posOffset>
            </wp:positionV>
            <wp:extent cx="3971925" cy="21717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27"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61</w:t>
      </w:r>
    </w:p>
    <w:p>
      <w:pPr>
        <w:sectPr>
          <w:pgSz w:w="11900" w:h="16838" w:orient="portrait"/>
          <w:cols w:equalWidth="0" w:num="1">
            <w:col w:w="10159"/>
          </w:cols>
          <w:pgMar w:left="300" w:top="372" w:right="1440" w:bottom="1440" w:gutter="0" w:footer="0" w:header="0"/>
        </w:sectPr>
      </w:pPr>
    </w:p>
    <w:bookmarkStart w:id="83" w:name="page84"/>
    <w:bookmarkEnd w:id="8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1119"/>
        <w:spacing w:after="0" w:line="245" w:lineRule="auto"/>
        <w:rPr>
          <w:sz w:val="20"/>
          <w:szCs w:val="20"/>
          <w:color w:val="auto"/>
        </w:rPr>
      </w:pPr>
      <w:r>
        <w:rPr>
          <w:rFonts w:ascii="Arial" w:cs="Arial" w:eastAsia="Arial" w:hAnsi="Arial"/>
          <w:sz w:val="11"/>
          <w:szCs w:val="11"/>
          <w:color w:val="auto"/>
        </w:rPr>
        <w:t>Our NEOs would not receive any incremental payments or other benefits if they voluntarily resigned from the Company (except resignation for Good Reason, where noted) or were involuntarily terminated by the Company for cause.</w:t>
      </w:r>
    </w:p>
    <w:p>
      <w:pPr>
        <w:spacing w:after="0" w:line="155" w:lineRule="exact"/>
        <w:rPr>
          <w:sz w:val="20"/>
          <w:szCs w:val="20"/>
          <w:color w:val="auto"/>
        </w:rPr>
      </w:pPr>
    </w:p>
    <w:tbl>
      <w:tblPr>
        <w:tblLayout w:type="fixed"/>
        <w:tblInd w:w="1980" w:type="dxa"/>
        <w:tblCellMar>
          <w:top w:w="0" w:type="dxa"/>
          <w:left w:w="0" w:type="dxa"/>
          <w:bottom w:w="0" w:type="dxa"/>
          <w:right w:w="0" w:type="dxa"/>
        </w:tblCellMar>
      </w:tblPr>
      <w:tr>
        <w:trPr>
          <w:trHeight w:val="144"/>
        </w:trPr>
        <w:tc>
          <w:tcPr>
            <w:tcW w:w="2280" w:type="dxa"/>
            <w:vAlign w:val="bottom"/>
            <w:tcBorders>
              <w:bottom w:val="single" w:sz="8" w:color="CCEBF8"/>
            </w:tcBorders>
            <w:shd w:val="clear" w:color="auto" w:fill="CCEBF8"/>
          </w:tcPr>
          <w:p>
            <w:pPr>
              <w:spacing w:after="0"/>
              <w:rPr>
                <w:sz w:val="12"/>
                <w:szCs w:val="12"/>
                <w:color w:val="auto"/>
              </w:rPr>
            </w:pPr>
          </w:p>
        </w:tc>
        <w:tc>
          <w:tcPr>
            <w:tcW w:w="280" w:type="dxa"/>
            <w:vAlign w:val="bottom"/>
            <w:tcBorders>
              <w:bottom w:val="single" w:sz="8" w:color="CCEBF8"/>
            </w:tcBorders>
            <w:shd w:val="clear" w:color="auto" w:fill="CCEBF8"/>
          </w:tcPr>
          <w:p>
            <w:pPr>
              <w:spacing w:after="0"/>
              <w:rPr>
                <w:sz w:val="12"/>
                <w:szCs w:val="12"/>
                <w:color w:val="auto"/>
              </w:rPr>
            </w:pPr>
          </w:p>
        </w:tc>
        <w:tc>
          <w:tcPr>
            <w:tcW w:w="80" w:type="dxa"/>
            <w:vAlign w:val="bottom"/>
            <w:tcBorders>
              <w:bottom w:val="single" w:sz="8" w:color="009BDE"/>
            </w:tcBorders>
            <w:shd w:val="clear" w:color="auto" w:fill="CCEBF8"/>
          </w:tcPr>
          <w:p>
            <w:pPr>
              <w:spacing w:after="0"/>
              <w:rPr>
                <w:sz w:val="12"/>
                <w:szCs w:val="12"/>
                <w:color w:val="auto"/>
              </w:rPr>
            </w:pPr>
          </w:p>
        </w:tc>
        <w:tc>
          <w:tcPr>
            <w:tcW w:w="700" w:type="dxa"/>
            <w:vAlign w:val="bottom"/>
            <w:tcBorders>
              <w:bottom w:val="single" w:sz="8" w:color="009BDE"/>
            </w:tcBorders>
            <w:shd w:val="clear" w:color="auto" w:fill="CCEBF8"/>
          </w:tcPr>
          <w:p>
            <w:pPr>
              <w:spacing w:after="0"/>
              <w:rPr>
                <w:sz w:val="12"/>
                <w:szCs w:val="12"/>
                <w:color w:val="auto"/>
              </w:rPr>
            </w:pPr>
          </w:p>
        </w:tc>
        <w:tc>
          <w:tcPr>
            <w:tcW w:w="1160" w:type="dxa"/>
            <w:vAlign w:val="bottom"/>
            <w:tcBorders>
              <w:bottom w:val="single" w:sz="8" w:color="009BDE"/>
            </w:tcBorders>
            <w:gridSpan w:val="2"/>
            <w:shd w:val="clear" w:color="auto" w:fill="CCEBF8"/>
          </w:tcPr>
          <w:p>
            <w:pPr>
              <w:jc w:val="right"/>
              <w:spacing w:after="0"/>
              <w:rPr>
                <w:sz w:val="20"/>
                <w:szCs w:val="20"/>
                <w:color w:val="auto"/>
              </w:rPr>
            </w:pPr>
            <w:r>
              <w:rPr>
                <w:rFonts w:ascii="Arial" w:cs="Arial" w:eastAsia="Arial" w:hAnsi="Arial"/>
                <w:sz w:val="11"/>
                <w:szCs w:val="11"/>
                <w:b w:val="1"/>
                <w:bCs w:val="1"/>
                <w:color w:val="009BDE"/>
                <w:w w:val="97"/>
              </w:rPr>
              <w:t>No Change in Control</w:t>
            </w:r>
          </w:p>
        </w:tc>
        <w:tc>
          <w:tcPr>
            <w:tcW w:w="180" w:type="dxa"/>
            <w:vAlign w:val="bottom"/>
            <w:tcBorders>
              <w:bottom w:val="single" w:sz="8" w:color="009BDE"/>
            </w:tcBorders>
            <w:shd w:val="clear" w:color="auto" w:fill="CCEBF8"/>
          </w:tcPr>
          <w:p>
            <w:pPr>
              <w:spacing w:after="0"/>
              <w:rPr>
                <w:sz w:val="12"/>
                <w:szCs w:val="12"/>
                <w:color w:val="auto"/>
              </w:rPr>
            </w:pPr>
          </w:p>
        </w:tc>
        <w:tc>
          <w:tcPr>
            <w:tcW w:w="600" w:type="dxa"/>
            <w:vAlign w:val="bottom"/>
            <w:tcBorders>
              <w:bottom w:val="single" w:sz="8" w:color="009BDE"/>
            </w:tcBorders>
            <w:shd w:val="clear" w:color="auto" w:fill="CCEBF8"/>
          </w:tcPr>
          <w:p>
            <w:pPr>
              <w:spacing w:after="0"/>
              <w:rPr>
                <w:sz w:val="12"/>
                <w:szCs w:val="12"/>
                <w:color w:val="auto"/>
              </w:rPr>
            </w:pPr>
          </w:p>
        </w:tc>
        <w:tc>
          <w:tcPr>
            <w:tcW w:w="300" w:type="dxa"/>
            <w:vAlign w:val="bottom"/>
            <w:tcBorders>
              <w:bottom w:val="single" w:sz="8" w:color="CCEBF8"/>
            </w:tcBorders>
            <w:shd w:val="clear" w:color="auto" w:fill="CCEBF8"/>
          </w:tcPr>
          <w:p>
            <w:pPr>
              <w:spacing w:after="0"/>
              <w:rPr>
                <w:sz w:val="12"/>
                <w:szCs w:val="12"/>
                <w:color w:val="auto"/>
              </w:rPr>
            </w:pPr>
          </w:p>
        </w:tc>
        <w:tc>
          <w:tcPr>
            <w:tcW w:w="140" w:type="dxa"/>
            <w:vAlign w:val="bottom"/>
            <w:tcBorders>
              <w:bottom w:val="single" w:sz="8" w:color="009BDE"/>
            </w:tcBorders>
            <w:shd w:val="clear" w:color="auto" w:fill="CCEBF8"/>
          </w:tcPr>
          <w:p>
            <w:pPr>
              <w:spacing w:after="0"/>
              <w:rPr>
                <w:sz w:val="12"/>
                <w:szCs w:val="12"/>
                <w:color w:val="auto"/>
              </w:rPr>
            </w:pPr>
          </w:p>
        </w:tc>
        <w:tc>
          <w:tcPr>
            <w:tcW w:w="1620" w:type="dxa"/>
            <w:vAlign w:val="bottom"/>
            <w:tcBorders>
              <w:bottom w:val="single" w:sz="8" w:color="009BDE"/>
            </w:tcBorders>
            <w:gridSpan w:val="3"/>
            <w:shd w:val="clear" w:color="auto" w:fill="CCEBF8"/>
          </w:tcPr>
          <w:p>
            <w:pPr>
              <w:jc w:val="right"/>
              <w:ind w:right="466"/>
              <w:spacing w:after="0"/>
              <w:rPr>
                <w:sz w:val="20"/>
                <w:szCs w:val="20"/>
                <w:color w:val="auto"/>
              </w:rPr>
            </w:pPr>
            <w:r>
              <w:rPr>
                <w:rFonts w:ascii="Arial" w:cs="Arial" w:eastAsia="Arial" w:hAnsi="Arial"/>
                <w:sz w:val="11"/>
                <w:szCs w:val="11"/>
                <w:b w:val="1"/>
                <w:bCs w:val="1"/>
                <w:color w:val="009BDE"/>
              </w:rPr>
              <w:t>Change in Control</w:t>
            </w:r>
          </w:p>
        </w:tc>
        <w:tc>
          <w:tcPr>
            <w:tcW w:w="0" w:type="dxa"/>
            <w:vAlign w:val="bottom"/>
          </w:tcPr>
          <w:p>
            <w:pPr>
              <w:spacing w:after="0"/>
              <w:rPr>
                <w:sz w:val="1"/>
                <w:szCs w:val="1"/>
                <w:color w:val="auto"/>
              </w:rPr>
            </w:pPr>
          </w:p>
        </w:tc>
      </w:tr>
      <w:tr>
        <w:trPr>
          <w:trHeight w:val="113"/>
        </w:trPr>
        <w:tc>
          <w:tcPr>
            <w:tcW w:w="2280" w:type="dxa"/>
            <w:vAlign w:val="bottom"/>
            <w:shd w:val="clear" w:color="auto" w:fill="CCEBF8"/>
          </w:tcPr>
          <w:p>
            <w:pPr>
              <w:spacing w:after="0"/>
              <w:rPr>
                <w:sz w:val="9"/>
                <w:szCs w:val="9"/>
                <w:color w:val="auto"/>
              </w:rPr>
            </w:pPr>
          </w:p>
        </w:tc>
        <w:tc>
          <w:tcPr>
            <w:tcW w:w="280" w:type="dxa"/>
            <w:vAlign w:val="bottom"/>
            <w:shd w:val="clear" w:color="auto" w:fill="CCEBF8"/>
          </w:tcPr>
          <w:p>
            <w:pPr>
              <w:spacing w:after="0"/>
              <w:rPr>
                <w:sz w:val="9"/>
                <w:szCs w:val="9"/>
                <w:color w:val="auto"/>
              </w:rPr>
            </w:pPr>
          </w:p>
        </w:tc>
        <w:tc>
          <w:tcPr>
            <w:tcW w:w="80" w:type="dxa"/>
            <w:vAlign w:val="bottom"/>
            <w:shd w:val="clear" w:color="auto" w:fill="CCEBF8"/>
          </w:tcPr>
          <w:p>
            <w:pPr>
              <w:spacing w:after="0"/>
              <w:rPr>
                <w:sz w:val="9"/>
                <w:szCs w:val="9"/>
                <w:color w:val="auto"/>
              </w:rPr>
            </w:pPr>
          </w:p>
        </w:tc>
        <w:tc>
          <w:tcPr>
            <w:tcW w:w="700" w:type="dxa"/>
            <w:vAlign w:val="bottom"/>
            <w:shd w:val="clear" w:color="auto" w:fill="CCEBF8"/>
          </w:tcPr>
          <w:p>
            <w:pPr>
              <w:spacing w:after="0"/>
              <w:rPr>
                <w:sz w:val="9"/>
                <w:szCs w:val="9"/>
                <w:color w:val="auto"/>
              </w:rPr>
            </w:pPr>
          </w:p>
        </w:tc>
        <w:tc>
          <w:tcPr>
            <w:tcW w:w="380" w:type="dxa"/>
            <w:vAlign w:val="bottom"/>
            <w:shd w:val="clear" w:color="auto" w:fill="CCEBF8"/>
          </w:tcPr>
          <w:p>
            <w:pPr>
              <w:spacing w:after="0"/>
              <w:rPr>
                <w:sz w:val="9"/>
                <w:szCs w:val="9"/>
                <w:color w:val="auto"/>
              </w:rPr>
            </w:pPr>
          </w:p>
        </w:tc>
        <w:tc>
          <w:tcPr>
            <w:tcW w:w="780" w:type="dxa"/>
            <w:vAlign w:val="bottom"/>
            <w:shd w:val="clear" w:color="auto" w:fill="CCEBF8"/>
          </w:tcPr>
          <w:p>
            <w:pPr>
              <w:spacing w:after="0"/>
              <w:rPr>
                <w:sz w:val="9"/>
                <w:szCs w:val="9"/>
                <w:color w:val="auto"/>
              </w:rPr>
            </w:pPr>
          </w:p>
        </w:tc>
        <w:tc>
          <w:tcPr>
            <w:tcW w:w="180" w:type="dxa"/>
            <w:vAlign w:val="bottom"/>
            <w:shd w:val="clear" w:color="auto" w:fill="CCEBF8"/>
          </w:tcPr>
          <w:p>
            <w:pPr>
              <w:spacing w:after="0"/>
              <w:rPr>
                <w:sz w:val="9"/>
                <w:szCs w:val="9"/>
                <w:color w:val="auto"/>
              </w:rPr>
            </w:pPr>
          </w:p>
        </w:tc>
        <w:tc>
          <w:tcPr>
            <w:tcW w:w="600" w:type="dxa"/>
            <w:vAlign w:val="bottom"/>
            <w:shd w:val="clear" w:color="auto" w:fill="CCEBF8"/>
          </w:tcPr>
          <w:p>
            <w:pPr>
              <w:spacing w:after="0"/>
              <w:rPr>
                <w:sz w:val="9"/>
                <w:szCs w:val="9"/>
                <w:color w:val="auto"/>
              </w:rPr>
            </w:pPr>
          </w:p>
        </w:tc>
        <w:tc>
          <w:tcPr>
            <w:tcW w:w="300" w:type="dxa"/>
            <w:vAlign w:val="bottom"/>
            <w:shd w:val="clear" w:color="auto" w:fill="CCEBF8"/>
          </w:tcPr>
          <w:p>
            <w:pPr>
              <w:spacing w:after="0"/>
              <w:rPr>
                <w:sz w:val="9"/>
                <w:szCs w:val="9"/>
                <w:color w:val="auto"/>
              </w:rPr>
            </w:pPr>
          </w:p>
        </w:tc>
        <w:tc>
          <w:tcPr>
            <w:tcW w:w="140" w:type="dxa"/>
            <w:vAlign w:val="bottom"/>
            <w:shd w:val="clear" w:color="auto" w:fill="CCEBF8"/>
          </w:tcPr>
          <w:p>
            <w:pPr>
              <w:spacing w:after="0"/>
              <w:rPr>
                <w:sz w:val="9"/>
                <w:szCs w:val="9"/>
                <w:color w:val="auto"/>
              </w:rPr>
            </w:pPr>
          </w:p>
        </w:tc>
        <w:tc>
          <w:tcPr>
            <w:tcW w:w="580" w:type="dxa"/>
            <w:vAlign w:val="bottom"/>
            <w:shd w:val="clear" w:color="auto" w:fill="CCEBF8"/>
          </w:tcPr>
          <w:p>
            <w:pPr>
              <w:spacing w:after="0"/>
              <w:rPr>
                <w:sz w:val="9"/>
                <w:szCs w:val="9"/>
                <w:color w:val="auto"/>
              </w:rPr>
            </w:pPr>
          </w:p>
        </w:tc>
        <w:tc>
          <w:tcPr>
            <w:tcW w:w="160" w:type="dxa"/>
            <w:vAlign w:val="bottom"/>
            <w:shd w:val="clear" w:color="auto" w:fill="CCEBF8"/>
          </w:tcPr>
          <w:p>
            <w:pPr>
              <w:spacing w:after="0"/>
              <w:rPr>
                <w:sz w:val="9"/>
                <w:szCs w:val="9"/>
                <w:color w:val="auto"/>
              </w:rPr>
            </w:pPr>
          </w:p>
        </w:tc>
        <w:tc>
          <w:tcPr>
            <w:tcW w:w="880" w:type="dxa"/>
            <w:vAlign w:val="bottom"/>
            <w:shd w:val="clear" w:color="auto" w:fill="CCEBF8"/>
          </w:tcPr>
          <w:p>
            <w:pPr>
              <w:jc w:val="center"/>
              <w:ind w:right="186"/>
              <w:spacing w:after="0" w:line="113" w:lineRule="exact"/>
              <w:rPr>
                <w:sz w:val="20"/>
                <w:szCs w:val="20"/>
                <w:color w:val="auto"/>
              </w:rPr>
            </w:pPr>
            <w:r>
              <w:rPr>
                <w:rFonts w:ascii="Arial" w:cs="Arial" w:eastAsia="Arial" w:hAnsi="Arial"/>
                <w:sz w:val="11"/>
                <w:szCs w:val="11"/>
                <w:b w:val="1"/>
                <w:bCs w:val="1"/>
                <w:color w:val="009BDE"/>
              </w:rPr>
              <w:t>Involuntary</w:t>
            </w:r>
          </w:p>
        </w:tc>
        <w:tc>
          <w:tcPr>
            <w:tcW w:w="0" w:type="dxa"/>
            <w:vAlign w:val="bottom"/>
          </w:tcPr>
          <w:p>
            <w:pPr>
              <w:spacing w:after="0"/>
              <w:rPr>
                <w:sz w:val="1"/>
                <w:szCs w:val="1"/>
                <w:color w:val="auto"/>
              </w:rPr>
            </w:pPr>
          </w:p>
        </w:tc>
      </w:tr>
      <w:tr>
        <w:trPr>
          <w:trHeight w:val="126"/>
        </w:trPr>
        <w:tc>
          <w:tcPr>
            <w:tcW w:w="2280" w:type="dxa"/>
            <w:vAlign w:val="bottom"/>
            <w:shd w:val="clear" w:color="auto" w:fill="CCEBF8"/>
          </w:tcPr>
          <w:p>
            <w:pPr>
              <w:spacing w:after="0"/>
              <w:rPr>
                <w:sz w:val="10"/>
                <w:szCs w:val="10"/>
                <w:color w:val="auto"/>
              </w:rPr>
            </w:pPr>
          </w:p>
        </w:tc>
        <w:tc>
          <w:tcPr>
            <w:tcW w:w="280" w:type="dxa"/>
            <w:vAlign w:val="bottom"/>
            <w:shd w:val="clear" w:color="auto" w:fill="CCEBF8"/>
          </w:tcPr>
          <w:p>
            <w:pPr>
              <w:spacing w:after="0"/>
              <w:rPr>
                <w:sz w:val="10"/>
                <w:szCs w:val="10"/>
                <w:color w:val="auto"/>
              </w:rPr>
            </w:pPr>
          </w:p>
        </w:tc>
        <w:tc>
          <w:tcPr>
            <w:tcW w:w="80" w:type="dxa"/>
            <w:vAlign w:val="bottom"/>
            <w:shd w:val="clear" w:color="auto" w:fill="CCEBF8"/>
          </w:tcPr>
          <w:p>
            <w:pPr>
              <w:spacing w:after="0"/>
              <w:rPr>
                <w:sz w:val="10"/>
                <w:szCs w:val="10"/>
                <w:color w:val="auto"/>
              </w:rPr>
            </w:pPr>
          </w:p>
        </w:tc>
        <w:tc>
          <w:tcPr>
            <w:tcW w:w="700" w:type="dxa"/>
            <w:vAlign w:val="bottom"/>
            <w:shd w:val="clear" w:color="auto" w:fill="CCEBF8"/>
          </w:tcPr>
          <w:p>
            <w:pPr>
              <w:spacing w:after="0"/>
              <w:rPr>
                <w:sz w:val="10"/>
                <w:szCs w:val="10"/>
                <w:color w:val="auto"/>
              </w:rPr>
            </w:pPr>
          </w:p>
        </w:tc>
        <w:tc>
          <w:tcPr>
            <w:tcW w:w="380" w:type="dxa"/>
            <w:vAlign w:val="bottom"/>
            <w:shd w:val="clear" w:color="auto" w:fill="CCEBF8"/>
          </w:tcPr>
          <w:p>
            <w:pPr>
              <w:spacing w:after="0"/>
              <w:rPr>
                <w:sz w:val="10"/>
                <w:szCs w:val="10"/>
                <w:color w:val="auto"/>
              </w:rPr>
            </w:pPr>
          </w:p>
        </w:tc>
        <w:tc>
          <w:tcPr>
            <w:tcW w:w="780" w:type="dxa"/>
            <w:vAlign w:val="bottom"/>
            <w:shd w:val="clear" w:color="auto" w:fill="CCEBF8"/>
          </w:tcPr>
          <w:p>
            <w:pPr>
              <w:spacing w:after="0"/>
              <w:rPr>
                <w:sz w:val="10"/>
                <w:szCs w:val="10"/>
                <w:color w:val="auto"/>
              </w:rPr>
            </w:pPr>
          </w:p>
        </w:tc>
        <w:tc>
          <w:tcPr>
            <w:tcW w:w="180" w:type="dxa"/>
            <w:vAlign w:val="bottom"/>
            <w:shd w:val="clear" w:color="auto" w:fill="CCEBF8"/>
          </w:tcPr>
          <w:p>
            <w:pPr>
              <w:spacing w:after="0"/>
              <w:rPr>
                <w:sz w:val="10"/>
                <w:szCs w:val="10"/>
                <w:color w:val="auto"/>
              </w:rPr>
            </w:pPr>
          </w:p>
        </w:tc>
        <w:tc>
          <w:tcPr>
            <w:tcW w:w="600" w:type="dxa"/>
            <w:vAlign w:val="bottom"/>
            <w:shd w:val="clear" w:color="auto" w:fill="CCEBF8"/>
          </w:tcPr>
          <w:p>
            <w:pPr>
              <w:spacing w:after="0"/>
              <w:rPr>
                <w:sz w:val="10"/>
                <w:szCs w:val="10"/>
                <w:color w:val="auto"/>
              </w:rPr>
            </w:pPr>
          </w:p>
        </w:tc>
        <w:tc>
          <w:tcPr>
            <w:tcW w:w="300" w:type="dxa"/>
            <w:vAlign w:val="bottom"/>
            <w:shd w:val="clear" w:color="auto" w:fill="CCEBF8"/>
          </w:tcPr>
          <w:p>
            <w:pPr>
              <w:spacing w:after="0"/>
              <w:rPr>
                <w:sz w:val="10"/>
                <w:szCs w:val="10"/>
                <w:color w:val="auto"/>
              </w:rPr>
            </w:pPr>
          </w:p>
        </w:tc>
        <w:tc>
          <w:tcPr>
            <w:tcW w:w="140" w:type="dxa"/>
            <w:vAlign w:val="bottom"/>
            <w:shd w:val="clear" w:color="auto" w:fill="CCEBF8"/>
          </w:tcPr>
          <w:p>
            <w:pPr>
              <w:spacing w:after="0"/>
              <w:rPr>
                <w:sz w:val="10"/>
                <w:szCs w:val="10"/>
                <w:color w:val="auto"/>
              </w:rPr>
            </w:pPr>
          </w:p>
        </w:tc>
        <w:tc>
          <w:tcPr>
            <w:tcW w:w="580" w:type="dxa"/>
            <w:vAlign w:val="bottom"/>
            <w:shd w:val="clear" w:color="auto" w:fill="CCEBF8"/>
          </w:tcPr>
          <w:p>
            <w:pPr>
              <w:spacing w:after="0"/>
              <w:rPr>
                <w:sz w:val="10"/>
                <w:szCs w:val="10"/>
                <w:color w:val="auto"/>
              </w:rPr>
            </w:pPr>
          </w:p>
        </w:tc>
        <w:tc>
          <w:tcPr>
            <w:tcW w:w="1040" w:type="dxa"/>
            <w:vAlign w:val="bottom"/>
            <w:gridSpan w:val="2"/>
            <w:shd w:val="clear" w:color="auto" w:fill="CCEBF8"/>
          </w:tcPr>
          <w:p>
            <w:pPr>
              <w:ind w:left="120"/>
              <w:spacing w:after="0"/>
              <w:rPr>
                <w:sz w:val="20"/>
                <w:szCs w:val="20"/>
                <w:color w:val="auto"/>
              </w:rPr>
            </w:pPr>
            <w:r>
              <w:rPr>
                <w:rFonts w:ascii="Arial" w:cs="Arial" w:eastAsia="Arial" w:hAnsi="Arial"/>
                <w:sz w:val="11"/>
                <w:szCs w:val="11"/>
                <w:b w:val="1"/>
                <w:bCs w:val="1"/>
                <w:color w:val="009BDE"/>
              </w:rPr>
              <w:t>Termination in</w:t>
            </w:r>
          </w:p>
        </w:tc>
        <w:tc>
          <w:tcPr>
            <w:tcW w:w="0" w:type="dxa"/>
            <w:vAlign w:val="bottom"/>
          </w:tcPr>
          <w:p>
            <w:pPr>
              <w:spacing w:after="0"/>
              <w:rPr>
                <w:sz w:val="1"/>
                <w:szCs w:val="1"/>
                <w:color w:val="auto"/>
              </w:rPr>
            </w:pPr>
          </w:p>
        </w:tc>
      </w:tr>
      <w:tr>
        <w:trPr>
          <w:trHeight w:val="126"/>
        </w:trPr>
        <w:tc>
          <w:tcPr>
            <w:tcW w:w="2280" w:type="dxa"/>
            <w:vAlign w:val="bottom"/>
            <w:shd w:val="clear" w:color="auto" w:fill="CCEBF8"/>
          </w:tcPr>
          <w:p>
            <w:pPr>
              <w:spacing w:after="0"/>
              <w:rPr>
                <w:sz w:val="10"/>
                <w:szCs w:val="10"/>
                <w:color w:val="auto"/>
              </w:rPr>
            </w:pPr>
          </w:p>
        </w:tc>
        <w:tc>
          <w:tcPr>
            <w:tcW w:w="280" w:type="dxa"/>
            <w:vAlign w:val="bottom"/>
            <w:shd w:val="clear" w:color="auto" w:fill="CCEBF8"/>
          </w:tcPr>
          <w:p>
            <w:pPr>
              <w:spacing w:after="0"/>
              <w:rPr>
                <w:sz w:val="10"/>
                <w:szCs w:val="10"/>
                <w:color w:val="auto"/>
              </w:rPr>
            </w:pPr>
          </w:p>
        </w:tc>
        <w:tc>
          <w:tcPr>
            <w:tcW w:w="80" w:type="dxa"/>
            <w:vAlign w:val="bottom"/>
            <w:shd w:val="clear" w:color="auto" w:fill="CCEBF8"/>
          </w:tcPr>
          <w:p>
            <w:pPr>
              <w:spacing w:after="0"/>
              <w:rPr>
                <w:sz w:val="10"/>
                <w:szCs w:val="10"/>
                <w:color w:val="auto"/>
              </w:rPr>
            </w:pPr>
          </w:p>
        </w:tc>
        <w:tc>
          <w:tcPr>
            <w:tcW w:w="700" w:type="dxa"/>
            <w:vAlign w:val="bottom"/>
            <w:shd w:val="clear" w:color="auto" w:fill="CCEBF8"/>
          </w:tcPr>
          <w:p>
            <w:pPr>
              <w:spacing w:after="0"/>
              <w:rPr>
                <w:sz w:val="10"/>
                <w:szCs w:val="10"/>
                <w:color w:val="auto"/>
              </w:rPr>
            </w:pPr>
          </w:p>
        </w:tc>
        <w:tc>
          <w:tcPr>
            <w:tcW w:w="1160" w:type="dxa"/>
            <w:vAlign w:val="bottom"/>
            <w:gridSpan w:val="2"/>
            <w:vMerge w:val="restart"/>
            <w:shd w:val="clear" w:color="auto" w:fill="CCEBF8"/>
          </w:tcPr>
          <w:p>
            <w:pPr>
              <w:jc w:val="right"/>
              <w:ind w:right="306"/>
              <w:spacing w:after="0"/>
              <w:rPr>
                <w:sz w:val="20"/>
                <w:szCs w:val="20"/>
                <w:color w:val="auto"/>
              </w:rPr>
            </w:pPr>
            <w:r>
              <w:rPr>
                <w:rFonts w:ascii="Arial" w:cs="Arial" w:eastAsia="Arial" w:hAnsi="Arial"/>
                <w:sz w:val="11"/>
                <w:szCs w:val="11"/>
                <w:b w:val="1"/>
                <w:bCs w:val="1"/>
                <w:color w:val="009BDE"/>
              </w:rPr>
              <w:t>Death or</w:t>
            </w:r>
          </w:p>
        </w:tc>
        <w:tc>
          <w:tcPr>
            <w:tcW w:w="180" w:type="dxa"/>
            <w:vAlign w:val="bottom"/>
            <w:shd w:val="clear" w:color="auto" w:fill="CCEBF8"/>
          </w:tcPr>
          <w:p>
            <w:pPr>
              <w:spacing w:after="0"/>
              <w:rPr>
                <w:sz w:val="10"/>
                <w:szCs w:val="10"/>
                <w:color w:val="auto"/>
              </w:rPr>
            </w:pPr>
          </w:p>
        </w:tc>
        <w:tc>
          <w:tcPr>
            <w:tcW w:w="600" w:type="dxa"/>
            <w:vAlign w:val="bottom"/>
            <w:shd w:val="clear" w:color="auto" w:fill="CCEBF8"/>
          </w:tcPr>
          <w:p>
            <w:pPr>
              <w:spacing w:after="0"/>
              <w:rPr>
                <w:sz w:val="10"/>
                <w:szCs w:val="10"/>
                <w:color w:val="auto"/>
              </w:rPr>
            </w:pPr>
          </w:p>
        </w:tc>
        <w:tc>
          <w:tcPr>
            <w:tcW w:w="300" w:type="dxa"/>
            <w:vAlign w:val="bottom"/>
            <w:shd w:val="clear" w:color="auto" w:fill="CCEBF8"/>
          </w:tcPr>
          <w:p>
            <w:pPr>
              <w:spacing w:after="0"/>
              <w:rPr>
                <w:sz w:val="10"/>
                <w:szCs w:val="10"/>
                <w:color w:val="auto"/>
              </w:rPr>
            </w:pPr>
          </w:p>
        </w:tc>
        <w:tc>
          <w:tcPr>
            <w:tcW w:w="140" w:type="dxa"/>
            <w:vAlign w:val="bottom"/>
            <w:shd w:val="clear" w:color="auto" w:fill="CCEBF8"/>
          </w:tcPr>
          <w:p>
            <w:pPr>
              <w:spacing w:after="0"/>
              <w:rPr>
                <w:sz w:val="10"/>
                <w:szCs w:val="10"/>
                <w:color w:val="auto"/>
              </w:rPr>
            </w:pPr>
          </w:p>
        </w:tc>
        <w:tc>
          <w:tcPr>
            <w:tcW w:w="580" w:type="dxa"/>
            <w:vAlign w:val="bottom"/>
            <w:vMerge w:val="restart"/>
            <w:shd w:val="clear" w:color="auto" w:fill="CCEBF8"/>
          </w:tcPr>
          <w:p>
            <w:pPr>
              <w:jc w:val="right"/>
              <w:ind w:right="286"/>
              <w:spacing w:after="0"/>
              <w:rPr>
                <w:sz w:val="20"/>
                <w:szCs w:val="20"/>
                <w:color w:val="auto"/>
              </w:rPr>
            </w:pPr>
            <w:r>
              <w:rPr>
                <w:rFonts w:ascii="Arial" w:cs="Arial" w:eastAsia="Arial" w:hAnsi="Arial"/>
                <w:sz w:val="11"/>
                <w:szCs w:val="11"/>
                <w:b w:val="1"/>
                <w:bCs w:val="1"/>
                <w:color w:val="009BDE"/>
              </w:rPr>
              <w:t>No</w:t>
            </w:r>
          </w:p>
        </w:tc>
        <w:tc>
          <w:tcPr>
            <w:tcW w:w="160" w:type="dxa"/>
            <w:vAlign w:val="bottom"/>
            <w:shd w:val="clear" w:color="auto" w:fill="CCEBF8"/>
          </w:tcPr>
          <w:p>
            <w:pPr>
              <w:spacing w:after="0"/>
              <w:rPr>
                <w:sz w:val="10"/>
                <w:szCs w:val="10"/>
                <w:color w:val="auto"/>
              </w:rPr>
            </w:pPr>
          </w:p>
        </w:tc>
        <w:tc>
          <w:tcPr>
            <w:tcW w:w="880" w:type="dxa"/>
            <w:vAlign w:val="bottom"/>
            <w:shd w:val="clear" w:color="auto" w:fill="CCEBF8"/>
          </w:tcPr>
          <w:p>
            <w:pPr>
              <w:jc w:val="center"/>
              <w:ind w:right="186"/>
              <w:spacing w:after="0"/>
              <w:rPr>
                <w:sz w:val="20"/>
                <w:szCs w:val="20"/>
                <w:color w:val="auto"/>
              </w:rPr>
            </w:pPr>
            <w:r>
              <w:rPr>
                <w:rFonts w:ascii="Arial" w:cs="Arial" w:eastAsia="Arial" w:hAnsi="Arial"/>
                <w:sz w:val="11"/>
                <w:szCs w:val="11"/>
                <w:b w:val="1"/>
                <w:bCs w:val="1"/>
                <w:color w:val="009BDE"/>
                <w:w w:val="95"/>
              </w:rPr>
              <w:t>connection</w:t>
            </w:r>
          </w:p>
        </w:tc>
        <w:tc>
          <w:tcPr>
            <w:tcW w:w="0" w:type="dxa"/>
            <w:vAlign w:val="bottom"/>
          </w:tcPr>
          <w:p>
            <w:pPr>
              <w:spacing w:after="0"/>
              <w:rPr>
                <w:sz w:val="1"/>
                <w:szCs w:val="1"/>
                <w:color w:val="auto"/>
              </w:rPr>
            </w:pPr>
          </w:p>
        </w:tc>
      </w:tr>
      <w:tr>
        <w:trPr>
          <w:trHeight w:val="117"/>
        </w:trPr>
        <w:tc>
          <w:tcPr>
            <w:tcW w:w="2280" w:type="dxa"/>
            <w:vAlign w:val="bottom"/>
            <w:shd w:val="clear" w:color="auto" w:fill="CCEBF8"/>
          </w:tcPr>
          <w:p>
            <w:pPr>
              <w:spacing w:after="0"/>
              <w:rPr>
                <w:sz w:val="10"/>
                <w:szCs w:val="10"/>
                <w:color w:val="auto"/>
              </w:rPr>
            </w:pPr>
          </w:p>
        </w:tc>
        <w:tc>
          <w:tcPr>
            <w:tcW w:w="280" w:type="dxa"/>
            <w:vAlign w:val="bottom"/>
            <w:shd w:val="clear" w:color="auto" w:fill="CCEBF8"/>
          </w:tcPr>
          <w:p>
            <w:pPr>
              <w:spacing w:after="0"/>
              <w:rPr>
                <w:sz w:val="10"/>
                <w:szCs w:val="10"/>
                <w:color w:val="auto"/>
              </w:rPr>
            </w:pPr>
          </w:p>
        </w:tc>
        <w:tc>
          <w:tcPr>
            <w:tcW w:w="80" w:type="dxa"/>
            <w:vAlign w:val="bottom"/>
            <w:shd w:val="clear" w:color="auto" w:fill="CCEBF8"/>
          </w:tcPr>
          <w:p>
            <w:pPr>
              <w:spacing w:after="0"/>
              <w:rPr>
                <w:sz w:val="10"/>
                <w:szCs w:val="10"/>
                <w:color w:val="auto"/>
              </w:rPr>
            </w:pPr>
          </w:p>
        </w:tc>
        <w:tc>
          <w:tcPr>
            <w:tcW w:w="700" w:type="dxa"/>
            <w:vAlign w:val="bottom"/>
            <w:shd w:val="clear" w:color="auto" w:fill="CCEBF8"/>
          </w:tcPr>
          <w:p>
            <w:pPr>
              <w:jc w:val="right"/>
              <w:ind w:right="46"/>
              <w:spacing w:after="0" w:line="117" w:lineRule="exact"/>
              <w:rPr>
                <w:sz w:val="20"/>
                <w:szCs w:val="20"/>
                <w:color w:val="auto"/>
              </w:rPr>
            </w:pPr>
            <w:r>
              <w:rPr>
                <w:rFonts w:ascii="Arial" w:cs="Arial" w:eastAsia="Arial" w:hAnsi="Arial"/>
                <w:sz w:val="11"/>
                <w:szCs w:val="11"/>
                <w:b w:val="1"/>
                <w:bCs w:val="1"/>
                <w:color w:val="009BDE"/>
                <w:w w:val="97"/>
              </w:rPr>
              <w:t>Involuntary</w:t>
            </w:r>
          </w:p>
        </w:tc>
        <w:tc>
          <w:tcPr>
            <w:tcW w:w="1160" w:type="dxa"/>
            <w:vAlign w:val="bottom"/>
            <w:gridSpan w:val="2"/>
            <w:vMerge w:val="continue"/>
            <w:shd w:val="clear" w:color="auto" w:fill="CCEBF8"/>
          </w:tcPr>
          <w:p>
            <w:pPr>
              <w:spacing w:after="0"/>
              <w:rPr>
                <w:sz w:val="10"/>
                <w:szCs w:val="10"/>
                <w:color w:val="auto"/>
              </w:rPr>
            </w:pPr>
          </w:p>
        </w:tc>
        <w:tc>
          <w:tcPr>
            <w:tcW w:w="180" w:type="dxa"/>
            <w:vAlign w:val="bottom"/>
            <w:shd w:val="clear" w:color="auto" w:fill="CCEBF8"/>
          </w:tcPr>
          <w:p>
            <w:pPr>
              <w:spacing w:after="0"/>
              <w:rPr>
                <w:sz w:val="10"/>
                <w:szCs w:val="10"/>
                <w:color w:val="auto"/>
              </w:rPr>
            </w:pPr>
          </w:p>
        </w:tc>
        <w:tc>
          <w:tcPr>
            <w:tcW w:w="600" w:type="dxa"/>
            <w:vAlign w:val="bottom"/>
            <w:shd w:val="clear" w:color="auto" w:fill="CCEBF8"/>
          </w:tcPr>
          <w:p>
            <w:pPr>
              <w:spacing w:after="0"/>
              <w:rPr>
                <w:sz w:val="10"/>
                <w:szCs w:val="10"/>
                <w:color w:val="auto"/>
              </w:rPr>
            </w:pPr>
          </w:p>
        </w:tc>
        <w:tc>
          <w:tcPr>
            <w:tcW w:w="300" w:type="dxa"/>
            <w:vAlign w:val="bottom"/>
            <w:shd w:val="clear" w:color="auto" w:fill="CCEBF8"/>
          </w:tcPr>
          <w:p>
            <w:pPr>
              <w:spacing w:after="0"/>
              <w:rPr>
                <w:sz w:val="10"/>
                <w:szCs w:val="10"/>
                <w:color w:val="auto"/>
              </w:rPr>
            </w:pPr>
          </w:p>
        </w:tc>
        <w:tc>
          <w:tcPr>
            <w:tcW w:w="140" w:type="dxa"/>
            <w:vAlign w:val="bottom"/>
            <w:shd w:val="clear" w:color="auto" w:fill="CCEBF8"/>
          </w:tcPr>
          <w:p>
            <w:pPr>
              <w:spacing w:after="0"/>
              <w:rPr>
                <w:sz w:val="10"/>
                <w:szCs w:val="10"/>
                <w:color w:val="auto"/>
              </w:rPr>
            </w:pPr>
          </w:p>
        </w:tc>
        <w:tc>
          <w:tcPr>
            <w:tcW w:w="580" w:type="dxa"/>
            <w:vAlign w:val="bottom"/>
            <w:vMerge w:val="continue"/>
            <w:shd w:val="clear" w:color="auto" w:fill="CCEBF8"/>
          </w:tcPr>
          <w:p>
            <w:pPr>
              <w:spacing w:after="0"/>
              <w:rPr>
                <w:sz w:val="10"/>
                <w:szCs w:val="10"/>
                <w:color w:val="auto"/>
              </w:rPr>
            </w:pPr>
          </w:p>
        </w:tc>
        <w:tc>
          <w:tcPr>
            <w:tcW w:w="1040" w:type="dxa"/>
            <w:vAlign w:val="bottom"/>
            <w:gridSpan w:val="2"/>
            <w:shd w:val="clear" w:color="auto" w:fill="CCEBF8"/>
          </w:tcPr>
          <w:p>
            <w:pPr>
              <w:ind w:left="120"/>
              <w:spacing w:after="0" w:line="117" w:lineRule="exact"/>
              <w:rPr>
                <w:sz w:val="20"/>
                <w:szCs w:val="20"/>
                <w:color w:val="auto"/>
              </w:rPr>
            </w:pPr>
            <w:r>
              <w:rPr>
                <w:rFonts w:ascii="Arial" w:cs="Arial" w:eastAsia="Arial" w:hAnsi="Arial"/>
                <w:sz w:val="11"/>
                <w:szCs w:val="11"/>
                <w:b w:val="1"/>
                <w:bCs w:val="1"/>
                <w:color w:val="009BDE"/>
              </w:rPr>
              <w:t>with a change</w:t>
            </w:r>
          </w:p>
        </w:tc>
        <w:tc>
          <w:tcPr>
            <w:tcW w:w="0" w:type="dxa"/>
            <w:vAlign w:val="bottom"/>
          </w:tcPr>
          <w:p>
            <w:pPr>
              <w:spacing w:after="0"/>
              <w:rPr>
                <w:sz w:val="1"/>
                <w:szCs w:val="1"/>
                <w:color w:val="auto"/>
              </w:rPr>
            </w:pPr>
          </w:p>
        </w:tc>
      </w:tr>
      <w:tr>
        <w:trPr>
          <w:trHeight w:val="151"/>
        </w:trPr>
        <w:tc>
          <w:tcPr>
            <w:tcW w:w="2280" w:type="dxa"/>
            <w:vAlign w:val="bottom"/>
            <w:shd w:val="clear" w:color="auto" w:fill="CCEBF8"/>
          </w:tcPr>
          <w:p>
            <w:pPr>
              <w:ind w:left="60"/>
              <w:spacing w:after="0"/>
              <w:rPr>
                <w:sz w:val="20"/>
                <w:szCs w:val="20"/>
                <w:color w:val="auto"/>
              </w:rPr>
            </w:pPr>
            <w:r>
              <w:rPr>
                <w:rFonts w:ascii="Arial" w:cs="Arial" w:eastAsia="Arial" w:hAnsi="Arial"/>
                <w:sz w:val="11"/>
                <w:szCs w:val="11"/>
                <w:b w:val="1"/>
                <w:bCs w:val="1"/>
                <w:color w:val="009BDE"/>
              </w:rPr>
              <w:t>Name</w:t>
            </w:r>
          </w:p>
        </w:tc>
        <w:tc>
          <w:tcPr>
            <w:tcW w:w="280" w:type="dxa"/>
            <w:vAlign w:val="bottom"/>
            <w:shd w:val="clear" w:color="auto" w:fill="CCEBF8"/>
          </w:tcPr>
          <w:p>
            <w:pPr>
              <w:spacing w:after="0"/>
              <w:rPr>
                <w:sz w:val="13"/>
                <w:szCs w:val="13"/>
                <w:color w:val="auto"/>
              </w:rPr>
            </w:pPr>
          </w:p>
        </w:tc>
        <w:tc>
          <w:tcPr>
            <w:tcW w:w="780" w:type="dxa"/>
            <w:vAlign w:val="bottom"/>
            <w:gridSpan w:val="2"/>
            <w:shd w:val="clear" w:color="auto" w:fill="CCEBF8"/>
          </w:tcPr>
          <w:p>
            <w:pPr>
              <w:spacing w:after="0"/>
              <w:rPr>
                <w:sz w:val="20"/>
                <w:szCs w:val="20"/>
                <w:color w:val="auto"/>
              </w:rPr>
            </w:pPr>
            <w:r>
              <w:rPr>
                <w:rFonts w:ascii="Arial" w:cs="Arial" w:eastAsia="Arial" w:hAnsi="Arial"/>
                <w:sz w:val="11"/>
                <w:szCs w:val="11"/>
                <w:b w:val="1"/>
                <w:bCs w:val="1"/>
                <w:color w:val="009BDE"/>
                <w:w w:val="99"/>
              </w:rPr>
              <w:t>Termination(a)</w:t>
            </w:r>
          </w:p>
        </w:tc>
        <w:tc>
          <w:tcPr>
            <w:tcW w:w="1160" w:type="dxa"/>
            <w:vAlign w:val="bottom"/>
            <w:gridSpan w:val="2"/>
            <w:shd w:val="clear" w:color="auto" w:fill="CCEBF8"/>
          </w:tcPr>
          <w:p>
            <w:pPr>
              <w:jc w:val="right"/>
              <w:ind w:right="286"/>
              <w:spacing w:after="0"/>
              <w:rPr>
                <w:sz w:val="20"/>
                <w:szCs w:val="20"/>
                <w:color w:val="auto"/>
              </w:rPr>
            </w:pPr>
            <w:r>
              <w:rPr>
                <w:rFonts w:ascii="Arial" w:cs="Arial" w:eastAsia="Arial" w:hAnsi="Arial"/>
                <w:sz w:val="11"/>
                <w:szCs w:val="11"/>
                <w:b w:val="1"/>
                <w:bCs w:val="1"/>
                <w:color w:val="009BDE"/>
              </w:rPr>
              <w:t>Disability</w:t>
            </w:r>
          </w:p>
        </w:tc>
        <w:tc>
          <w:tcPr>
            <w:tcW w:w="1080" w:type="dxa"/>
            <w:vAlign w:val="bottom"/>
            <w:gridSpan w:val="3"/>
            <w:shd w:val="clear" w:color="auto" w:fill="CCEBF8"/>
          </w:tcPr>
          <w:p>
            <w:pPr>
              <w:ind w:left="40"/>
              <w:spacing w:after="0"/>
              <w:rPr>
                <w:sz w:val="20"/>
                <w:szCs w:val="20"/>
                <w:color w:val="auto"/>
              </w:rPr>
            </w:pPr>
            <w:r>
              <w:rPr>
                <w:rFonts w:ascii="Arial" w:cs="Arial" w:eastAsia="Arial" w:hAnsi="Arial"/>
                <w:sz w:val="11"/>
                <w:szCs w:val="11"/>
                <w:b w:val="1"/>
                <w:bCs w:val="1"/>
                <w:color w:val="009BDE"/>
              </w:rPr>
              <w:t>Retirement(b)</w:t>
            </w:r>
          </w:p>
        </w:tc>
        <w:tc>
          <w:tcPr>
            <w:tcW w:w="720" w:type="dxa"/>
            <w:vAlign w:val="bottom"/>
            <w:gridSpan w:val="2"/>
            <w:shd w:val="clear" w:color="auto" w:fill="CCEBF8"/>
          </w:tcPr>
          <w:p>
            <w:pPr>
              <w:spacing w:after="0"/>
              <w:rPr>
                <w:sz w:val="20"/>
                <w:szCs w:val="20"/>
                <w:color w:val="auto"/>
              </w:rPr>
            </w:pPr>
            <w:r>
              <w:rPr>
                <w:rFonts w:ascii="Arial" w:cs="Arial" w:eastAsia="Arial" w:hAnsi="Arial"/>
                <w:sz w:val="11"/>
                <w:szCs w:val="11"/>
                <w:b w:val="1"/>
                <w:bCs w:val="1"/>
                <w:color w:val="009BDE"/>
              </w:rPr>
              <w:t>Termination</w:t>
            </w:r>
          </w:p>
        </w:tc>
        <w:tc>
          <w:tcPr>
            <w:tcW w:w="160" w:type="dxa"/>
            <w:vAlign w:val="bottom"/>
            <w:shd w:val="clear" w:color="auto" w:fill="CCEBF8"/>
          </w:tcPr>
          <w:p>
            <w:pPr>
              <w:spacing w:after="0"/>
              <w:rPr>
                <w:sz w:val="13"/>
                <w:szCs w:val="13"/>
                <w:color w:val="auto"/>
              </w:rPr>
            </w:pPr>
          </w:p>
        </w:tc>
        <w:tc>
          <w:tcPr>
            <w:tcW w:w="880" w:type="dxa"/>
            <w:vAlign w:val="bottom"/>
            <w:shd w:val="clear" w:color="auto" w:fill="CCEBF8"/>
          </w:tcPr>
          <w:p>
            <w:pPr>
              <w:jc w:val="center"/>
              <w:ind w:right="186"/>
              <w:spacing w:after="0"/>
              <w:rPr>
                <w:sz w:val="20"/>
                <w:szCs w:val="20"/>
                <w:color w:val="auto"/>
              </w:rPr>
            </w:pPr>
            <w:r>
              <w:rPr>
                <w:rFonts w:ascii="Arial" w:cs="Arial" w:eastAsia="Arial" w:hAnsi="Arial"/>
                <w:sz w:val="11"/>
                <w:szCs w:val="11"/>
                <w:b w:val="1"/>
                <w:bCs w:val="1"/>
                <w:color w:val="009BDE"/>
              </w:rPr>
              <w:t>in control(c)</w:t>
            </w:r>
          </w:p>
        </w:tc>
        <w:tc>
          <w:tcPr>
            <w:tcW w:w="0" w:type="dxa"/>
            <w:vAlign w:val="bottom"/>
          </w:tcPr>
          <w:p>
            <w:pPr>
              <w:spacing w:after="0"/>
              <w:rPr>
                <w:sz w:val="1"/>
                <w:szCs w:val="1"/>
                <w:color w:val="auto"/>
              </w:rPr>
            </w:pPr>
          </w:p>
        </w:tc>
      </w:tr>
      <w:tr>
        <w:trPr>
          <w:trHeight w:val="85"/>
        </w:trPr>
        <w:tc>
          <w:tcPr>
            <w:tcW w:w="2280" w:type="dxa"/>
            <w:vAlign w:val="bottom"/>
            <w:tcBorders>
              <w:bottom w:val="single" w:sz="8" w:color="009BDE"/>
            </w:tcBorders>
            <w:shd w:val="clear" w:color="auto" w:fill="CCEBF8"/>
          </w:tcPr>
          <w:p>
            <w:pPr>
              <w:spacing w:after="0"/>
              <w:rPr>
                <w:sz w:val="7"/>
                <w:szCs w:val="7"/>
                <w:color w:val="auto"/>
              </w:rPr>
            </w:pPr>
          </w:p>
        </w:tc>
        <w:tc>
          <w:tcPr>
            <w:tcW w:w="280" w:type="dxa"/>
            <w:vAlign w:val="bottom"/>
            <w:tcBorders>
              <w:bottom w:val="single" w:sz="8" w:color="009BDE"/>
            </w:tcBorders>
            <w:shd w:val="clear" w:color="auto" w:fill="CCEBF8"/>
          </w:tcPr>
          <w:p>
            <w:pPr>
              <w:spacing w:after="0"/>
              <w:rPr>
                <w:sz w:val="7"/>
                <w:szCs w:val="7"/>
                <w:color w:val="auto"/>
              </w:rPr>
            </w:pPr>
          </w:p>
        </w:tc>
        <w:tc>
          <w:tcPr>
            <w:tcW w:w="80" w:type="dxa"/>
            <w:vAlign w:val="bottom"/>
            <w:tcBorders>
              <w:bottom w:val="single" w:sz="8" w:color="009BDE"/>
            </w:tcBorders>
            <w:shd w:val="clear" w:color="auto" w:fill="CCEBF8"/>
          </w:tcPr>
          <w:p>
            <w:pPr>
              <w:spacing w:after="0"/>
              <w:rPr>
                <w:sz w:val="7"/>
                <w:szCs w:val="7"/>
                <w:color w:val="auto"/>
              </w:rPr>
            </w:pPr>
          </w:p>
        </w:tc>
        <w:tc>
          <w:tcPr>
            <w:tcW w:w="700" w:type="dxa"/>
            <w:vAlign w:val="bottom"/>
            <w:tcBorders>
              <w:bottom w:val="single" w:sz="8" w:color="009BDE"/>
            </w:tcBorders>
            <w:shd w:val="clear" w:color="auto" w:fill="CCEBF8"/>
          </w:tcPr>
          <w:p>
            <w:pPr>
              <w:spacing w:after="0"/>
              <w:rPr>
                <w:sz w:val="7"/>
                <w:szCs w:val="7"/>
                <w:color w:val="auto"/>
              </w:rPr>
            </w:pPr>
          </w:p>
        </w:tc>
        <w:tc>
          <w:tcPr>
            <w:tcW w:w="380" w:type="dxa"/>
            <w:vAlign w:val="bottom"/>
            <w:tcBorders>
              <w:bottom w:val="single" w:sz="8" w:color="009BDE"/>
            </w:tcBorders>
            <w:shd w:val="clear" w:color="auto" w:fill="CCEBF8"/>
          </w:tcPr>
          <w:p>
            <w:pPr>
              <w:spacing w:after="0"/>
              <w:rPr>
                <w:sz w:val="7"/>
                <w:szCs w:val="7"/>
                <w:color w:val="auto"/>
              </w:rPr>
            </w:pPr>
          </w:p>
        </w:tc>
        <w:tc>
          <w:tcPr>
            <w:tcW w:w="780" w:type="dxa"/>
            <w:vAlign w:val="bottom"/>
            <w:tcBorders>
              <w:bottom w:val="single" w:sz="8" w:color="009BDE"/>
            </w:tcBorders>
            <w:shd w:val="clear" w:color="auto" w:fill="CCEBF8"/>
          </w:tcPr>
          <w:p>
            <w:pPr>
              <w:spacing w:after="0"/>
              <w:rPr>
                <w:sz w:val="7"/>
                <w:szCs w:val="7"/>
                <w:color w:val="auto"/>
              </w:rPr>
            </w:pPr>
          </w:p>
        </w:tc>
        <w:tc>
          <w:tcPr>
            <w:tcW w:w="180" w:type="dxa"/>
            <w:vAlign w:val="bottom"/>
            <w:tcBorders>
              <w:bottom w:val="single" w:sz="8" w:color="009BDE"/>
            </w:tcBorders>
            <w:shd w:val="clear" w:color="auto" w:fill="CCEBF8"/>
          </w:tcPr>
          <w:p>
            <w:pPr>
              <w:spacing w:after="0"/>
              <w:rPr>
                <w:sz w:val="7"/>
                <w:szCs w:val="7"/>
                <w:color w:val="auto"/>
              </w:rPr>
            </w:pPr>
          </w:p>
        </w:tc>
        <w:tc>
          <w:tcPr>
            <w:tcW w:w="600" w:type="dxa"/>
            <w:vAlign w:val="bottom"/>
            <w:tcBorders>
              <w:bottom w:val="single" w:sz="8" w:color="009BDE"/>
            </w:tcBorders>
            <w:shd w:val="clear" w:color="auto" w:fill="CCEBF8"/>
          </w:tcPr>
          <w:p>
            <w:pPr>
              <w:spacing w:after="0"/>
              <w:rPr>
                <w:sz w:val="7"/>
                <w:szCs w:val="7"/>
                <w:color w:val="auto"/>
              </w:rPr>
            </w:pPr>
          </w:p>
        </w:tc>
        <w:tc>
          <w:tcPr>
            <w:tcW w:w="300" w:type="dxa"/>
            <w:vAlign w:val="bottom"/>
            <w:tcBorders>
              <w:bottom w:val="single" w:sz="8" w:color="009BDE"/>
            </w:tcBorders>
            <w:shd w:val="clear" w:color="auto" w:fill="CCEBF8"/>
          </w:tcPr>
          <w:p>
            <w:pPr>
              <w:spacing w:after="0"/>
              <w:rPr>
                <w:sz w:val="7"/>
                <w:szCs w:val="7"/>
                <w:color w:val="auto"/>
              </w:rPr>
            </w:pPr>
          </w:p>
        </w:tc>
        <w:tc>
          <w:tcPr>
            <w:tcW w:w="140" w:type="dxa"/>
            <w:vAlign w:val="bottom"/>
            <w:tcBorders>
              <w:bottom w:val="single" w:sz="8" w:color="009BDE"/>
            </w:tcBorders>
            <w:shd w:val="clear" w:color="auto" w:fill="CCEBF8"/>
          </w:tcPr>
          <w:p>
            <w:pPr>
              <w:spacing w:after="0"/>
              <w:rPr>
                <w:sz w:val="7"/>
                <w:szCs w:val="7"/>
                <w:color w:val="auto"/>
              </w:rPr>
            </w:pPr>
          </w:p>
        </w:tc>
        <w:tc>
          <w:tcPr>
            <w:tcW w:w="580" w:type="dxa"/>
            <w:vAlign w:val="bottom"/>
            <w:tcBorders>
              <w:bottom w:val="single" w:sz="8" w:color="009BDE"/>
            </w:tcBorders>
            <w:shd w:val="clear" w:color="auto" w:fill="CCEBF8"/>
          </w:tcPr>
          <w:p>
            <w:pPr>
              <w:spacing w:after="0"/>
              <w:rPr>
                <w:sz w:val="7"/>
                <w:szCs w:val="7"/>
                <w:color w:val="auto"/>
              </w:rPr>
            </w:pPr>
          </w:p>
        </w:tc>
        <w:tc>
          <w:tcPr>
            <w:tcW w:w="160" w:type="dxa"/>
            <w:vAlign w:val="bottom"/>
            <w:tcBorders>
              <w:bottom w:val="single" w:sz="8" w:color="009BDE"/>
            </w:tcBorders>
            <w:shd w:val="clear" w:color="auto" w:fill="CCEBF8"/>
          </w:tcPr>
          <w:p>
            <w:pPr>
              <w:spacing w:after="0"/>
              <w:rPr>
                <w:sz w:val="7"/>
                <w:szCs w:val="7"/>
                <w:color w:val="auto"/>
              </w:rPr>
            </w:pPr>
          </w:p>
        </w:tc>
        <w:tc>
          <w:tcPr>
            <w:tcW w:w="880" w:type="dxa"/>
            <w:vAlign w:val="bottom"/>
            <w:tcBorders>
              <w:bottom w:val="single" w:sz="8" w:color="009BDE"/>
            </w:tcBorders>
            <w:shd w:val="clear" w:color="auto" w:fill="CCEBF8"/>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40"/>
              <w:spacing w:after="0"/>
              <w:rPr>
                <w:sz w:val="20"/>
                <w:szCs w:val="20"/>
                <w:color w:val="auto"/>
              </w:rPr>
            </w:pPr>
            <w:r>
              <w:rPr>
                <w:rFonts w:ascii="Arial" w:cs="Arial" w:eastAsia="Arial" w:hAnsi="Arial"/>
                <w:sz w:val="11"/>
                <w:szCs w:val="11"/>
                <w:b w:val="1"/>
                <w:bCs w:val="1"/>
                <w:color w:val="auto"/>
              </w:rPr>
              <w:t>Chris Cocks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Cash Severance</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7,500,000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7,500,000</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FY 2022 Bonus</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Pension</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Other Benefits(d)</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39,410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39,410</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Accelerated Equity(e)</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3,727,273</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w w:val="93"/>
              </w:rPr>
              <w:t>3,727,273</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5,388,034</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b w:val="1"/>
                <w:bCs w:val="1"/>
                <w:color w:val="auto"/>
              </w:rPr>
              <w:t>Total Incremental Benefits</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11,266,683</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w w:val="93"/>
              </w:rPr>
              <w:t>3,727,273</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12,927,444</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40"/>
              <w:spacing w:after="0"/>
              <w:rPr>
                <w:sz w:val="20"/>
                <w:szCs w:val="20"/>
                <w:color w:val="auto"/>
              </w:rPr>
            </w:pPr>
            <w:r>
              <w:rPr>
                <w:rFonts w:ascii="Arial" w:cs="Arial" w:eastAsia="Arial" w:hAnsi="Arial"/>
                <w:sz w:val="11"/>
                <w:szCs w:val="11"/>
                <w:b w:val="1"/>
                <w:bCs w:val="1"/>
                <w:color w:val="auto"/>
              </w:rPr>
              <w:t>Deborah Thomas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Cash Severance</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1,250,000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5,000,000</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FY 2022 Bonus</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Pension</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Other Benefits(d)</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25,934</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25,934</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Accelerated Equity(e)</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w w:val="93"/>
              </w:rPr>
              <w:t>2,036,605</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2,036,605</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3,941,399</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b w:val="1"/>
                <w:bCs w:val="1"/>
                <w:color w:val="auto"/>
              </w:rPr>
              <w:t>Total Incremental Benefits</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1,275,934</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w w:val="93"/>
              </w:rPr>
              <w:t>2,036,605</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2,036,605</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8,967,333</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40"/>
              <w:spacing w:after="0"/>
              <w:rPr>
                <w:sz w:val="20"/>
                <w:szCs w:val="20"/>
                <w:color w:val="auto"/>
              </w:rPr>
            </w:pPr>
            <w:r>
              <w:rPr>
                <w:rFonts w:ascii="Arial" w:cs="Arial" w:eastAsia="Arial" w:hAnsi="Arial"/>
                <w:sz w:val="11"/>
                <w:szCs w:val="11"/>
                <w:b w:val="1"/>
                <w:bCs w:val="1"/>
                <w:color w:val="auto"/>
              </w:rPr>
              <w:t>Cynthia Williams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Cash Severance</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600,000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2,100,000</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FY 2022 Bonus</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Pension</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Other Benefits(d)</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38,602</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38,602</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Accelerated Equity(e)</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rPr>
              <w:t>614,012</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2,145,213</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b w:val="1"/>
                <w:bCs w:val="1"/>
                <w:color w:val="auto"/>
              </w:rPr>
              <w:t>Total Incremental Benefits</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638,602</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rPr>
              <w:t>614,012</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4,283,815</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40"/>
              <w:spacing w:after="0"/>
              <w:rPr>
                <w:sz w:val="20"/>
                <w:szCs w:val="20"/>
                <w:color w:val="auto"/>
              </w:rPr>
            </w:pPr>
            <w:r>
              <w:rPr>
                <w:rFonts w:ascii="Arial" w:cs="Arial" w:eastAsia="Arial" w:hAnsi="Arial"/>
                <w:sz w:val="11"/>
                <w:szCs w:val="11"/>
                <w:b w:val="1"/>
                <w:bCs w:val="1"/>
                <w:color w:val="auto"/>
              </w:rPr>
              <w:t>Eric Nyman</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Cash Severance</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1,650,000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4,400,000</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FY 2022 Bonus</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Pension</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Other Benefits(d)</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50,224</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rPr>
              <w:t>0</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41,816</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color w:val="auto"/>
              </w:rPr>
              <w:t>Accelerated Equity(e)</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1,599,439</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w w:val="93"/>
              </w:rPr>
              <w:t>1,599,439</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3,221,749</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1"/>
                <w:szCs w:val="11"/>
                <w:b w:val="1"/>
                <w:bCs w:val="1"/>
                <w:color w:val="auto"/>
              </w:rPr>
              <w:t>Total Incremental Benefits</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3,299,663</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46"/>
              <w:spacing w:after="0"/>
              <w:rPr>
                <w:sz w:val="20"/>
                <w:szCs w:val="20"/>
                <w:color w:val="auto"/>
              </w:rPr>
            </w:pPr>
            <w:r>
              <w:rPr>
                <w:rFonts w:ascii="Arial" w:cs="Arial" w:eastAsia="Arial" w:hAnsi="Arial"/>
                <w:sz w:val="11"/>
                <w:szCs w:val="11"/>
                <w:color w:val="auto"/>
                <w:w w:val="93"/>
              </w:rPr>
              <w:t>1,599,439</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7,663,565</w:t>
            </w:r>
          </w:p>
        </w:tc>
        <w:tc>
          <w:tcPr>
            <w:tcW w:w="0" w:type="dxa"/>
            <w:vAlign w:val="bottom"/>
          </w:tcPr>
          <w:p>
            <w:pPr>
              <w:spacing w:after="0"/>
              <w:rPr>
                <w:sz w:val="1"/>
                <w:szCs w:val="1"/>
                <w:color w:val="auto"/>
              </w:rPr>
            </w:pPr>
          </w:p>
        </w:tc>
      </w:tr>
      <w:tr>
        <w:trPr>
          <w:trHeight w:val="67"/>
        </w:trPr>
        <w:tc>
          <w:tcPr>
            <w:tcW w:w="228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38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3971925" cy="21717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5"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62</w:t>
      </w:r>
    </w:p>
    <w:p>
      <w:pPr>
        <w:sectPr>
          <w:pgSz w:w="11900" w:h="16838" w:orient="portrait"/>
          <w:cols w:equalWidth="0" w:num="1">
            <w:col w:w="10159"/>
          </w:cols>
          <w:pgMar w:left="300" w:top="372" w:right="1440" w:bottom="1440" w:gutter="0" w:footer="0" w:header="0"/>
        </w:sectPr>
      </w:pPr>
    </w:p>
    <w:bookmarkStart w:id="84" w:name="page85"/>
    <w:bookmarkEnd w:id="8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tbl>
      <w:tblPr>
        <w:tblLayout w:type="fixed"/>
        <w:tblInd w:w="1980" w:type="dxa"/>
        <w:tblCellMar>
          <w:top w:w="0" w:type="dxa"/>
          <w:left w:w="0" w:type="dxa"/>
          <w:bottom w:w="0" w:type="dxa"/>
          <w:right w:w="0" w:type="dxa"/>
        </w:tblCellMar>
      </w:tblPr>
      <w:tr>
        <w:trPr>
          <w:trHeight w:val="144"/>
        </w:trPr>
        <w:tc>
          <w:tcPr>
            <w:tcW w:w="2060" w:type="dxa"/>
            <w:vAlign w:val="bottom"/>
            <w:tcBorders>
              <w:bottom w:val="single" w:sz="8" w:color="CCEBF8"/>
            </w:tcBorders>
            <w:shd w:val="clear" w:color="auto" w:fill="CCEBF8"/>
          </w:tcPr>
          <w:p>
            <w:pPr>
              <w:spacing w:after="0"/>
              <w:rPr>
                <w:sz w:val="12"/>
                <w:szCs w:val="12"/>
                <w:color w:val="auto"/>
              </w:rPr>
            </w:pPr>
          </w:p>
        </w:tc>
        <w:tc>
          <w:tcPr>
            <w:tcW w:w="340" w:type="dxa"/>
            <w:vAlign w:val="bottom"/>
            <w:tcBorders>
              <w:bottom w:val="single" w:sz="8" w:color="CCEBF8"/>
            </w:tcBorders>
            <w:shd w:val="clear" w:color="auto" w:fill="CCEBF8"/>
          </w:tcPr>
          <w:p>
            <w:pPr>
              <w:spacing w:after="0"/>
              <w:rPr>
                <w:sz w:val="12"/>
                <w:szCs w:val="12"/>
                <w:color w:val="auto"/>
              </w:rPr>
            </w:pPr>
          </w:p>
        </w:tc>
        <w:tc>
          <w:tcPr>
            <w:tcW w:w="60" w:type="dxa"/>
            <w:vAlign w:val="bottom"/>
            <w:tcBorders>
              <w:bottom w:val="single" w:sz="8" w:color="009BDE"/>
            </w:tcBorders>
            <w:shd w:val="clear" w:color="auto" w:fill="CCEBF8"/>
          </w:tcPr>
          <w:p>
            <w:pPr>
              <w:spacing w:after="0"/>
              <w:rPr>
                <w:sz w:val="12"/>
                <w:szCs w:val="12"/>
                <w:color w:val="auto"/>
              </w:rPr>
            </w:pPr>
          </w:p>
        </w:tc>
        <w:tc>
          <w:tcPr>
            <w:tcW w:w="720" w:type="dxa"/>
            <w:vAlign w:val="bottom"/>
            <w:tcBorders>
              <w:bottom w:val="single" w:sz="8" w:color="009BDE"/>
            </w:tcBorders>
            <w:shd w:val="clear" w:color="auto" w:fill="CCEBF8"/>
          </w:tcPr>
          <w:p>
            <w:pPr>
              <w:spacing w:after="0"/>
              <w:rPr>
                <w:sz w:val="12"/>
                <w:szCs w:val="12"/>
                <w:color w:val="auto"/>
              </w:rPr>
            </w:pPr>
          </w:p>
        </w:tc>
        <w:tc>
          <w:tcPr>
            <w:tcW w:w="1200" w:type="dxa"/>
            <w:vAlign w:val="bottom"/>
            <w:tcBorders>
              <w:bottom w:val="single" w:sz="8" w:color="009BDE"/>
            </w:tcBorders>
            <w:gridSpan w:val="2"/>
            <w:shd w:val="clear" w:color="auto" w:fill="CCEBF8"/>
          </w:tcPr>
          <w:p>
            <w:pPr>
              <w:jc w:val="right"/>
              <w:spacing w:after="0"/>
              <w:rPr>
                <w:sz w:val="20"/>
                <w:szCs w:val="20"/>
                <w:color w:val="auto"/>
              </w:rPr>
            </w:pPr>
            <w:r>
              <w:rPr>
                <w:rFonts w:ascii="Arial" w:cs="Arial" w:eastAsia="Arial" w:hAnsi="Arial"/>
                <w:sz w:val="11"/>
                <w:szCs w:val="11"/>
                <w:b w:val="1"/>
                <w:bCs w:val="1"/>
                <w:color w:val="009BDE"/>
              </w:rPr>
              <w:t>No Change in Control</w:t>
            </w:r>
          </w:p>
        </w:tc>
        <w:tc>
          <w:tcPr>
            <w:tcW w:w="220" w:type="dxa"/>
            <w:vAlign w:val="bottom"/>
            <w:tcBorders>
              <w:bottom w:val="single" w:sz="8" w:color="009BDE"/>
            </w:tcBorders>
            <w:shd w:val="clear" w:color="auto" w:fill="CCEBF8"/>
          </w:tcPr>
          <w:p>
            <w:pPr>
              <w:spacing w:after="0"/>
              <w:rPr>
                <w:sz w:val="12"/>
                <w:szCs w:val="12"/>
                <w:color w:val="auto"/>
              </w:rPr>
            </w:pPr>
          </w:p>
        </w:tc>
        <w:tc>
          <w:tcPr>
            <w:tcW w:w="600" w:type="dxa"/>
            <w:vAlign w:val="bottom"/>
            <w:tcBorders>
              <w:bottom w:val="single" w:sz="8" w:color="009BDE"/>
            </w:tcBorders>
            <w:shd w:val="clear" w:color="auto" w:fill="CCEBF8"/>
          </w:tcPr>
          <w:p>
            <w:pPr>
              <w:spacing w:after="0"/>
              <w:rPr>
                <w:sz w:val="12"/>
                <w:szCs w:val="12"/>
                <w:color w:val="auto"/>
              </w:rPr>
            </w:pPr>
          </w:p>
        </w:tc>
        <w:tc>
          <w:tcPr>
            <w:tcW w:w="340" w:type="dxa"/>
            <w:vAlign w:val="bottom"/>
            <w:tcBorders>
              <w:bottom w:val="single" w:sz="8" w:color="CCEBF8"/>
            </w:tcBorders>
            <w:shd w:val="clear" w:color="auto" w:fill="CCEBF8"/>
          </w:tcPr>
          <w:p>
            <w:pPr>
              <w:spacing w:after="0"/>
              <w:rPr>
                <w:sz w:val="12"/>
                <w:szCs w:val="12"/>
                <w:color w:val="auto"/>
              </w:rPr>
            </w:pPr>
          </w:p>
        </w:tc>
        <w:tc>
          <w:tcPr>
            <w:tcW w:w="140" w:type="dxa"/>
            <w:vAlign w:val="bottom"/>
            <w:tcBorders>
              <w:bottom w:val="single" w:sz="8" w:color="009BDE"/>
            </w:tcBorders>
            <w:shd w:val="clear" w:color="auto" w:fill="CCEBF8"/>
          </w:tcPr>
          <w:p>
            <w:pPr>
              <w:spacing w:after="0"/>
              <w:rPr>
                <w:sz w:val="12"/>
                <w:szCs w:val="12"/>
                <w:color w:val="auto"/>
              </w:rPr>
            </w:pPr>
          </w:p>
        </w:tc>
        <w:tc>
          <w:tcPr>
            <w:tcW w:w="1660" w:type="dxa"/>
            <w:vAlign w:val="bottom"/>
            <w:tcBorders>
              <w:bottom w:val="single" w:sz="8" w:color="009BDE"/>
            </w:tcBorders>
            <w:gridSpan w:val="3"/>
            <w:shd w:val="clear" w:color="auto" w:fill="CCEBF8"/>
          </w:tcPr>
          <w:p>
            <w:pPr>
              <w:jc w:val="right"/>
              <w:ind w:right="506"/>
              <w:spacing w:after="0"/>
              <w:rPr>
                <w:sz w:val="20"/>
                <w:szCs w:val="20"/>
                <w:color w:val="auto"/>
              </w:rPr>
            </w:pPr>
            <w:r>
              <w:rPr>
                <w:rFonts w:ascii="Arial" w:cs="Arial" w:eastAsia="Arial" w:hAnsi="Arial"/>
                <w:sz w:val="11"/>
                <w:szCs w:val="11"/>
                <w:b w:val="1"/>
                <w:bCs w:val="1"/>
                <w:color w:val="009BDE"/>
              </w:rPr>
              <w:t>Change in Control</w:t>
            </w:r>
          </w:p>
        </w:tc>
        <w:tc>
          <w:tcPr>
            <w:tcW w:w="0" w:type="dxa"/>
            <w:vAlign w:val="bottom"/>
          </w:tcPr>
          <w:p>
            <w:pPr>
              <w:spacing w:after="0"/>
              <w:rPr>
                <w:sz w:val="1"/>
                <w:szCs w:val="1"/>
                <w:color w:val="auto"/>
              </w:rPr>
            </w:pPr>
          </w:p>
        </w:tc>
      </w:tr>
      <w:tr>
        <w:trPr>
          <w:trHeight w:val="113"/>
        </w:trPr>
        <w:tc>
          <w:tcPr>
            <w:tcW w:w="2060" w:type="dxa"/>
            <w:vAlign w:val="bottom"/>
            <w:shd w:val="clear" w:color="auto" w:fill="CCEBF8"/>
          </w:tcPr>
          <w:p>
            <w:pPr>
              <w:spacing w:after="0"/>
              <w:rPr>
                <w:sz w:val="9"/>
                <w:szCs w:val="9"/>
                <w:color w:val="auto"/>
              </w:rPr>
            </w:pPr>
          </w:p>
        </w:tc>
        <w:tc>
          <w:tcPr>
            <w:tcW w:w="340" w:type="dxa"/>
            <w:vAlign w:val="bottom"/>
            <w:shd w:val="clear" w:color="auto" w:fill="CCEBF8"/>
          </w:tcPr>
          <w:p>
            <w:pPr>
              <w:spacing w:after="0"/>
              <w:rPr>
                <w:sz w:val="9"/>
                <w:szCs w:val="9"/>
                <w:color w:val="auto"/>
              </w:rPr>
            </w:pPr>
          </w:p>
        </w:tc>
        <w:tc>
          <w:tcPr>
            <w:tcW w:w="60" w:type="dxa"/>
            <w:vAlign w:val="bottom"/>
            <w:shd w:val="clear" w:color="auto" w:fill="CCEBF8"/>
          </w:tcPr>
          <w:p>
            <w:pPr>
              <w:spacing w:after="0"/>
              <w:rPr>
                <w:sz w:val="9"/>
                <w:szCs w:val="9"/>
                <w:color w:val="auto"/>
              </w:rPr>
            </w:pPr>
          </w:p>
        </w:tc>
        <w:tc>
          <w:tcPr>
            <w:tcW w:w="720" w:type="dxa"/>
            <w:vAlign w:val="bottom"/>
            <w:shd w:val="clear" w:color="auto" w:fill="CCEBF8"/>
          </w:tcPr>
          <w:p>
            <w:pPr>
              <w:spacing w:after="0"/>
              <w:rPr>
                <w:sz w:val="9"/>
                <w:szCs w:val="9"/>
                <w:color w:val="auto"/>
              </w:rPr>
            </w:pPr>
          </w:p>
        </w:tc>
        <w:tc>
          <w:tcPr>
            <w:tcW w:w="400" w:type="dxa"/>
            <w:vAlign w:val="bottom"/>
            <w:shd w:val="clear" w:color="auto" w:fill="CCEBF8"/>
          </w:tcPr>
          <w:p>
            <w:pPr>
              <w:spacing w:after="0"/>
              <w:rPr>
                <w:sz w:val="9"/>
                <w:szCs w:val="9"/>
                <w:color w:val="auto"/>
              </w:rPr>
            </w:pPr>
          </w:p>
        </w:tc>
        <w:tc>
          <w:tcPr>
            <w:tcW w:w="800" w:type="dxa"/>
            <w:vAlign w:val="bottom"/>
            <w:shd w:val="clear" w:color="auto" w:fill="CCEBF8"/>
          </w:tcPr>
          <w:p>
            <w:pPr>
              <w:spacing w:after="0"/>
              <w:rPr>
                <w:sz w:val="9"/>
                <w:szCs w:val="9"/>
                <w:color w:val="auto"/>
              </w:rPr>
            </w:pPr>
          </w:p>
        </w:tc>
        <w:tc>
          <w:tcPr>
            <w:tcW w:w="220" w:type="dxa"/>
            <w:vAlign w:val="bottom"/>
            <w:shd w:val="clear" w:color="auto" w:fill="CCEBF8"/>
          </w:tcPr>
          <w:p>
            <w:pPr>
              <w:spacing w:after="0"/>
              <w:rPr>
                <w:sz w:val="9"/>
                <w:szCs w:val="9"/>
                <w:color w:val="auto"/>
              </w:rPr>
            </w:pPr>
          </w:p>
        </w:tc>
        <w:tc>
          <w:tcPr>
            <w:tcW w:w="600" w:type="dxa"/>
            <w:vAlign w:val="bottom"/>
            <w:shd w:val="clear" w:color="auto" w:fill="CCEBF8"/>
          </w:tcPr>
          <w:p>
            <w:pPr>
              <w:spacing w:after="0"/>
              <w:rPr>
                <w:sz w:val="9"/>
                <w:szCs w:val="9"/>
                <w:color w:val="auto"/>
              </w:rPr>
            </w:pPr>
          </w:p>
        </w:tc>
        <w:tc>
          <w:tcPr>
            <w:tcW w:w="340" w:type="dxa"/>
            <w:vAlign w:val="bottom"/>
            <w:shd w:val="clear" w:color="auto" w:fill="CCEBF8"/>
          </w:tcPr>
          <w:p>
            <w:pPr>
              <w:spacing w:after="0"/>
              <w:rPr>
                <w:sz w:val="9"/>
                <w:szCs w:val="9"/>
                <w:color w:val="auto"/>
              </w:rPr>
            </w:pPr>
          </w:p>
        </w:tc>
        <w:tc>
          <w:tcPr>
            <w:tcW w:w="140" w:type="dxa"/>
            <w:vAlign w:val="bottom"/>
            <w:shd w:val="clear" w:color="auto" w:fill="CCEBF8"/>
          </w:tcPr>
          <w:p>
            <w:pPr>
              <w:spacing w:after="0"/>
              <w:rPr>
                <w:sz w:val="9"/>
                <w:szCs w:val="9"/>
                <w:color w:val="auto"/>
              </w:rPr>
            </w:pPr>
          </w:p>
        </w:tc>
        <w:tc>
          <w:tcPr>
            <w:tcW w:w="580" w:type="dxa"/>
            <w:vAlign w:val="bottom"/>
            <w:shd w:val="clear" w:color="auto" w:fill="CCEBF8"/>
          </w:tcPr>
          <w:p>
            <w:pPr>
              <w:spacing w:after="0"/>
              <w:rPr>
                <w:sz w:val="9"/>
                <w:szCs w:val="9"/>
                <w:color w:val="auto"/>
              </w:rPr>
            </w:pPr>
          </w:p>
        </w:tc>
        <w:tc>
          <w:tcPr>
            <w:tcW w:w="160" w:type="dxa"/>
            <w:vAlign w:val="bottom"/>
            <w:shd w:val="clear" w:color="auto" w:fill="CCEBF8"/>
          </w:tcPr>
          <w:p>
            <w:pPr>
              <w:spacing w:after="0"/>
              <w:rPr>
                <w:sz w:val="9"/>
                <w:szCs w:val="9"/>
                <w:color w:val="auto"/>
              </w:rPr>
            </w:pPr>
          </w:p>
        </w:tc>
        <w:tc>
          <w:tcPr>
            <w:tcW w:w="920" w:type="dxa"/>
            <w:vAlign w:val="bottom"/>
            <w:shd w:val="clear" w:color="auto" w:fill="CCEBF8"/>
          </w:tcPr>
          <w:p>
            <w:pPr>
              <w:jc w:val="center"/>
              <w:ind w:right="246"/>
              <w:spacing w:after="0" w:line="113" w:lineRule="exact"/>
              <w:rPr>
                <w:sz w:val="20"/>
                <w:szCs w:val="20"/>
                <w:color w:val="auto"/>
              </w:rPr>
            </w:pPr>
            <w:r>
              <w:rPr>
                <w:rFonts w:ascii="Arial" w:cs="Arial" w:eastAsia="Arial" w:hAnsi="Arial"/>
                <w:sz w:val="11"/>
                <w:szCs w:val="11"/>
                <w:b w:val="1"/>
                <w:bCs w:val="1"/>
                <w:color w:val="009BDE"/>
                <w:w w:val="97"/>
              </w:rPr>
              <w:t>Involuntary</w:t>
            </w:r>
          </w:p>
        </w:tc>
        <w:tc>
          <w:tcPr>
            <w:tcW w:w="0" w:type="dxa"/>
            <w:vAlign w:val="bottom"/>
          </w:tcPr>
          <w:p>
            <w:pPr>
              <w:spacing w:after="0"/>
              <w:rPr>
                <w:sz w:val="1"/>
                <w:szCs w:val="1"/>
                <w:color w:val="auto"/>
              </w:rPr>
            </w:pPr>
          </w:p>
        </w:tc>
      </w:tr>
      <w:tr>
        <w:trPr>
          <w:trHeight w:val="126"/>
        </w:trPr>
        <w:tc>
          <w:tcPr>
            <w:tcW w:w="2060" w:type="dxa"/>
            <w:vAlign w:val="bottom"/>
            <w:shd w:val="clear" w:color="auto" w:fill="CCEBF8"/>
          </w:tcPr>
          <w:p>
            <w:pPr>
              <w:spacing w:after="0"/>
              <w:rPr>
                <w:sz w:val="10"/>
                <w:szCs w:val="10"/>
                <w:color w:val="auto"/>
              </w:rPr>
            </w:pPr>
          </w:p>
        </w:tc>
        <w:tc>
          <w:tcPr>
            <w:tcW w:w="340" w:type="dxa"/>
            <w:vAlign w:val="bottom"/>
            <w:shd w:val="clear" w:color="auto" w:fill="CCEBF8"/>
          </w:tcPr>
          <w:p>
            <w:pPr>
              <w:spacing w:after="0"/>
              <w:rPr>
                <w:sz w:val="10"/>
                <w:szCs w:val="10"/>
                <w:color w:val="auto"/>
              </w:rPr>
            </w:pPr>
          </w:p>
        </w:tc>
        <w:tc>
          <w:tcPr>
            <w:tcW w:w="60" w:type="dxa"/>
            <w:vAlign w:val="bottom"/>
            <w:shd w:val="clear" w:color="auto" w:fill="CCEBF8"/>
          </w:tcPr>
          <w:p>
            <w:pPr>
              <w:spacing w:after="0"/>
              <w:rPr>
                <w:sz w:val="10"/>
                <w:szCs w:val="10"/>
                <w:color w:val="auto"/>
              </w:rPr>
            </w:pPr>
          </w:p>
        </w:tc>
        <w:tc>
          <w:tcPr>
            <w:tcW w:w="720" w:type="dxa"/>
            <w:vAlign w:val="bottom"/>
            <w:shd w:val="clear" w:color="auto" w:fill="CCEBF8"/>
          </w:tcPr>
          <w:p>
            <w:pPr>
              <w:spacing w:after="0"/>
              <w:rPr>
                <w:sz w:val="10"/>
                <w:szCs w:val="10"/>
                <w:color w:val="auto"/>
              </w:rPr>
            </w:pPr>
          </w:p>
        </w:tc>
        <w:tc>
          <w:tcPr>
            <w:tcW w:w="400" w:type="dxa"/>
            <w:vAlign w:val="bottom"/>
            <w:shd w:val="clear" w:color="auto" w:fill="CCEBF8"/>
          </w:tcPr>
          <w:p>
            <w:pPr>
              <w:spacing w:after="0"/>
              <w:rPr>
                <w:sz w:val="10"/>
                <w:szCs w:val="10"/>
                <w:color w:val="auto"/>
              </w:rPr>
            </w:pPr>
          </w:p>
        </w:tc>
        <w:tc>
          <w:tcPr>
            <w:tcW w:w="800" w:type="dxa"/>
            <w:vAlign w:val="bottom"/>
            <w:shd w:val="clear" w:color="auto" w:fill="CCEBF8"/>
          </w:tcPr>
          <w:p>
            <w:pPr>
              <w:spacing w:after="0"/>
              <w:rPr>
                <w:sz w:val="10"/>
                <w:szCs w:val="10"/>
                <w:color w:val="auto"/>
              </w:rPr>
            </w:pPr>
          </w:p>
        </w:tc>
        <w:tc>
          <w:tcPr>
            <w:tcW w:w="220" w:type="dxa"/>
            <w:vAlign w:val="bottom"/>
            <w:shd w:val="clear" w:color="auto" w:fill="CCEBF8"/>
          </w:tcPr>
          <w:p>
            <w:pPr>
              <w:spacing w:after="0"/>
              <w:rPr>
                <w:sz w:val="10"/>
                <w:szCs w:val="10"/>
                <w:color w:val="auto"/>
              </w:rPr>
            </w:pPr>
          </w:p>
        </w:tc>
        <w:tc>
          <w:tcPr>
            <w:tcW w:w="600" w:type="dxa"/>
            <w:vAlign w:val="bottom"/>
            <w:shd w:val="clear" w:color="auto" w:fill="CCEBF8"/>
          </w:tcPr>
          <w:p>
            <w:pPr>
              <w:spacing w:after="0"/>
              <w:rPr>
                <w:sz w:val="10"/>
                <w:szCs w:val="10"/>
                <w:color w:val="auto"/>
              </w:rPr>
            </w:pPr>
          </w:p>
        </w:tc>
        <w:tc>
          <w:tcPr>
            <w:tcW w:w="340" w:type="dxa"/>
            <w:vAlign w:val="bottom"/>
            <w:shd w:val="clear" w:color="auto" w:fill="CCEBF8"/>
          </w:tcPr>
          <w:p>
            <w:pPr>
              <w:spacing w:after="0"/>
              <w:rPr>
                <w:sz w:val="10"/>
                <w:szCs w:val="10"/>
                <w:color w:val="auto"/>
              </w:rPr>
            </w:pPr>
          </w:p>
        </w:tc>
        <w:tc>
          <w:tcPr>
            <w:tcW w:w="140" w:type="dxa"/>
            <w:vAlign w:val="bottom"/>
            <w:shd w:val="clear" w:color="auto" w:fill="CCEBF8"/>
          </w:tcPr>
          <w:p>
            <w:pPr>
              <w:spacing w:after="0"/>
              <w:rPr>
                <w:sz w:val="10"/>
                <w:szCs w:val="10"/>
                <w:color w:val="auto"/>
              </w:rPr>
            </w:pPr>
          </w:p>
        </w:tc>
        <w:tc>
          <w:tcPr>
            <w:tcW w:w="580" w:type="dxa"/>
            <w:vAlign w:val="bottom"/>
            <w:shd w:val="clear" w:color="auto" w:fill="CCEBF8"/>
          </w:tcPr>
          <w:p>
            <w:pPr>
              <w:spacing w:after="0"/>
              <w:rPr>
                <w:sz w:val="10"/>
                <w:szCs w:val="10"/>
                <w:color w:val="auto"/>
              </w:rPr>
            </w:pPr>
          </w:p>
        </w:tc>
        <w:tc>
          <w:tcPr>
            <w:tcW w:w="1080" w:type="dxa"/>
            <w:vAlign w:val="bottom"/>
            <w:gridSpan w:val="2"/>
            <w:shd w:val="clear" w:color="auto" w:fill="CCEBF8"/>
          </w:tcPr>
          <w:p>
            <w:pPr>
              <w:ind w:left="100"/>
              <w:spacing w:after="0"/>
              <w:rPr>
                <w:sz w:val="20"/>
                <w:szCs w:val="20"/>
                <w:color w:val="auto"/>
              </w:rPr>
            </w:pPr>
            <w:r>
              <w:rPr>
                <w:rFonts w:ascii="Arial" w:cs="Arial" w:eastAsia="Arial" w:hAnsi="Arial"/>
                <w:sz w:val="11"/>
                <w:szCs w:val="11"/>
                <w:b w:val="1"/>
                <w:bCs w:val="1"/>
                <w:color w:val="009BDE"/>
              </w:rPr>
              <w:t>Termination in</w:t>
            </w:r>
          </w:p>
        </w:tc>
        <w:tc>
          <w:tcPr>
            <w:tcW w:w="0" w:type="dxa"/>
            <w:vAlign w:val="bottom"/>
          </w:tcPr>
          <w:p>
            <w:pPr>
              <w:spacing w:after="0"/>
              <w:rPr>
                <w:sz w:val="1"/>
                <w:szCs w:val="1"/>
                <w:color w:val="auto"/>
              </w:rPr>
            </w:pPr>
          </w:p>
        </w:tc>
      </w:tr>
      <w:tr>
        <w:trPr>
          <w:trHeight w:val="126"/>
        </w:trPr>
        <w:tc>
          <w:tcPr>
            <w:tcW w:w="2060" w:type="dxa"/>
            <w:vAlign w:val="bottom"/>
            <w:shd w:val="clear" w:color="auto" w:fill="CCEBF8"/>
          </w:tcPr>
          <w:p>
            <w:pPr>
              <w:spacing w:after="0"/>
              <w:rPr>
                <w:sz w:val="10"/>
                <w:szCs w:val="10"/>
                <w:color w:val="auto"/>
              </w:rPr>
            </w:pPr>
          </w:p>
        </w:tc>
        <w:tc>
          <w:tcPr>
            <w:tcW w:w="340" w:type="dxa"/>
            <w:vAlign w:val="bottom"/>
            <w:shd w:val="clear" w:color="auto" w:fill="CCEBF8"/>
          </w:tcPr>
          <w:p>
            <w:pPr>
              <w:spacing w:after="0"/>
              <w:rPr>
                <w:sz w:val="10"/>
                <w:szCs w:val="10"/>
                <w:color w:val="auto"/>
              </w:rPr>
            </w:pPr>
          </w:p>
        </w:tc>
        <w:tc>
          <w:tcPr>
            <w:tcW w:w="60" w:type="dxa"/>
            <w:vAlign w:val="bottom"/>
            <w:shd w:val="clear" w:color="auto" w:fill="CCEBF8"/>
          </w:tcPr>
          <w:p>
            <w:pPr>
              <w:spacing w:after="0"/>
              <w:rPr>
                <w:sz w:val="10"/>
                <w:szCs w:val="10"/>
                <w:color w:val="auto"/>
              </w:rPr>
            </w:pPr>
          </w:p>
        </w:tc>
        <w:tc>
          <w:tcPr>
            <w:tcW w:w="720" w:type="dxa"/>
            <w:vAlign w:val="bottom"/>
            <w:shd w:val="clear" w:color="auto" w:fill="CCEBF8"/>
          </w:tcPr>
          <w:p>
            <w:pPr>
              <w:spacing w:after="0"/>
              <w:rPr>
                <w:sz w:val="10"/>
                <w:szCs w:val="10"/>
                <w:color w:val="auto"/>
              </w:rPr>
            </w:pPr>
          </w:p>
        </w:tc>
        <w:tc>
          <w:tcPr>
            <w:tcW w:w="1200" w:type="dxa"/>
            <w:vAlign w:val="bottom"/>
            <w:gridSpan w:val="2"/>
            <w:vMerge w:val="restart"/>
            <w:shd w:val="clear" w:color="auto" w:fill="CCEBF8"/>
          </w:tcPr>
          <w:p>
            <w:pPr>
              <w:jc w:val="right"/>
              <w:ind w:right="306"/>
              <w:spacing w:after="0"/>
              <w:rPr>
                <w:sz w:val="20"/>
                <w:szCs w:val="20"/>
                <w:color w:val="auto"/>
              </w:rPr>
            </w:pPr>
            <w:r>
              <w:rPr>
                <w:rFonts w:ascii="Arial" w:cs="Arial" w:eastAsia="Arial" w:hAnsi="Arial"/>
                <w:sz w:val="11"/>
                <w:szCs w:val="11"/>
                <w:b w:val="1"/>
                <w:bCs w:val="1"/>
                <w:color w:val="009BDE"/>
              </w:rPr>
              <w:t>Death or</w:t>
            </w:r>
          </w:p>
        </w:tc>
        <w:tc>
          <w:tcPr>
            <w:tcW w:w="220" w:type="dxa"/>
            <w:vAlign w:val="bottom"/>
            <w:shd w:val="clear" w:color="auto" w:fill="CCEBF8"/>
          </w:tcPr>
          <w:p>
            <w:pPr>
              <w:spacing w:after="0"/>
              <w:rPr>
                <w:sz w:val="10"/>
                <w:szCs w:val="10"/>
                <w:color w:val="auto"/>
              </w:rPr>
            </w:pPr>
          </w:p>
        </w:tc>
        <w:tc>
          <w:tcPr>
            <w:tcW w:w="600" w:type="dxa"/>
            <w:vAlign w:val="bottom"/>
            <w:shd w:val="clear" w:color="auto" w:fill="CCEBF8"/>
          </w:tcPr>
          <w:p>
            <w:pPr>
              <w:spacing w:after="0"/>
              <w:rPr>
                <w:sz w:val="10"/>
                <w:szCs w:val="10"/>
                <w:color w:val="auto"/>
              </w:rPr>
            </w:pPr>
          </w:p>
        </w:tc>
        <w:tc>
          <w:tcPr>
            <w:tcW w:w="340" w:type="dxa"/>
            <w:vAlign w:val="bottom"/>
            <w:shd w:val="clear" w:color="auto" w:fill="CCEBF8"/>
          </w:tcPr>
          <w:p>
            <w:pPr>
              <w:spacing w:after="0"/>
              <w:rPr>
                <w:sz w:val="10"/>
                <w:szCs w:val="10"/>
                <w:color w:val="auto"/>
              </w:rPr>
            </w:pPr>
          </w:p>
        </w:tc>
        <w:tc>
          <w:tcPr>
            <w:tcW w:w="140" w:type="dxa"/>
            <w:vAlign w:val="bottom"/>
            <w:shd w:val="clear" w:color="auto" w:fill="CCEBF8"/>
          </w:tcPr>
          <w:p>
            <w:pPr>
              <w:spacing w:after="0"/>
              <w:rPr>
                <w:sz w:val="10"/>
                <w:szCs w:val="10"/>
                <w:color w:val="auto"/>
              </w:rPr>
            </w:pPr>
          </w:p>
        </w:tc>
        <w:tc>
          <w:tcPr>
            <w:tcW w:w="580" w:type="dxa"/>
            <w:vAlign w:val="bottom"/>
            <w:vMerge w:val="restart"/>
            <w:shd w:val="clear" w:color="auto" w:fill="CCEBF8"/>
          </w:tcPr>
          <w:p>
            <w:pPr>
              <w:jc w:val="right"/>
              <w:ind w:right="286"/>
              <w:spacing w:after="0"/>
              <w:rPr>
                <w:sz w:val="20"/>
                <w:szCs w:val="20"/>
                <w:color w:val="auto"/>
              </w:rPr>
            </w:pPr>
            <w:r>
              <w:rPr>
                <w:rFonts w:ascii="Arial" w:cs="Arial" w:eastAsia="Arial" w:hAnsi="Arial"/>
                <w:sz w:val="11"/>
                <w:szCs w:val="11"/>
                <w:b w:val="1"/>
                <w:bCs w:val="1"/>
                <w:color w:val="009BDE"/>
              </w:rPr>
              <w:t>No</w:t>
            </w:r>
          </w:p>
        </w:tc>
        <w:tc>
          <w:tcPr>
            <w:tcW w:w="160" w:type="dxa"/>
            <w:vAlign w:val="bottom"/>
            <w:shd w:val="clear" w:color="auto" w:fill="CCEBF8"/>
          </w:tcPr>
          <w:p>
            <w:pPr>
              <w:spacing w:after="0"/>
              <w:rPr>
                <w:sz w:val="10"/>
                <w:szCs w:val="10"/>
                <w:color w:val="auto"/>
              </w:rPr>
            </w:pPr>
          </w:p>
        </w:tc>
        <w:tc>
          <w:tcPr>
            <w:tcW w:w="920" w:type="dxa"/>
            <w:vAlign w:val="bottom"/>
            <w:shd w:val="clear" w:color="auto" w:fill="CCEBF8"/>
          </w:tcPr>
          <w:p>
            <w:pPr>
              <w:jc w:val="center"/>
              <w:ind w:right="246"/>
              <w:spacing w:after="0"/>
              <w:rPr>
                <w:sz w:val="20"/>
                <w:szCs w:val="20"/>
                <w:color w:val="auto"/>
              </w:rPr>
            </w:pPr>
            <w:r>
              <w:rPr>
                <w:rFonts w:ascii="Arial" w:cs="Arial" w:eastAsia="Arial" w:hAnsi="Arial"/>
                <w:sz w:val="11"/>
                <w:szCs w:val="11"/>
                <w:b w:val="1"/>
                <w:bCs w:val="1"/>
                <w:color w:val="009BDE"/>
                <w:w w:val="98"/>
              </w:rPr>
              <w:t>connection</w:t>
            </w:r>
          </w:p>
        </w:tc>
        <w:tc>
          <w:tcPr>
            <w:tcW w:w="0" w:type="dxa"/>
            <w:vAlign w:val="bottom"/>
          </w:tcPr>
          <w:p>
            <w:pPr>
              <w:spacing w:after="0"/>
              <w:rPr>
                <w:sz w:val="1"/>
                <w:szCs w:val="1"/>
                <w:color w:val="auto"/>
              </w:rPr>
            </w:pPr>
          </w:p>
        </w:tc>
      </w:tr>
      <w:tr>
        <w:trPr>
          <w:trHeight w:val="117"/>
        </w:trPr>
        <w:tc>
          <w:tcPr>
            <w:tcW w:w="2060" w:type="dxa"/>
            <w:vAlign w:val="bottom"/>
            <w:shd w:val="clear" w:color="auto" w:fill="CCEBF8"/>
          </w:tcPr>
          <w:p>
            <w:pPr>
              <w:spacing w:after="0"/>
              <w:rPr>
                <w:sz w:val="10"/>
                <w:szCs w:val="10"/>
                <w:color w:val="auto"/>
              </w:rPr>
            </w:pPr>
          </w:p>
        </w:tc>
        <w:tc>
          <w:tcPr>
            <w:tcW w:w="340" w:type="dxa"/>
            <w:vAlign w:val="bottom"/>
            <w:shd w:val="clear" w:color="auto" w:fill="CCEBF8"/>
          </w:tcPr>
          <w:p>
            <w:pPr>
              <w:spacing w:after="0"/>
              <w:rPr>
                <w:sz w:val="10"/>
                <w:szCs w:val="10"/>
                <w:color w:val="auto"/>
              </w:rPr>
            </w:pPr>
          </w:p>
        </w:tc>
        <w:tc>
          <w:tcPr>
            <w:tcW w:w="60" w:type="dxa"/>
            <w:vAlign w:val="bottom"/>
            <w:shd w:val="clear" w:color="auto" w:fill="CCEBF8"/>
          </w:tcPr>
          <w:p>
            <w:pPr>
              <w:spacing w:after="0"/>
              <w:rPr>
                <w:sz w:val="10"/>
                <w:szCs w:val="10"/>
                <w:color w:val="auto"/>
              </w:rPr>
            </w:pPr>
          </w:p>
        </w:tc>
        <w:tc>
          <w:tcPr>
            <w:tcW w:w="720" w:type="dxa"/>
            <w:vAlign w:val="bottom"/>
            <w:shd w:val="clear" w:color="auto" w:fill="CCEBF8"/>
          </w:tcPr>
          <w:p>
            <w:pPr>
              <w:jc w:val="right"/>
              <w:ind w:right="66"/>
              <w:spacing w:after="0" w:line="117" w:lineRule="exact"/>
              <w:rPr>
                <w:sz w:val="20"/>
                <w:szCs w:val="20"/>
                <w:color w:val="auto"/>
              </w:rPr>
            </w:pPr>
            <w:r>
              <w:rPr>
                <w:rFonts w:ascii="Arial" w:cs="Arial" w:eastAsia="Arial" w:hAnsi="Arial"/>
                <w:sz w:val="11"/>
                <w:szCs w:val="11"/>
                <w:b w:val="1"/>
                <w:bCs w:val="1"/>
                <w:color w:val="009BDE"/>
                <w:w w:val="97"/>
              </w:rPr>
              <w:t>Involuntary</w:t>
            </w:r>
          </w:p>
        </w:tc>
        <w:tc>
          <w:tcPr>
            <w:tcW w:w="1200" w:type="dxa"/>
            <w:vAlign w:val="bottom"/>
            <w:gridSpan w:val="2"/>
            <w:vMerge w:val="continue"/>
            <w:shd w:val="clear" w:color="auto" w:fill="CCEBF8"/>
          </w:tcPr>
          <w:p>
            <w:pPr>
              <w:spacing w:after="0"/>
              <w:rPr>
                <w:sz w:val="10"/>
                <w:szCs w:val="10"/>
                <w:color w:val="auto"/>
              </w:rPr>
            </w:pPr>
          </w:p>
        </w:tc>
        <w:tc>
          <w:tcPr>
            <w:tcW w:w="220" w:type="dxa"/>
            <w:vAlign w:val="bottom"/>
            <w:shd w:val="clear" w:color="auto" w:fill="CCEBF8"/>
          </w:tcPr>
          <w:p>
            <w:pPr>
              <w:spacing w:after="0"/>
              <w:rPr>
                <w:sz w:val="10"/>
                <w:szCs w:val="10"/>
                <w:color w:val="auto"/>
              </w:rPr>
            </w:pPr>
          </w:p>
        </w:tc>
        <w:tc>
          <w:tcPr>
            <w:tcW w:w="600" w:type="dxa"/>
            <w:vAlign w:val="bottom"/>
            <w:shd w:val="clear" w:color="auto" w:fill="CCEBF8"/>
          </w:tcPr>
          <w:p>
            <w:pPr>
              <w:spacing w:after="0"/>
              <w:rPr>
                <w:sz w:val="10"/>
                <w:szCs w:val="10"/>
                <w:color w:val="auto"/>
              </w:rPr>
            </w:pPr>
          </w:p>
        </w:tc>
        <w:tc>
          <w:tcPr>
            <w:tcW w:w="340" w:type="dxa"/>
            <w:vAlign w:val="bottom"/>
            <w:shd w:val="clear" w:color="auto" w:fill="CCEBF8"/>
          </w:tcPr>
          <w:p>
            <w:pPr>
              <w:spacing w:after="0"/>
              <w:rPr>
                <w:sz w:val="10"/>
                <w:szCs w:val="10"/>
                <w:color w:val="auto"/>
              </w:rPr>
            </w:pPr>
          </w:p>
        </w:tc>
        <w:tc>
          <w:tcPr>
            <w:tcW w:w="140" w:type="dxa"/>
            <w:vAlign w:val="bottom"/>
            <w:shd w:val="clear" w:color="auto" w:fill="CCEBF8"/>
          </w:tcPr>
          <w:p>
            <w:pPr>
              <w:spacing w:after="0"/>
              <w:rPr>
                <w:sz w:val="10"/>
                <w:szCs w:val="10"/>
                <w:color w:val="auto"/>
              </w:rPr>
            </w:pPr>
          </w:p>
        </w:tc>
        <w:tc>
          <w:tcPr>
            <w:tcW w:w="580" w:type="dxa"/>
            <w:vAlign w:val="bottom"/>
            <w:vMerge w:val="continue"/>
            <w:shd w:val="clear" w:color="auto" w:fill="CCEBF8"/>
          </w:tcPr>
          <w:p>
            <w:pPr>
              <w:spacing w:after="0"/>
              <w:rPr>
                <w:sz w:val="10"/>
                <w:szCs w:val="10"/>
                <w:color w:val="auto"/>
              </w:rPr>
            </w:pPr>
          </w:p>
        </w:tc>
        <w:tc>
          <w:tcPr>
            <w:tcW w:w="1080" w:type="dxa"/>
            <w:vAlign w:val="bottom"/>
            <w:gridSpan w:val="2"/>
            <w:shd w:val="clear" w:color="auto" w:fill="CCEBF8"/>
          </w:tcPr>
          <w:p>
            <w:pPr>
              <w:ind w:left="120"/>
              <w:spacing w:after="0" w:line="117" w:lineRule="exact"/>
              <w:rPr>
                <w:sz w:val="20"/>
                <w:szCs w:val="20"/>
                <w:color w:val="auto"/>
              </w:rPr>
            </w:pPr>
            <w:r>
              <w:rPr>
                <w:rFonts w:ascii="Arial" w:cs="Arial" w:eastAsia="Arial" w:hAnsi="Arial"/>
                <w:sz w:val="11"/>
                <w:szCs w:val="11"/>
                <w:b w:val="1"/>
                <w:bCs w:val="1"/>
                <w:color w:val="009BDE"/>
              </w:rPr>
              <w:t>with a change</w:t>
            </w:r>
          </w:p>
        </w:tc>
        <w:tc>
          <w:tcPr>
            <w:tcW w:w="0" w:type="dxa"/>
            <w:vAlign w:val="bottom"/>
          </w:tcPr>
          <w:p>
            <w:pPr>
              <w:spacing w:after="0"/>
              <w:rPr>
                <w:sz w:val="1"/>
                <w:szCs w:val="1"/>
                <w:color w:val="auto"/>
              </w:rPr>
            </w:pPr>
          </w:p>
        </w:tc>
      </w:tr>
      <w:tr>
        <w:trPr>
          <w:trHeight w:val="151"/>
        </w:trPr>
        <w:tc>
          <w:tcPr>
            <w:tcW w:w="2060" w:type="dxa"/>
            <w:vAlign w:val="bottom"/>
            <w:shd w:val="clear" w:color="auto" w:fill="CCEBF8"/>
          </w:tcPr>
          <w:p>
            <w:pPr>
              <w:ind w:left="60"/>
              <w:spacing w:after="0"/>
              <w:rPr>
                <w:sz w:val="20"/>
                <w:szCs w:val="20"/>
                <w:color w:val="auto"/>
              </w:rPr>
            </w:pPr>
            <w:r>
              <w:rPr>
                <w:rFonts w:ascii="Arial" w:cs="Arial" w:eastAsia="Arial" w:hAnsi="Arial"/>
                <w:sz w:val="11"/>
                <w:szCs w:val="11"/>
                <w:b w:val="1"/>
                <w:bCs w:val="1"/>
                <w:color w:val="009BDE"/>
              </w:rPr>
              <w:t>Name</w:t>
            </w:r>
          </w:p>
        </w:tc>
        <w:tc>
          <w:tcPr>
            <w:tcW w:w="340" w:type="dxa"/>
            <w:vAlign w:val="bottom"/>
            <w:shd w:val="clear" w:color="auto" w:fill="CCEBF8"/>
          </w:tcPr>
          <w:p>
            <w:pPr>
              <w:spacing w:after="0"/>
              <w:rPr>
                <w:sz w:val="13"/>
                <w:szCs w:val="13"/>
                <w:color w:val="auto"/>
              </w:rPr>
            </w:pPr>
          </w:p>
        </w:tc>
        <w:tc>
          <w:tcPr>
            <w:tcW w:w="780" w:type="dxa"/>
            <w:vAlign w:val="bottom"/>
            <w:gridSpan w:val="2"/>
            <w:shd w:val="clear" w:color="auto" w:fill="CCEBF8"/>
          </w:tcPr>
          <w:p>
            <w:pPr>
              <w:spacing w:after="0"/>
              <w:rPr>
                <w:sz w:val="20"/>
                <w:szCs w:val="20"/>
                <w:color w:val="auto"/>
              </w:rPr>
            </w:pPr>
            <w:r>
              <w:rPr>
                <w:rFonts w:ascii="Arial" w:cs="Arial" w:eastAsia="Arial" w:hAnsi="Arial"/>
                <w:sz w:val="11"/>
                <w:szCs w:val="11"/>
                <w:b w:val="1"/>
                <w:bCs w:val="1"/>
                <w:color w:val="009BDE"/>
                <w:w w:val="99"/>
              </w:rPr>
              <w:t>Termination(a)</w:t>
            </w:r>
          </w:p>
        </w:tc>
        <w:tc>
          <w:tcPr>
            <w:tcW w:w="1200" w:type="dxa"/>
            <w:vAlign w:val="bottom"/>
            <w:gridSpan w:val="2"/>
            <w:shd w:val="clear" w:color="auto" w:fill="CCEBF8"/>
          </w:tcPr>
          <w:p>
            <w:pPr>
              <w:jc w:val="right"/>
              <w:ind w:right="286"/>
              <w:spacing w:after="0"/>
              <w:rPr>
                <w:sz w:val="20"/>
                <w:szCs w:val="20"/>
                <w:color w:val="auto"/>
              </w:rPr>
            </w:pPr>
            <w:r>
              <w:rPr>
                <w:rFonts w:ascii="Arial" w:cs="Arial" w:eastAsia="Arial" w:hAnsi="Arial"/>
                <w:sz w:val="11"/>
                <w:szCs w:val="11"/>
                <w:b w:val="1"/>
                <w:bCs w:val="1"/>
                <w:color w:val="009BDE"/>
              </w:rPr>
              <w:t>Disability</w:t>
            </w:r>
          </w:p>
        </w:tc>
        <w:tc>
          <w:tcPr>
            <w:tcW w:w="1160" w:type="dxa"/>
            <w:vAlign w:val="bottom"/>
            <w:gridSpan w:val="3"/>
            <w:shd w:val="clear" w:color="auto" w:fill="CCEBF8"/>
          </w:tcPr>
          <w:p>
            <w:pPr>
              <w:ind w:left="80"/>
              <w:spacing w:after="0"/>
              <w:rPr>
                <w:sz w:val="20"/>
                <w:szCs w:val="20"/>
                <w:color w:val="auto"/>
              </w:rPr>
            </w:pPr>
            <w:r>
              <w:rPr>
                <w:rFonts w:ascii="Arial" w:cs="Arial" w:eastAsia="Arial" w:hAnsi="Arial"/>
                <w:sz w:val="11"/>
                <w:szCs w:val="11"/>
                <w:b w:val="1"/>
                <w:bCs w:val="1"/>
                <w:color w:val="009BDE"/>
              </w:rPr>
              <w:t>Retirement(b)</w:t>
            </w:r>
          </w:p>
        </w:tc>
        <w:tc>
          <w:tcPr>
            <w:tcW w:w="720" w:type="dxa"/>
            <w:vAlign w:val="bottom"/>
            <w:gridSpan w:val="2"/>
            <w:shd w:val="clear" w:color="auto" w:fill="CCEBF8"/>
          </w:tcPr>
          <w:p>
            <w:pPr>
              <w:spacing w:after="0"/>
              <w:rPr>
                <w:sz w:val="20"/>
                <w:szCs w:val="20"/>
                <w:color w:val="auto"/>
              </w:rPr>
            </w:pPr>
            <w:r>
              <w:rPr>
                <w:rFonts w:ascii="Arial" w:cs="Arial" w:eastAsia="Arial" w:hAnsi="Arial"/>
                <w:sz w:val="11"/>
                <w:szCs w:val="11"/>
                <w:b w:val="1"/>
                <w:bCs w:val="1"/>
                <w:color w:val="009BDE"/>
              </w:rPr>
              <w:t>Termination</w:t>
            </w:r>
          </w:p>
        </w:tc>
        <w:tc>
          <w:tcPr>
            <w:tcW w:w="160" w:type="dxa"/>
            <w:vAlign w:val="bottom"/>
            <w:shd w:val="clear" w:color="auto" w:fill="CCEBF8"/>
          </w:tcPr>
          <w:p>
            <w:pPr>
              <w:spacing w:after="0"/>
              <w:rPr>
                <w:sz w:val="13"/>
                <w:szCs w:val="13"/>
                <w:color w:val="auto"/>
              </w:rPr>
            </w:pPr>
          </w:p>
        </w:tc>
        <w:tc>
          <w:tcPr>
            <w:tcW w:w="920" w:type="dxa"/>
            <w:vAlign w:val="bottom"/>
            <w:shd w:val="clear" w:color="auto" w:fill="CCEBF8"/>
          </w:tcPr>
          <w:p>
            <w:pPr>
              <w:jc w:val="center"/>
              <w:ind w:right="246"/>
              <w:spacing w:after="0"/>
              <w:rPr>
                <w:sz w:val="20"/>
                <w:szCs w:val="20"/>
                <w:color w:val="auto"/>
              </w:rPr>
            </w:pPr>
            <w:r>
              <w:rPr>
                <w:rFonts w:ascii="Arial" w:cs="Arial" w:eastAsia="Arial" w:hAnsi="Arial"/>
                <w:sz w:val="11"/>
                <w:szCs w:val="11"/>
                <w:b w:val="1"/>
                <w:bCs w:val="1"/>
                <w:color w:val="009BDE"/>
                <w:w w:val="97"/>
              </w:rPr>
              <w:t>in control(c)</w:t>
            </w:r>
          </w:p>
        </w:tc>
        <w:tc>
          <w:tcPr>
            <w:tcW w:w="0" w:type="dxa"/>
            <w:vAlign w:val="bottom"/>
          </w:tcPr>
          <w:p>
            <w:pPr>
              <w:spacing w:after="0"/>
              <w:rPr>
                <w:sz w:val="1"/>
                <w:szCs w:val="1"/>
                <w:color w:val="auto"/>
              </w:rPr>
            </w:pPr>
          </w:p>
        </w:tc>
      </w:tr>
      <w:tr>
        <w:trPr>
          <w:trHeight w:val="85"/>
        </w:trPr>
        <w:tc>
          <w:tcPr>
            <w:tcW w:w="2060" w:type="dxa"/>
            <w:vAlign w:val="bottom"/>
            <w:tcBorders>
              <w:bottom w:val="single" w:sz="8" w:color="009BDE"/>
            </w:tcBorders>
            <w:shd w:val="clear" w:color="auto" w:fill="CCEBF8"/>
          </w:tcPr>
          <w:p>
            <w:pPr>
              <w:spacing w:after="0"/>
              <w:rPr>
                <w:sz w:val="7"/>
                <w:szCs w:val="7"/>
                <w:color w:val="auto"/>
              </w:rPr>
            </w:pPr>
          </w:p>
        </w:tc>
        <w:tc>
          <w:tcPr>
            <w:tcW w:w="340" w:type="dxa"/>
            <w:vAlign w:val="bottom"/>
            <w:tcBorders>
              <w:bottom w:val="single" w:sz="8" w:color="009BDE"/>
            </w:tcBorders>
            <w:shd w:val="clear" w:color="auto" w:fill="CCEBF8"/>
          </w:tcPr>
          <w:p>
            <w:pPr>
              <w:spacing w:after="0"/>
              <w:rPr>
                <w:sz w:val="7"/>
                <w:szCs w:val="7"/>
                <w:color w:val="auto"/>
              </w:rPr>
            </w:pPr>
          </w:p>
        </w:tc>
        <w:tc>
          <w:tcPr>
            <w:tcW w:w="60" w:type="dxa"/>
            <w:vAlign w:val="bottom"/>
            <w:tcBorders>
              <w:bottom w:val="single" w:sz="8" w:color="009BDE"/>
            </w:tcBorders>
            <w:shd w:val="clear" w:color="auto" w:fill="CCEBF8"/>
          </w:tcPr>
          <w:p>
            <w:pPr>
              <w:spacing w:after="0"/>
              <w:rPr>
                <w:sz w:val="7"/>
                <w:szCs w:val="7"/>
                <w:color w:val="auto"/>
              </w:rPr>
            </w:pPr>
          </w:p>
        </w:tc>
        <w:tc>
          <w:tcPr>
            <w:tcW w:w="720" w:type="dxa"/>
            <w:vAlign w:val="bottom"/>
            <w:tcBorders>
              <w:bottom w:val="single" w:sz="8" w:color="009BDE"/>
            </w:tcBorders>
            <w:shd w:val="clear" w:color="auto" w:fill="CCEBF8"/>
          </w:tcPr>
          <w:p>
            <w:pPr>
              <w:spacing w:after="0"/>
              <w:rPr>
                <w:sz w:val="7"/>
                <w:szCs w:val="7"/>
                <w:color w:val="auto"/>
              </w:rPr>
            </w:pPr>
          </w:p>
        </w:tc>
        <w:tc>
          <w:tcPr>
            <w:tcW w:w="400" w:type="dxa"/>
            <w:vAlign w:val="bottom"/>
            <w:tcBorders>
              <w:bottom w:val="single" w:sz="8" w:color="009BDE"/>
            </w:tcBorders>
            <w:shd w:val="clear" w:color="auto" w:fill="CCEBF8"/>
          </w:tcPr>
          <w:p>
            <w:pPr>
              <w:spacing w:after="0"/>
              <w:rPr>
                <w:sz w:val="7"/>
                <w:szCs w:val="7"/>
                <w:color w:val="auto"/>
              </w:rPr>
            </w:pPr>
          </w:p>
        </w:tc>
        <w:tc>
          <w:tcPr>
            <w:tcW w:w="800" w:type="dxa"/>
            <w:vAlign w:val="bottom"/>
            <w:tcBorders>
              <w:bottom w:val="single" w:sz="8" w:color="009BDE"/>
            </w:tcBorders>
            <w:shd w:val="clear" w:color="auto" w:fill="CCEBF8"/>
          </w:tcPr>
          <w:p>
            <w:pPr>
              <w:spacing w:after="0"/>
              <w:rPr>
                <w:sz w:val="7"/>
                <w:szCs w:val="7"/>
                <w:color w:val="auto"/>
              </w:rPr>
            </w:pPr>
          </w:p>
        </w:tc>
        <w:tc>
          <w:tcPr>
            <w:tcW w:w="220" w:type="dxa"/>
            <w:vAlign w:val="bottom"/>
            <w:tcBorders>
              <w:bottom w:val="single" w:sz="8" w:color="009BDE"/>
            </w:tcBorders>
            <w:shd w:val="clear" w:color="auto" w:fill="CCEBF8"/>
          </w:tcPr>
          <w:p>
            <w:pPr>
              <w:spacing w:after="0"/>
              <w:rPr>
                <w:sz w:val="7"/>
                <w:szCs w:val="7"/>
                <w:color w:val="auto"/>
              </w:rPr>
            </w:pPr>
          </w:p>
        </w:tc>
        <w:tc>
          <w:tcPr>
            <w:tcW w:w="600" w:type="dxa"/>
            <w:vAlign w:val="bottom"/>
            <w:tcBorders>
              <w:bottom w:val="single" w:sz="8" w:color="009BDE"/>
            </w:tcBorders>
            <w:shd w:val="clear" w:color="auto" w:fill="CCEBF8"/>
          </w:tcPr>
          <w:p>
            <w:pPr>
              <w:spacing w:after="0"/>
              <w:rPr>
                <w:sz w:val="7"/>
                <w:szCs w:val="7"/>
                <w:color w:val="auto"/>
              </w:rPr>
            </w:pPr>
          </w:p>
        </w:tc>
        <w:tc>
          <w:tcPr>
            <w:tcW w:w="340" w:type="dxa"/>
            <w:vAlign w:val="bottom"/>
            <w:tcBorders>
              <w:bottom w:val="single" w:sz="8" w:color="009BDE"/>
            </w:tcBorders>
            <w:shd w:val="clear" w:color="auto" w:fill="CCEBF8"/>
          </w:tcPr>
          <w:p>
            <w:pPr>
              <w:spacing w:after="0"/>
              <w:rPr>
                <w:sz w:val="7"/>
                <w:szCs w:val="7"/>
                <w:color w:val="auto"/>
              </w:rPr>
            </w:pPr>
          </w:p>
        </w:tc>
        <w:tc>
          <w:tcPr>
            <w:tcW w:w="140" w:type="dxa"/>
            <w:vAlign w:val="bottom"/>
            <w:tcBorders>
              <w:bottom w:val="single" w:sz="8" w:color="009BDE"/>
            </w:tcBorders>
            <w:shd w:val="clear" w:color="auto" w:fill="CCEBF8"/>
          </w:tcPr>
          <w:p>
            <w:pPr>
              <w:spacing w:after="0"/>
              <w:rPr>
                <w:sz w:val="7"/>
                <w:szCs w:val="7"/>
                <w:color w:val="auto"/>
              </w:rPr>
            </w:pPr>
          </w:p>
        </w:tc>
        <w:tc>
          <w:tcPr>
            <w:tcW w:w="580" w:type="dxa"/>
            <w:vAlign w:val="bottom"/>
            <w:tcBorders>
              <w:bottom w:val="single" w:sz="8" w:color="009BDE"/>
            </w:tcBorders>
            <w:shd w:val="clear" w:color="auto" w:fill="CCEBF8"/>
          </w:tcPr>
          <w:p>
            <w:pPr>
              <w:spacing w:after="0"/>
              <w:rPr>
                <w:sz w:val="7"/>
                <w:szCs w:val="7"/>
                <w:color w:val="auto"/>
              </w:rPr>
            </w:pPr>
          </w:p>
        </w:tc>
        <w:tc>
          <w:tcPr>
            <w:tcW w:w="160" w:type="dxa"/>
            <w:vAlign w:val="bottom"/>
            <w:tcBorders>
              <w:bottom w:val="single" w:sz="8" w:color="009BDE"/>
            </w:tcBorders>
            <w:shd w:val="clear" w:color="auto" w:fill="CCEBF8"/>
          </w:tcPr>
          <w:p>
            <w:pPr>
              <w:spacing w:after="0"/>
              <w:rPr>
                <w:sz w:val="7"/>
                <w:szCs w:val="7"/>
                <w:color w:val="auto"/>
              </w:rPr>
            </w:pPr>
          </w:p>
        </w:tc>
        <w:tc>
          <w:tcPr>
            <w:tcW w:w="920" w:type="dxa"/>
            <w:vAlign w:val="bottom"/>
            <w:tcBorders>
              <w:bottom w:val="single" w:sz="8" w:color="009BDE"/>
            </w:tcBorders>
            <w:shd w:val="clear" w:color="auto" w:fill="CCEBF8"/>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060" w:type="dxa"/>
            <w:vAlign w:val="bottom"/>
          </w:tcPr>
          <w:p>
            <w:pPr>
              <w:ind w:left="40"/>
              <w:spacing w:after="0"/>
              <w:rPr>
                <w:sz w:val="20"/>
                <w:szCs w:val="20"/>
                <w:color w:val="auto"/>
              </w:rPr>
            </w:pPr>
            <w:r>
              <w:rPr>
                <w:rFonts w:ascii="Arial" w:cs="Arial" w:eastAsia="Arial" w:hAnsi="Arial"/>
                <w:sz w:val="11"/>
                <w:szCs w:val="11"/>
                <w:b w:val="1"/>
                <w:bCs w:val="1"/>
                <w:color w:val="auto"/>
              </w:rPr>
              <w:t>Darren Throop</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6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60" w:type="dxa"/>
            <w:vAlign w:val="bottom"/>
            <w:tcBorders>
              <w:bottom w:val="single" w:sz="8" w:color="009BDE"/>
            </w:tcBorders>
          </w:tcPr>
          <w:p>
            <w:pPr>
              <w:spacing w:after="0"/>
              <w:rPr>
                <w:sz w:val="5"/>
                <w:szCs w:val="5"/>
                <w:color w:val="auto"/>
              </w:rPr>
            </w:pPr>
          </w:p>
        </w:tc>
        <w:tc>
          <w:tcPr>
            <w:tcW w:w="720" w:type="dxa"/>
            <w:vAlign w:val="bottom"/>
            <w:tcBorders>
              <w:bottom w:val="single" w:sz="8" w:color="009BDE"/>
            </w:tcBorders>
          </w:tcPr>
          <w:p>
            <w:pPr>
              <w:spacing w:after="0"/>
              <w:rPr>
                <w:sz w:val="5"/>
                <w:szCs w:val="5"/>
                <w:color w:val="auto"/>
              </w:rPr>
            </w:pPr>
          </w:p>
        </w:tc>
        <w:tc>
          <w:tcPr>
            <w:tcW w:w="400" w:type="dxa"/>
            <w:vAlign w:val="bottom"/>
            <w:tcBorders>
              <w:bottom w:val="single" w:sz="8" w:color="009BDE"/>
            </w:tcBorders>
          </w:tcPr>
          <w:p>
            <w:pPr>
              <w:spacing w:after="0"/>
              <w:rPr>
                <w:sz w:val="5"/>
                <w:szCs w:val="5"/>
                <w:color w:val="auto"/>
              </w:rPr>
            </w:pPr>
          </w:p>
        </w:tc>
        <w:tc>
          <w:tcPr>
            <w:tcW w:w="800" w:type="dxa"/>
            <w:vAlign w:val="bottom"/>
            <w:tcBorders>
              <w:bottom w:val="single" w:sz="8" w:color="009BDE"/>
            </w:tcBorders>
          </w:tcPr>
          <w:p>
            <w:pPr>
              <w:spacing w:after="0"/>
              <w:rPr>
                <w:sz w:val="5"/>
                <w:szCs w:val="5"/>
                <w:color w:val="auto"/>
              </w:rPr>
            </w:pPr>
          </w:p>
        </w:tc>
        <w:tc>
          <w:tcPr>
            <w:tcW w:w="22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92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60" w:type="dxa"/>
            <w:vAlign w:val="bottom"/>
          </w:tcPr>
          <w:p>
            <w:pPr>
              <w:ind w:left="100"/>
              <w:spacing w:after="0"/>
              <w:rPr>
                <w:sz w:val="20"/>
                <w:szCs w:val="20"/>
                <w:color w:val="auto"/>
              </w:rPr>
            </w:pPr>
            <w:r>
              <w:rPr>
                <w:rFonts w:ascii="Arial" w:cs="Arial" w:eastAsia="Arial" w:hAnsi="Arial"/>
                <w:sz w:val="11"/>
                <w:szCs w:val="11"/>
                <w:color w:val="auto"/>
              </w:rPr>
              <w:t>Cash Severance</w:t>
            </w:r>
          </w:p>
        </w:tc>
        <w:tc>
          <w:tcPr>
            <w:tcW w:w="400" w:type="dxa"/>
            <w:vAlign w:val="bottom"/>
            <w:gridSpan w:val="2"/>
          </w:tcPr>
          <w:p>
            <w:pPr>
              <w:ind w:left="34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6,000,000</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rPr>
                <w:sz w:val="20"/>
                <w:szCs w:val="20"/>
                <w:color w:val="auto"/>
              </w:rPr>
            </w:pPr>
            <w:r>
              <w:rPr>
                <w:rFonts w:ascii="Arial" w:cs="Arial" w:eastAsia="Arial" w:hAnsi="Arial"/>
                <w:sz w:val="11"/>
                <w:szCs w:val="11"/>
                <w:color w:val="auto"/>
              </w:rPr>
              <w:t>0</w:t>
            </w:r>
          </w:p>
        </w:tc>
        <w:tc>
          <w:tcPr>
            <w:tcW w:w="220" w:type="dxa"/>
            <w:vAlign w:val="bottom"/>
          </w:tcPr>
          <w:p>
            <w:pPr>
              <w:ind w:left="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4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126"/>
              <w:spacing w:after="0"/>
              <w:rPr>
                <w:sz w:val="20"/>
                <w:szCs w:val="20"/>
                <w:color w:val="auto"/>
              </w:rPr>
            </w:pPr>
            <w:r>
              <w:rPr>
                <w:rFonts w:ascii="Arial" w:cs="Arial" w:eastAsia="Arial" w:hAnsi="Arial"/>
                <w:sz w:val="11"/>
                <w:szCs w:val="11"/>
                <w:color w:val="auto"/>
              </w:rPr>
              <w:t>6,000,000</w:t>
            </w:r>
          </w:p>
        </w:tc>
        <w:tc>
          <w:tcPr>
            <w:tcW w:w="0" w:type="dxa"/>
            <w:vAlign w:val="bottom"/>
          </w:tcPr>
          <w:p>
            <w:pPr>
              <w:spacing w:after="0"/>
              <w:rPr>
                <w:sz w:val="1"/>
                <w:szCs w:val="1"/>
                <w:color w:val="auto"/>
              </w:rPr>
            </w:pPr>
          </w:p>
        </w:tc>
      </w:tr>
      <w:tr>
        <w:trPr>
          <w:trHeight w:val="67"/>
        </w:trPr>
        <w:tc>
          <w:tcPr>
            <w:tcW w:w="206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60" w:type="dxa"/>
            <w:vAlign w:val="bottom"/>
            <w:tcBorders>
              <w:bottom w:val="single" w:sz="8" w:color="009BDE"/>
            </w:tcBorders>
          </w:tcPr>
          <w:p>
            <w:pPr>
              <w:spacing w:after="0"/>
              <w:rPr>
                <w:sz w:val="5"/>
                <w:szCs w:val="5"/>
                <w:color w:val="auto"/>
              </w:rPr>
            </w:pPr>
          </w:p>
        </w:tc>
        <w:tc>
          <w:tcPr>
            <w:tcW w:w="720" w:type="dxa"/>
            <w:vAlign w:val="bottom"/>
            <w:tcBorders>
              <w:bottom w:val="single" w:sz="8" w:color="009BDE"/>
            </w:tcBorders>
          </w:tcPr>
          <w:p>
            <w:pPr>
              <w:spacing w:after="0"/>
              <w:rPr>
                <w:sz w:val="5"/>
                <w:szCs w:val="5"/>
                <w:color w:val="auto"/>
              </w:rPr>
            </w:pPr>
          </w:p>
        </w:tc>
        <w:tc>
          <w:tcPr>
            <w:tcW w:w="400" w:type="dxa"/>
            <w:vAlign w:val="bottom"/>
            <w:tcBorders>
              <w:bottom w:val="single" w:sz="8" w:color="009BDE"/>
            </w:tcBorders>
          </w:tcPr>
          <w:p>
            <w:pPr>
              <w:spacing w:after="0"/>
              <w:rPr>
                <w:sz w:val="5"/>
                <w:szCs w:val="5"/>
                <w:color w:val="auto"/>
              </w:rPr>
            </w:pPr>
          </w:p>
        </w:tc>
        <w:tc>
          <w:tcPr>
            <w:tcW w:w="800" w:type="dxa"/>
            <w:vAlign w:val="bottom"/>
            <w:tcBorders>
              <w:bottom w:val="single" w:sz="8" w:color="009BDE"/>
            </w:tcBorders>
          </w:tcPr>
          <w:p>
            <w:pPr>
              <w:spacing w:after="0"/>
              <w:rPr>
                <w:sz w:val="5"/>
                <w:szCs w:val="5"/>
                <w:color w:val="auto"/>
              </w:rPr>
            </w:pPr>
          </w:p>
        </w:tc>
        <w:tc>
          <w:tcPr>
            <w:tcW w:w="22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92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60" w:type="dxa"/>
            <w:vAlign w:val="bottom"/>
          </w:tcPr>
          <w:p>
            <w:pPr>
              <w:ind w:left="100"/>
              <w:spacing w:after="0"/>
              <w:rPr>
                <w:sz w:val="20"/>
                <w:szCs w:val="20"/>
                <w:color w:val="auto"/>
              </w:rPr>
            </w:pPr>
            <w:r>
              <w:rPr>
                <w:rFonts w:ascii="Arial" w:cs="Arial" w:eastAsia="Arial" w:hAnsi="Arial"/>
                <w:sz w:val="11"/>
                <w:szCs w:val="11"/>
                <w:color w:val="auto"/>
              </w:rPr>
              <w:t>FY 2022 Bonus</w:t>
            </w:r>
          </w:p>
        </w:tc>
        <w:tc>
          <w:tcPr>
            <w:tcW w:w="400" w:type="dxa"/>
            <w:vAlign w:val="bottom"/>
            <w:gridSpan w:val="2"/>
          </w:tcPr>
          <w:p>
            <w:pPr>
              <w:ind w:left="34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0</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rPr>
                <w:sz w:val="20"/>
                <w:szCs w:val="20"/>
                <w:color w:val="auto"/>
              </w:rPr>
            </w:pPr>
            <w:r>
              <w:rPr>
                <w:rFonts w:ascii="Arial" w:cs="Arial" w:eastAsia="Arial" w:hAnsi="Arial"/>
                <w:sz w:val="11"/>
                <w:szCs w:val="11"/>
                <w:color w:val="auto"/>
                <w:w w:val="93"/>
              </w:rPr>
              <w:t>1,213,500</w:t>
            </w:r>
          </w:p>
        </w:tc>
        <w:tc>
          <w:tcPr>
            <w:tcW w:w="220" w:type="dxa"/>
            <w:vAlign w:val="bottom"/>
          </w:tcPr>
          <w:p>
            <w:pPr>
              <w:ind w:left="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1,213,500</w:t>
            </w:r>
          </w:p>
        </w:tc>
        <w:tc>
          <w:tcPr>
            <w:tcW w:w="34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67"/>
        </w:trPr>
        <w:tc>
          <w:tcPr>
            <w:tcW w:w="206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60" w:type="dxa"/>
            <w:vAlign w:val="bottom"/>
            <w:tcBorders>
              <w:bottom w:val="single" w:sz="8" w:color="009BDE"/>
            </w:tcBorders>
          </w:tcPr>
          <w:p>
            <w:pPr>
              <w:spacing w:after="0"/>
              <w:rPr>
                <w:sz w:val="5"/>
                <w:szCs w:val="5"/>
                <w:color w:val="auto"/>
              </w:rPr>
            </w:pPr>
          </w:p>
        </w:tc>
        <w:tc>
          <w:tcPr>
            <w:tcW w:w="720" w:type="dxa"/>
            <w:vAlign w:val="bottom"/>
            <w:tcBorders>
              <w:bottom w:val="single" w:sz="8" w:color="009BDE"/>
            </w:tcBorders>
          </w:tcPr>
          <w:p>
            <w:pPr>
              <w:spacing w:after="0"/>
              <w:rPr>
                <w:sz w:val="5"/>
                <w:szCs w:val="5"/>
                <w:color w:val="auto"/>
              </w:rPr>
            </w:pPr>
          </w:p>
        </w:tc>
        <w:tc>
          <w:tcPr>
            <w:tcW w:w="400" w:type="dxa"/>
            <w:vAlign w:val="bottom"/>
            <w:tcBorders>
              <w:bottom w:val="single" w:sz="8" w:color="009BDE"/>
            </w:tcBorders>
          </w:tcPr>
          <w:p>
            <w:pPr>
              <w:spacing w:after="0"/>
              <w:rPr>
                <w:sz w:val="5"/>
                <w:szCs w:val="5"/>
                <w:color w:val="auto"/>
              </w:rPr>
            </w:pPr>
          </w:p>
        </w:tc>
        <w:tc>
          <w:tcPr>
            <w:tcW w:w="800" w:type="dxa"/>
            <w:vAlign w:val="bottom"/>
            <w:tcBorders>
              <w:bottom w:val="single" w:sz="8" w:color="009BDE"/>
            </w:tcBorders>
          </w:tcPr>
          <w:p>
            <w:pPr>
              <w:spacing w:after="0"/>
              <w:rPr>
                <w:sz w:val="5"/>
                <w:szCs w:val="5"/>
                <w:color w:val="auto"/>
              </w:rPr>
            </w:pPr>
          </w:p>
        </w:tc>
        <w:tc>
          <w:tcPr>
            <w:tcW w:w="22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92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60" w:type="dxa"/>
            <w:vAlign w:val="bottom"/>
          </w:tcPr>
          <w:p>
            <w:pPr>
              <w:ind w:left="100"/>
              <w:spacing w:after="0"/>
              <w:rPr>
                <w:sz w:val="20"/>
                <w:szCs w:val="20"/>
                <w:color w:val="auto"/>
              </w:rPr>
            </w:pPr>
            <w:r>
              <w:rPr>
                <w:rFonts w:ascii="Arial" w:cs="Arial" w:eastAsia="Arial" w:hAnsi="Arial"/>
                <w:sz w:val="11"/>
                <w:szCs w:val="11"/>
                <w:color w:val="auto"/>
              </w:rPr>
              <w:t>Pension</w:t>
            </w:r>
          </w:p>
        </w:tc>
        <w:tc>
          <w:tcPr>
            <w:tcW w:w="400" w:type="dxa"/>
            <w:vAlign w:val="bottom"/>
            <w:gridSpan w:val="2"/>
          </w:tcPr>
          <w:p>
            <w:pPr>
              <w:ind w:left="34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0</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rPr>
                <w:sz w:val="20"/>
                <w:szCs w:val="20"/>
                <w:color w:val="auto"/>
              </w:rPr>
            </w:pPr>
            <w:r>
              <w:rPr>
                <w:rFonts w:ascii="Arial" w:cs="Arial" w:eastAsia="Arial" w:hAnsi="Arial"/>
                <w:sz w:val="11"/>
                <w:szCs w:val="11"/>
                <w:color w:val="auto"/>
              </w:rPr>
              <w:t>0</w:t>
            </w:r>
          </w:p>
        </w:tc>
        <w:tc>
          <w:tcPr>
            <w:tcW w:w="220" w:type="dxa"/>
            <w:vAlign w:val="bottom"/>
          </w:tcPr>
          <w:p>
            <w:pPr>
              <w:ind w:left="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4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126"/>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67"/>
        </w:trPr>
        <w:tc>
          <w:tcPr>
            <w:tcW w:w="206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60" w:type="dxa"/>
            <w:vAlign w:val="bottom"/>
            <w:tcBorders>
              <w:bottom w:val="single" w:sz="8" w:color="009BDE"/>
            </w:tcBorders>
          </w:tcPr>
          <w:p>
            <w:pPr>
              <w:spacing w:after="0"/>
              <w:rPr>
                <w:sz w:val="5"/>
                <w:szCs w:val="5"/>
                <w:color w:val="auto"/>
              </w:rPr>
            </w:pPr>
          </w:p>
        </w:tc>
        <w:tc>
          <w:tcPr>
            <w:tcW w:w="720" w:type="dxa"/>
            <w:vAlign w:val="bottom"/>
            <w:tcBorders>
              <w:bottom w:val="single" w:sz="8" w:color="009BDE"/>
            </w:tcBorders>
          </w:tcPr>
          <w:p>
            <w:pPr>
              <w:spacing w:after="0"/>
              <w:rPr>
                <w:sz w:val="5"/>
                <w:szCs w:val="5"/>
                <w:color w:val="auto"/>
              </w:rPr>
            </w:pPr>
          </w:p>
        </w:tc>
        <w:tc>
          <w:tcPr>
            <w:tcW w:w="400" w:type="dxa"/>
            <w:vAlign w:val="bottom"/>
            <w:tcBorders>
              <w:bottom w:val="single" w:sz="8" w:color="009BDE"/>
            </w:tcBorders>
          </w:tcPr>
          <w:p>
            <w:pPr>
              <w:spacing w:after="0"/>
              <w:rPr>
                <w:sz w:val="5"/>
                <w:szCs w:val="5"/>
                <w:color w:val="auto"/>
              </w:rPr>
            </w:pPr>
          </w:p>
        </w:tc>
        <w:tc>
          <w:tcPr>
            <w:tcW w:w="800" w:type="dxa"/>
            <w:vAlign w:val="bottom"/>
            <w:tcBorders>
              <w:bottom w:val="single" w:sz="8" w:color="009BDE"/>
            </w:tcBorders>
          </w:tcPr>
          <w:p>
            <w:pPr>
              <w:spacing w:after="0"/>
              <w:rPr>
                <w:sz w:val="5"/>
                <w:szCs w:val="5"/>
                <w:color w:val="auto"/>
              </w:rPr>
            </w:pPr>
          </w:p>
        </w:tc>
        <w:tc>
          <w:tcPr>
            <w:tcW w:w="22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92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60" w:type="dxa"/>
            <w:vAlign w:val="bottom"/>
          </w:tcPr>
          <w:p>
            <w:pPr>
              <w:ind w:left="100"/>
              <w:spacing w:after="0"/>
              <w:rPr>
                <w:sz w:val="20"/>
                <w:szCs w:val="20"/>
                <w:color w:val="auto"/>
              </w:rPr>
            </w:pPr>
            <w:r>
              <w:rPr>
                <w:rFonts w:ascii="Arial" w:cs="Arial" w:eastAsia="Arial" w:hAnsi="Arial"/>
                <w:sz w:val="11"/>
                <w:szCs w:val="11"/>
                <w:color w:val="auto"/>
              </w:rPr>
              <w:t>Other Benefits(d)</w:t>
            </w:r>
          </w:p>
        </w:tc>
        <w:tc>
          <w:tcPr>
            <w:tcW w:w="400" w:type="dxa"/>
            <w:vAlign w:val="bottom"/>
            <w:gridSpan w:val="2"/>
          </w:tcPr>
          <w:p>
            <w:pPr>
              <w:ind w:left="34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31,526</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rPr>
                <w:sz w:val="20"/>
                <w:szCs w:val="20"/>
                <w:color w:val="auto"/>
              </w:rPr>
            </w:pPr>
            <w:r>
              <w:rPr>
                <w:rFonts w:ascii="Arial" w:cs="Arial" w:eastAsia="Arial" w:hAnsi="Arial"/>
                <w:sz w:val="11"/>
                <w:szCs w:val="11"/>
                <w:color w:val="auto"/>
              </w:rPr>
              <w:t>0</w:t>
            </w:r>
          </w:p>
        </w:tc>
        <w:tc>
          <w:tcPr>
            <w:tcW w:w="220" w:type="dxa"/>
            <w:vAlign w:val="bottom"/>
          </w:tcPr>
          <w:p>
            <w:pPr>
              <w:ind w:left="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4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126"/>
              <w:spacing w:after="0"/>
              <w:rPr>
                <w:sz w:val="20"/>
                <w:szCs w:val="20"/>
                <w:color w:val="auto"/>
              </w:rPr>
            </w:pPr>
            <w:r>
              <w:rPr>
                <w:rFonts w:ascii="Arial" w:cs="Arial" w:eastAsia="Arial" w:hAnsi="Arial"/>
                <w:sz w:val="11"/>
                <w:szCs w:val="11"/>
                <w:color w:val="auto"/>
              </w:rPr>
              <w:t>31,526</w:t>
            </w:r>
          </w:p>
        </w:tc>
        <w:tc>
          <w:tcPr>
            <w:tcW w:w="0" w:type="dxa"/>
            <w:vAlign w:val="bottom"/>
          </w:tcPr>
          <w:p>
            <w:pPr>
              <w:spacing w:after="0"/>
              <w:rPr>
                <w:sz w:val="1"/>
                <w:szCs w:val="1"/>
                <w:color w:val="auto"/>
              </w:rPr>
            </w:pPr>
          </w:p>
        </w:tc>
      </w:tr>
      <w:tr>
        <w:trPr>
          <w:trHeight w:val="67"/>
        </w:trPr>
        <w:tc>
          <w:tcPr>
            <w:tcW w:w="206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60" w:type="dxa"/>
            <w:vAlign w:val="bottom"/>
            <w:tcBorders>
              <w:bottom w:val="single" w:sz="8" w:color="009BDE"/>
            </w:tcBorders>
          </w:tcPr>
          <w:p>
            <w:pPr>
              <w:spacing w:after="0"/>
              <w:rPr>
                <w:sz w:val="5"/>
                <w:szCs w:val="5"/>
                <w:color w:val="auto"/>
              </w:rPr>
            </w:pPr>
          </w:p>
        </w:tc>
        <w:tc>
          <w:tcPr>
            <w:tcW w:w="720" w:type="dxa"/>
            <w:vAlign w:val="bottom"/>
            <w:tcBorders>
              <w:bottom w:val="single" w:sz="8" w:color="009BDE"/>
            </w:tcBorders>
          </w:tcPr>
          <w:p>
            <w:pPr>
              <w:spacing w:after="0"/>
              <w:rPr>
                <w:sz w:val="5"/>
                <w:szCs w:val="5"/>
                <w:color w:val="auto"/>
              </w:rPr>
            </w:pPr>
          </w:p>
        </w:tc>
        <w:tc>
          <w:tcPr>
            <w:tcW w:w="400" w:type="dxa"/>
            <w:vAlign w:val="bottom"/>
            <w:tcBorders>
              <w:bottom w:val="single" w:sz="8" w:color="009BDE"/>
            </w:tcBorders>
          </w:tcPr>
          <w:p>
            <w:pPr>
              <w:spacing w:after="0"/>
              <w:rPr>
                <w:sz w:val="5"/>
                <w:szCs w:val="5"/>
                <w:color w:val="auto"/>
              </w:rPr>
            </w:pPr>
          </w:p>
        </w:tc>
        <w:tc>
          <w:tcPr>
            <w:tcW w:w="800" w:type="dxa"/>
            <w:vAlign w:val="bottom"/>
            <w:tcBorders>
              <w:bottom w:val="single" w:sz="8" w:color="009BDE"/>
            </w:tcBorders>
          </w:tcPr>
          <w:p>
            <w:pPr>
              <w:spacing w:after="0"/>
              <w:rPr>
                <w:sz w:val="5"/>
                <w:szCs w:val="5"/>
                <w:color w:val="auto"/>
              </w:rPr>
            </w:pPr>
          </w:p>
        </w:tc>
        <w:tc>
          <w:tcPr>
            <w:tcW w:w="22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92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60" w:type="dxa"/>
            <w:vAlign w:val="bottom"/>
          </w:tcPr>
          <w:p>
            <w:pPr>
              <w:ind w:left="100"/>
              <w:spacing w:after="0"/>
              <w:rPr>
                <w:sz w:val="20"/>
                <w:szCs w:val="20"/>
                <w:color w:val="auto"/>
              </w:rPr>
            </w:pPr>
            <w:r>
              <w:rPr>
                <w:rFonts w:ascii="Arial" w:cs="Arial" w:eastAsia="Arial" w:hAnsi="Arial"/>
                <w:sz w:val="11"/>
                <w:szCs w:val="11"/>
                <w:color w:val="auto"/>
              </w:rPr>
              <w:t>Accelerated Equity(e)</w:t>
            </w:r>
          </w:p>
        </w:tc>
        <w:tc>
          <w:tcPr>
            <w:tcW w:w="400" w:type="dxa"/>
            <w:vAlign w:val="bottom"/>
            <w:gridSpan w:val="2"/>
          </w:tcPr>
          <w:p>
            <w:pPr>
              <w:ind w:left="34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3,608,438</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rPr>
                <w:sz w:val="20"/>
                <w:szCs w:val="20"/>
                <w:color w:val="auto"/>
              </w:rPr>
            </w:pPr>
            <w:r>
              <w:rPr>
                <w:rFonts w:ascii="Arial" w:cs="Arial" w:eastAsia="Arial" w:hAnsi="Arial"/>
                <w:sz w:val="11"/>
                <w:szCs w:val="11"/>
                <w:color w:val="auto"/>
                <w:w w:val="93"/>
              </w:rPr>
              <w:t>6,897,298</w:t>
            </w:r>
          </w:p>
        </w:tc>
        <w:tc>
          <w:tcPr>
            <w:tcW w:w="220" w:type="dxa"/>
            <w:vAlign w:val="bottom"/>
          </w:tcPr>
          <w:p>
            <w:pPr>
              <w:ind w:left="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w:t>
            </w:r>
          </w:p>
        </w:tc>
        <w:tc>
          <w:tcPr>
            <w:tcW w:w="34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126"/>
              <w:spacing w:after="0"/>
              <w:rPr>
                <w:sz w:val="20"/>
                <w:szCs w:val="20"/>
                <w:color w:val="auto"/>
              </w:rPr>
            </w:pPr>
            <w:r>
              <w:rPr>
                <w:rFonts w:ascii="Arial" w:cs="Arial" w:eastAsia="Arial" w:hAnsi="Arial"/>
                <w:sz w:val="11"/>
                <w:szCs w:val="11"/>
                <w:color w:val="auto"/>
              </w:rPr>
              <w:t>9,943,141</w:t>
            </w:r>
          </w:p>
        </w:tc>
        <w:tc>
          <w:tcPr>
            <w:tcW w:w="0" w:type="dxa"/>
            <w:vAlign w:val="bottom"/>
          </w:tcPr>
          <w:p>
            <w:pPr>
              <w:spacing w:after="0"/>
              <w:rPr>
                <w:sz w:val="1"/>
                <w:szCs w:val="1"/>
                <w:color w:val="auto"/>
              </w:rPr>
            </w:pPr>
          </w:p>
        </w:tc>
      </w:tr>
      <w:tr>
        <w:trPr>
          <w:trHeight w:val="67"/>
        </w:trPr>
        <w:tc>
          <w:tcPr>
            <w:tcW w:w="206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60" w:type="dxa"/>
            <w:vAlign w:val="bottom"/>
            <w:tcBorders>
              <w:bottom w:val="single" w:sz="8" w:color="009BDE"/>
            </w:tcBorders>
          </w:tcPr>
          <w:p>
            <w:pPr>
              <w:spacing w:after="0"/>
              <w:rPr>
                <w:sz w:val="5"/>
                <w:szCs w:val="5"/>
                <w:color w:val="auto"/>
              </w:rPr>
            </w:pPr>
          </w:p>
        </w:tc>
        <w:tc>
          <w:tcPr>
            <w:tcW w:w="720" w:type="dxa"/>
            <w:vAlign w:val="bottom"/>
            <w:tcBorders>
              <w:bottom w:val="single" w:sz="8" w:color="009BDE"/>
            </w:tcBorders>
          </w:tcPr>
          <w:p>
            <w:pPr>
              <w:spacing w:after="0"/>
              <w:rPr>
                <w:sz w:val="5"/>
                <w:szCs w:val="5"/>
                <w:color w:val="auto"/>
              </w:rPr>
            </w:pPr>
          </w:p>
        </w:tc>
        <w:tc>
          <w:tcPr>
            <w:tcW w:w="400" w:type="dxa"/>
            <w:vAlign w:val="bottom"/>
            <w:tcBorders>
              <w:bottom w:val="single" w:sz="8" w:color="009BDE"/>
            </w:tcBorders>
          </w:tcPr>
          <w:p>
            <w:pPr>
              <w:spacing w:after="0"/>
              <w:rPr>
                <w:sz w:val="5"/>
                <w:szCs w:val="5"/>
                <w:color w:val="auto"/>
              </w:rPr>
            </w:pPr>
          </w:p>
        </w:tc>
        <w:tc>
          <w:tcPr>
            <w:tcW w:w="800" w:type="dxa"/>
            <w:vAlign w:val="bottom"/>
            <w:tcBorders>
              <w:bottom w:val="single" w:sz="8" w:color="009BDE"/>
            </w:tcBorders>
          </w:tcPr>
          <w:p>
            <w:pPr>
              <w:spacing w:after="0"/>
              <w:rPr>
                <w:sz w:val="5"/>
                <w:szCs w:val="5"/>
                <w:color w:val="auto"/>
              </w:rPr>
            </w:pPr>
          </w:p>
        </w:tc>
        <w:tc>
          <w:tcPr>
            <w:tcW w:w="22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92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60" w:type="dxa"/>
            <w:vAlign w:val="bottom"/>
          </w:tcPr>
          <w:p>
            <w:pPr>
              <w:ind w:left="100"/>
              <w:spacing w:after="0"/>
              <w:rPr>
                <w:sz w:val="20"/>
                <w:szCs w:val="20"/>
                <w:color w:val="auto"/>
              </w:rPr>
            </w:pPr>
            <w:r>
              <w:rPr>
                <w:rFonts w:ascii="Arial" w:cs="Arial" w:eastAsia="Arial" w:hAnsi="Arial"/>
                <w:sz w:val="11"/>
                <w:szCs w:val="11"/>
                <w:b w:val="1"/>
                <w:bCs w:val="1"/>
                <w:color w:val="auto"/>
              </w:rPr>
              <w:t>Total Incremental Benefits</w:t>
            </w:r>
          </w:p>
        </w:tc>
        <w:tc>
          <w:tcPr>
            <w:tcW w:w="400" w:type="dxa"/>
            <w:vAlign w:val="bottom"/>
            <w:gridSpan w:val="2"/>
          </w:tcPr>
          <w:p>
            <w:pPr>
              <w:ind w:left="34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9,639,964</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rPr>
                <w:sz w:val="20"/>
                <w:szCs w:val="20"/>
                <w:color w:val="auto"/>
              </w:rPr>
            </w:pPr>
            <w:r>
              <w:rPr>
                <w:rFonts w:ascii="Arial" w:cs="Arial" w:eastAsia="Arial" w:hAnsi="Arial"/>
                <w:sz w:val="11"/>
                <w:szCs w:val="11"/>
                <w:color w:val="auto"/>
                <w:w w:val="93"/>
              </w:rPr>
              <w:t>8,110,798</w:t>
            </w:r>
          </w:p>
        </w:tc>
        <w:tc>
          <w:tcPr>
            <w:tcW w:w="220" w:type="dxa"/>
            <w:vAlign w:val="bottom"/>
          </w:tcPr>
          <w:p>
            <w:pPr>
              <w:ind w:left="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3,288,860</w:t>
            </w:r>
          </w:p>
        </w:tc>
        <w:tc>
          <w:tcPr>
            <w:tcW w:w="34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126"/>
              <w:spacing w:after="0"/>
              <w:rPr>
                <w:sz w:val="20"/>
                <w:szCs w:val="20"/>
                <w:color w:val="auto"/>
              </w:rPr>
            </w:pPr>
            <w:r>
              <w:rPr>
                <w:rFonts w:ascii="Arial" w:cs="Arial" w:eastAsia="Arial" w:hAnsi="Arial"/>
                <w:sz w:val="11"/>
                <w:szCs w:val="11"/>
                <w:color w:val="auto"/>
              </w:rPr>
              <w:t>15,974,667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42545</wp:posOffset>
            </wp:positionV>
            <wp:extent cx="4663440" cy="571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13" w:lineRule="exact"/>
        <w:rPr>
          <w:sz w:val="20"/>
          <w:szCs w:val="20"/>
          <w:color w:val="auto"/>
        </w:rPr>
      </w:pPr>
    </w:p>
    <w:p>
      <w:pPr>
        <w:ind w:left="2260" w:right="959" w:hanging="288"/>
        <w:spacing w:after="0" w:line="232" w:lineRule="auto"/>
        <w:tabs>
          <w:tab w:leader="none" w:pos="2260" w:val="left"/>
        </w:tabs>
        <w:numPr>
          <w:ilvl w:val="0"/>
          <w:numId w:val="57"/>
        </w:numPr>
        <w:rPr>
          <w:rFonts w:ascii="Arial" w:cs="Arial" w:eastAsia="Arial" w:hAnsi="Arial"/>
          <w:sz w:val="10"/>
          <w:szCs w:val="10"/>
          <w:color w:val="auto"/>
        </w:rPr>
      </w:pPr>
      <w:r>
        <w:rPr>
          <w:rFonts w:ascii="Arial" w:cs="Arial" w:eastAsia="Arial" w:hAnsi="Arial"/>
          <w:sz w:val="10"/>
          <w:szCs w:val="10"/>
          <w:color w:val="auto"/>
        </w:rPr>
        <w:t>“Involuntary Termination” not in a change in control scenario means termination by the Company without Cause, and for Mr. Throop, termination by the executive for Good Reason.</w:t>
      </w:r>
    </w:p>
    <w:p>
      <w:pPr>
        <w:spacing w:after="0" w:line="47" w:lineRule="exact"/>
        <w:rPr>
          <w:rFonts w:ascii="Arial" w:cs="Arial" w:eastAsia="Arial" w:hAnsi="Arial"/>
          <w:sz w:val="10"/>
          <w:szCs w:val="10"/>
          <w:color w:val="auto"/>
        </w:rPr>
      </w:pPr>
    </w:p>
    <w:p>
      <w:pPr>
        <w:ind w:left="2260" w:hanging="288"/>
        <w:spacing w:after="0"/>
        <w:tabs>
          <w:tab w:leader="none" w:pos="2260" w:val="left"/>
        </w:tabs>
        <w:numPr>
          <w:ilvl w:val="0"/>
          <w:numId w:val="57"/>
        </w:numPr>
        <w:rPr>
          <w:rFonts w:ascii="Arial" w:cs="Arial" w:eastAsia="Arial" w:hAnsi="Arial"/>
          <w:sz w:val="10"/>
          <w:szCs w:val="10"/>
          <w:color w:val="auto"/>
        </w:rPr>
      </w:pPr>
      <w:r>
        <w:rPr>
          <w:rFonts w:ascii="Arial" w:cs="Arial" w:eastAsia="Arial" w:hAnsi="Arial"/>
          <w:sz w:val="10"/>
          <w:szCs w:val="10"/>
          <w:color w:val="auto"/>
        </w:rPr>
        <w:t>As of December 25, 2022, Ms. Thomas qualifies for early retirement and accelerated vesting of a portion of her equity awards.</w:t>
      </w:r>
    </w:p>
    <w:p>
      <w:pPr>
        <w:spacing w:after="0" w:line="47" w:lineRule="exact"/>
        <w:rPr>
          <w:rFonts w:ascii="Arial" w:cs="Arial" w:eastAsia="Arial" w:hAnsi="Arial"/>
          <w:sz w:val="10"/>
          <w:szCs w:val="10"/>
          <w:color w:val="auto"/>
        </w:rPr>
      </w:pPr>
    </w:p>
    <w:p>
      <w:pPr>
        <w:ind w:left="2260" w:hanging="288"/>
        <w:spacing w:after="0"/>
        <w:tabs>
          <w:tab w:leader="none" w:pos="2260" w:val="left"/>
        </w:tabs>
        <w:numPr>
          <w:ilvl w:val="0"/>
          <w:numId w:val="57"/>
        </w:numPr>
        <w:rPr>
          <w:rFonts w:ascii="Arial" w:cs="Arial" w:eastAsia="Arial" w:hAnsi="Arial"/>
          <w:sz w:val="10"/>
          <w:szCs w:val="10"/>
          <w:color w:val="auto"/>
        </w:rPr>
      </w:pPr>
      <w:r>
        <w:rPr>
          <w:rFonts w:ascii="Arial" w:cs="Arial" w:eastAsia="Arial" w:hAnsi="Arial"/>
          <w:sz w:val="10"/>
          <w:szCs w:val="10"/>
          <w:color w:val="auto"/>
        </w:rPr>
        <w:t>“Involuntary Termination” in a change of control scenario means termination by the Company without Cause or termination by the executive for Good Reason.</w:t>
      </w:r>
    </w:p>
    <w:p>
      <w:pPr>
        <w:spacing w:after="0" w:line="47" w:lineRule="exact"/>
        <w:rPr>
          <w:rFonts w:ascii="Arial" w:cs="Arial" w:eastAsia="Arial" w:hAnsi="Arial"/>
          <w:sz w:val="10"/>
          <w:szCs w:val="10"/>
          <w:color w:val="auto"/>
        </w:rPr>
      </w:pPr>
    </w:p>
    <w:p>
      <w:pPr>
        <w:ind w:left="2260" w:right="1239" w:hanging="288"/>
        <w:spacing w:after="0" w:line="232" w:lineRule="auto"/>
        <w:tabs>
          <w:tab w:leader="none" w:pos="2260" w:val="left"/>
        </w:tabs>
        <w:numPr>
          <w:ilvl w:val="0"/>
          <w:numId w:val="57"/>
        </w:numPr>
        <w:rPr>
          <w:rFonts w:ascii="Arial" w:cs="Arial" w:eastAsia="Arial" w:hAnsi="Arial"/>
          <w:sz w:val="10"/>
          <w:szCs w:val="10"/>
          <w:color w:val="auto"/>
        </w:rPr>
      </w:pPr>
      <w:r>
        <w:rPr>
          <w:rFonts w:ascii="Arial" w:cs="Arial" w:eastAsia="Arial" w:hAnsi="Arial"/>
          <w:sz w:val="10"/>
          <w:szCs w:val="10"/>
          <w:color w:val="auto"/>
        </w:rPr>
        <w:t>In a change of control scenario, other benefits include the Company’s cost of continued health and welfare benefits coverage and outplacement services. For Mr. Nyman, other benefits also include the payment of financial planning, legal and tax preparation services.</w:t>
      </w:r>
    </w:p>
    <w:p>
      <w:pPr>
        <w:spacing w:after="0" w:line="47" w:lineRule="exact"/>
        <w:rPr>
          <w:rFonts w:ascii="Arial" w:cs="Arial" w:eastAsia="Arial" w:hAnsi="Arial"/>
          <w:sz w:val="10"/>
          <w:szCs w:val="10"/>
          <w:color w:val="auto"/>
        </w:rPr>
      </w:pPr>
    </w:p>
    <w:p>
      <w:pPr>
        <w:jc w:val="both"/>
        <w:ind w:left="2260" w:right="1039" w:hanging="288"/>
        <w:spacing w:after="0" w:line="341" w:lineRule="auto"/>
        <w:tabs>
          <w:tab w:leader="none" w:pos="2260" w:val="left"/>
        </w:tabs>
        <w:numPr>
          <w:ilvl w:val="0"/>
          <w:numId w:val="57"/>
        </w:numPr>
        <w:rPr>
          <w:rFonts w:ascii="Arial" w:cs="Arial" w:eastAsia="Arial" w:hAnsi="Arial"/>
          <w:sz w:val="8"/>
          <w:szCs w:val="8"/>
          <w:color w:val="auto"/>
        </w:rPr>
      </w:pPr>
      <w:r>
        <w:rPr>
          <w:rFonts w:ascii="Arial" w:cs="Arial" w:eastAsia="Arial" w:hAnsi="Arial"/>
          <w:sz w:val="8"/>
          <w:szCs w:val="8"/>
          <w:color w:val="auto"/>
        </w:rPr>
        <w:t>Includes the value of accelerated equity awards pursuant to the terms of the plan, award agreement or individual employment or change in control agreement, as applicable, and summarized below. For awards whose vesting is based on actual performance, the calculations assume a target level of performance is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123190</wp:posOffset>
            </wp:positionV>
            <wp:extent cx="4663440" cy="35433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4663440" cy="354330"/>
                    </a:xfrm>
                    <a:prstGeom prst="rect">
                      <a:avLst/>
                    </a:prstGeom>
                    <a:noFill/>
                  </pic:spPr>
                </pic:pic>
              </a:graphicData>
            </a:graphic>
          </wp:anchor>
        </w:drawing>
      </w:r>
    </w:p>
    <w:p>
      <w:pPr>
        <w:spacing w:after="0" w:line="220" w:lineRule="exact"/>
        <w:rPr>
          <w:sz w:val="20"/>
          <w:szCs w:val="20"/>
          <w:color w:val="auto"/>
        </w:rPr>
      </w:pPr>
    </w:p>
    <w:p>
      <w:pPr>
        <w:ind w:left="2100" w:right="1179"/>
        <w:spacing w:after="0" w:line="287" w:lineRule="auto"/>
        <w:rPr>
          <w:sz w:val="20"/>
          <w:szCs w:val="20"/>
          <w:color w:val="auto"/>
        </w:rPr>
      </w:pPr>
      <w:r>
        <w:rPr>
          <w:rFonts w:ascii="Arial" w:cs="Arial" w:eastAsia="Arial" w:hAnsi="Arial"/>
          <w:sz w:val="17"/>
          <w:szCs w:val="17"/>
          <w:b w:val="1"/>
          <w:bCs w:val="1"/>
          <w:color w:val="FFFFFF"/>
        </w:rPr>
        <w:t>Agreements and Arrangements Providing Post-Employment and Change in Control Benefits</w:t>
      </w:r>
    </w:p>
    <w:p>
      <w:pPr>
        <w:spacing w:after="0" w:line="145" w:lineRule="exact"/>
        <w:rPr>
          <w:sz w:val="20"/>
          <w:szCs w:val="20"/>
          <w:color w:val="auto"/>
        </w:rPr>
      </w:pPr>
    </w:p>
    <w:p>
      <w:pPr>
        <w:ind w:left="1980" w:right="939"/>
        <w:spacing w:after="0" w:line="242" w:lineRule="auto"/>
        <w:rPr>
          <w:sz w:val="20"/>
          <w:szCs w:val="20"/>
          <w:color w:val="auto"/>
        </w:rPr>
      </w:pPr>
      <w:r>
        <w:rPr>
          <w:rFonts w:ascii="Arial" w:cs="Arial" w:eastAsia="Arial" w:hAnsi="Arial"/>
          <w:sz w:val="11"/>
          <w:szCs w:val="11"/>
          <w:color w:val="auto"/>
        </w:rPr>
        <w:t>The Company provides post-employment benefits through broad-based programs as well as individual agreements for certain executives. Benefits provided through each of the following programs are summarized below and the value of these benefits in various situations is included in the preceding tables.</w:t>
      </w:r>
    </w:p>
    <w:p>
      <w:pPr>
        <w:spacing w:after="0" w:line="139" w:lineRule="exact"/>
        <w:rPr>
          <w:sz w:val="20"/>
          <w:szCs w:val="20"/>
          <w:color w:val="auto"/>
        </w:rPr>
      </w:pPr>
    </w:p>
    <w:p>
      <w:pPr>
        <w:ind w:left="2120" w:hanging="148"/>
        <w:spacing w:after="0"/>
        <w:tabs>
          <w:tab w:leader="none" w:pos="2120" w:val="left"/>
        </w:tabs>
        <w:numPr>
          <w:ilvl w:val="0"/>
          <w:numId w:val="58"/>
        </w:numPr>
        <w:rPr>
          <w:rFonts w:ascii="Arial" w:cs="Arial" w:eastAsia="Arial" w:hAnsi="Arial"/>
          <w:sz w:val="11"/>
          <w:szCs w:val="11"/>
          <w:color w:val="auto"/>
        </w:rPr>
      </w:pPr>
      <w:r>
        <w:rPr>
          <w:rFonts w:ascii="Arial" w:cs="Arial" w:eastAsia="Arial" w:hAnsi="Arial"/>
          <w:sz w:val="11"/>
          <w:szCs w:val="11"/>
          <w:color w:val="auto"/>
        </w:rPr>
        <w:t>Hasbro Equity Incentive Plans</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58"/>
        </w:numPr>
        <w:rPr>
          <w:rFonts w:ascii="Arial" w:cs="Arial" w:eastAsia="Arial" w:hAnsi="Arial"/>
          <w:sz w:val="11"/>
          <w:szCs w:val="11"/>
          <w:color w:val="auto"/>
        </w:rPr>
      </w:pPr>
      <w:r>
        <w:rPr>
          <w:rFonts w:ascii="Arial" w:cs="Arial" w:eastAsia="Arial" w:hAnsi="Arial"/>
          <w:sz w:val="11"/>
          <w:szCs w:val="11"/>
          <w:color w:val="auto"/>
        </w:rPr>
        <w:t>Hasbro Severance Benefits Plan</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58"/>
        </w:numPr>
        <w:rPr>
          <w:rFonts w:ascii="Arial" w:cs="Arial" w:eastAsia="Arial" w:hAnsi="Arial"/>
          <w:sz w:val="11"/>
          <w:szCs w:val="11"/>
          <w:color w:val="auto"/>
        </w:rPr>
      </w:pPr>
      <w:r>
        <w:rPr>
          <w:rFonts w:ascii="Arial" w:cs="Arial" w:eastAsia="Arial" w:hAnsi="Arial"/>
          <w:sz w:val="11"/>
          <w:szCs w:val="11"/>
          <w:color w:val="auto"/>
        </w:rPr>
        <w:t>Employment Agreement with Chris Cocks</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58"/>
        </w:numPr>
        <w:rPr>
          <w:rFonts w:ascii="Arial" w:cs="Arial" w:eastAsia="Arial" w:hAnsi="Arial"/>
          <w:sz w:val="11"/>
          <w:szCs w:val="11"/>
          <w:color w:val="auto"/>
        </w:rPr>
      </w:pPr>
      <w:r>
        <w:rPr>
          <w:rFonts w:ascii="Arial" w:cs="Arial" w:eastAsia="Arial" w:hAnsi="Arial"/>
          <w:sz w:val="11"/>
          <w:szCs w:val="11"/>
          <w:color w:val="auto"/>
        </w:rPr>
        <w:t>Transitional Advisory Services Agreement with Deborah Thomas</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58"/>
        </w:numPr>
        <w:rPr>
          <w:rFonts w:ascii="Arial" w:cs="Arial" w:eastAsia="Arial" w:hAnsi="Arial"/>
          <w:sz w:val="11"/>
          <w:szCs w:val="11"/>
          <w:color w:val="auto"/>
        </w:rPr>
      </w:pPr>
      <w:r>
        <w:rPr>
          <w:rFonts w:ascii="Arial" w:cs="Arial" w:eastAsia="Arial" w:hAnsi="Arial"/>
          <w:sz w:val="11"/>
          <w:szCs w:val="11"/>
          <w:color w:val="auto"/>
        </w:rPr>
        <w:t>Employment Agreement with Eric Nyman</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58"/>
        </w:numPr>
        <w:rPr>
          <w:rFonts w:ascii="Arial" w:cs="Arial" w:eastAsia="Arial" w:hAnsi="Arial"/>
          <w:sz w:val="11"/>
          <w:szCs w:val="11"/>
          <w:color w:val="auto"/>
        </w:rPr>
      </w:pPr>
      <w:r>
        <w:rPr>
          <w:rFonts w:ascii="Arial" w:cs="Arial" w:eastAsia="Arial" w:hAnsi="Arial"/>
          <w:sz w:val="11"/>
          <w:szCs w:val="11"/>
          <w:color w:val="auto"/>
        </w:rPr>
        <w:t>Employment Agreement with Darren Throop</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58"/>
        </w:numPr>
        <w:rPr>
          <w:rFonts w:ascii="Arial" w:cs="Arial" w:eastAsia="Arial" w:hAnsi="Arial"/>
          <w:sz w:val="11"/>
          <w:szCs w:val="11"/>
          <w:color w:val="auto"/>
        </w:rPr>
      </w:pPr>
      <w:r>
        <w:rPr>
          <w:rFonts w:ascii="Arial" w:cs="Arial" w:eastAsia="Arial" w:hAnsi="Arial"/>
          <w:sz w:val="11"/>
          <w:szCs w:val="11"/>
          <w:color w:val="auto"/>
        </w:rPr>
        <w:t>Change in Control Severance Plan for Designated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153035</wp:posOffset>
            </wp:positionV>
            <wp:extent cx="4663440" cy="22288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4663440" cy="222885"/>
                    </a:xfrm>
                    <a:prstGeom prst="rect">
                      <a:avLst/>
                    </a:prstGeom>
                    <a:noFill/>
                  </pic:spPr>
                </pic:pic>
              </a:graphicData>
            </a:graphic>
          </wp:anchor>
        </w:drawing>
      </w:r>
    </w:p>
    <w:p>
      <w:pPr>
        <w:spacing w:after="0" w:line="267"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Benefits Under Hasbro Equity Incentive Plans</w:t>
      </w:r>
    </w:p>
    <w:p>
      <w:pPr>
        <w:spacing w:after="0" w:line="210" w:lineRule="exact"/>
        <w:rPr>
          <w:sz w:val="20"/>
          <w:szCs w:val="20"/>
          <w:color w:val="auto"/>
        </w:rPr>
      </w:pPr>
    </w:p>
    <w:p>
      <w:pPr>
        <w:ind w:left="1980" w:right="1119"/>
        <w:spacing w:after="0" w:line="245" w:lineRule="auto"/>
        <w:rPr>
          <w:sz w:val="20"/>
          <w:szCs w:val="20"/>
          <w:color w:val="auto"/>
        </w:rPr>
      </w:pPr>
      <w:r>
        <w:rPr>
          <w:rFonts w:ascii="Arial" w:cs="Arial" w:eastAsia="Arial" w:hAnsi="Arial"/>
          <w:sz w:val="11"/>
          <w:szCs w:val="11"/>
          <w:color w:val="auto"/>
        </w:rPr>
        <w:t>The executive officers of the Company and certain of the Company’s other employees have received outstanding equity awards, in the form of stock options, restricted stock units and/or contingent stock performance awards, under the 2003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120650</wp:posOffset>
            </wp:positionV>
            <wp:extent cx="3971925" cy="21717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228"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63</w:t>
      </w:r>
    </w:p>
    <w:p>
      <w:pPr>
        <w:sectPr>
          <w:pgSz w:w="11900" w:h="16838" w:orient="portrait"/>
          <w:cols w:equalWidth="0" w:num="1">
            <w:col w:w="10159"/>
          </w:cols>
          <w:pgMar w:left="300" w:top="372" w:right="1440" w:bottom="1440" w:gutter="0" w:footer="0" w:header="0"/>
        </w:sectPr>
      </w:pPr>
    </w:p>
    <w:bookmarkStart w:id="85" w:name="page86"/>
    <w:bookmarkEnd w:id="8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959"/>
        <w:spacing w:after="0" w:line="241" w:lineRule="auto"/>
        <w:rPr>
          <w:sz w:val="20"/>
          <w:szCs w:val="20"/>
          <w:color w:val="auto"/>
        </w:rPr>
      </w:pPr>
      <w:r>
        <w:rPr>
          <w:rFonts w:ascii="Arial" w:cs="Arial" w:eastAsia="Arial" w:hAnsi="Arial"/>
          <w:sz w:val="11"/>
          <w:szCs w:val="11"/>
          <w:color w:val="auto"/>
        </w:rPr>
        <w:t>Unless modified by the individual employment agreements or equity grant agreements entered into between the Company and an executive officer, all equity awards (including stock options, restricted stock grants, deferred restricted stock units and contingent stock performance awards) under all of the Company’s equity incentive plans are subject to the post-termination provisions which are summarized below, based on the type of termination or the occurrence of a change of control.</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Effect of a Change of Control</w:t>
      </w:r>
    </w:p>
    <w:p>
      <w:pPr>
        <w:spacing w:after="0" w:line="111" w:lineRule="exact"/>
        <w:rPr>
          <w:sz w:val="20"/>
          <w:szCs w:val="20"/>
          <w:color w:val="auto"/>
        </w:rPr>
      </w:pPr>
    </w:p>
    <w:p>
      <w:pPr>
        <w:ind w:left="1980" w:right="859"/>
        <w:spacing w:after="0"/>
        <w:rPr>
          <w:sz w:val="20"/>
          <w:szCs w:val="20"/>
          <w:color w:val="auto"/>
        </w:rPr>
      </w:pPr>
      <w:r>
        <w:rPr>
          <w:rFonts w:ascii="Arial" w:cs="Arial" w:eastAsia="Arial" w:hAnsi="Arial"/>
          <w:sz w:val="11"/>
          <w:szCs w:val="11"/>
          <w:color w:val="auto"/>
        </w:rPr>
        <w:t>Option awards, shares of restricted stock, restricted stock units and the target number of shares subject to contingent stock performance awards, will vest upon a change in control only if the executive officer’s employment is terminated by the Company without Cause, or by the executive for Good Reason, each as defined under the 2003 Plan within twenty-four (24) months following a Change of Control, as defined under the 2003 Plan. If an award should vest in accordance with these terms, it is settled in a similar manner as described above for the respective award, but calculated as of the date of the executive’s termination of employment based on the then fair market value of the stock.</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Disability Termination</w:t>
      </w:r>
    </w:p>
    <w:p>
      <w:pPr>
        <w:spacing w:after="0" w:line="111" w:lineRule="exact"/>
        <w:rPr>
          <w:sz w:val="20"/>
          <w:szCs w:val="20"/>
          <w:color w:val="auto"/>
        </w:rPr>
      </w:pPr>
    </w:p>
    <w:p>
      <w:pPr>
        <w:ind w:left="1980" w:right="859"/>
        <w:spacing w:after="0"/>
        <w:rPr>
          <w:sz w:val="20"/>
          <w:szCs w:val="20"/>
          <w:color w:val="auto"/>
        </w:rPr>
      </w:pPr>
      <w:r>
        <w:rPr>
          <w:rFonts w:ascii="Arial" w:cs="Arial" w:eastAsia="Arial" w:hAnsi="Arial"/>
          <w:sz w:val="11"/>
          <w:szCs w:val="11"/>
          <w:color w:val="auto"/>
        </w:rPr>
        <w:t>If an executive officer’s employment with the Company is terminated due to a permanent disability of such officer, then, except to the extent this treatment is modified in an individual officer’s employment agreement, for such officer’s outstanding equity awards: (i) all unvested stock option awards immediately vest and become exercisable for a period of one year following the date of such disability, (ii) a pro-rata portion, reflecting the portion of the total vesting period which has elapsed, of restricted stock unit awards immediately vest and (iii) outstanding contingent stock performance awards remain outstanding for the remainder of the performance period and at the end of the performance period the number of shares which would have been earned under the award is pro-rated based on the portion of the performance period prior to the officer’s termination due to disability and such pro-rated number of shares is paid to the officer.</w:t>
      </w:r>
    </w:p>
    <w:p>
      <w:pPr>
        <w:spacing w:after="0" w:line="201"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Termination due to Death of an Officer</w:t>
      </w:r>
    </w:p>
    <w:p>
      <w:pPr>
        <w:spacing w:after="0" w:line="102" w:lineRule="exact"/>
        <w:rPr>
          <w:sz w:val="20"/>
          <w:szCs w:val="20"/>
          <w:color w:val="auto"/>
        </w:rPr>
      </w:pPr>
    </w:p>
    <w:p>
      <w:pPr>
        <w:ind w:left="1980" w:right="859"/>
        <w:spacing w:after="0"/>
        <w:rPr>
          <w:sz w:val="20"/>
          <w:szCs w:val="20"/>
          <w:color w:val="auto"/>
        </w:rPr>
      </w:pPr>
      <w:r>
        <w:rPr>
          <w:rFonts w:ascii="Arial" w:cs="Arial" w:eastAsia="Arial" w:hAnsi="Arial"/>
          <w:sz w:val="11"/>
          <w:szCs w:val="11"/>
          <w:color w:val="auto"/>
        </w:rPr>
        <w:t>If an executive officer’s employment with the Company terminates due to the officer’s death, then, except to the extent this treatment is modified in an individual officer’s employment agreement, for such officer’s outstanding equity awards (i) all unvested stock option awards immediately vest and become exercisable for a period of one year following the date of death or the appointment of the executor of such officer’s estate, (ii) a pro-rata portion, reflecting the portion of the total vesting period which has elapsed, of restricted stock unit awards immediately vest and (iii) outstanding contingent stock performance awards are paid out based on the pro-rated portion of the performance period completed prior to the officer’s death, with such pro-rated period applied to the target number of shares subject to such awards.</w:t>
      </w:r>
    </w:p>
    <w:p>
      <w:pPr>
        <w:spacing w:after="0" w:line="201"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Retirement</w:t>
      </w:r>
    </w:p>
    <w:p>
      <w:pPr>
        <w:spacing w:after="0" w:line="111" w:lineRule="exact"/>
        <w:rPr>
          <w:sz w:val="20"/>
          <w:szCs w:val="20"/>
          <w:color w:val="auto"/>
        </w:rPr>
      </w:pPr>
    </w:p>
    <w:p>
      <w:pPr>
        <w:ind w:left="1980" w:right="859"/>
        <w:spacing w:after="0"/>
        <w:rPr>
          <w:sz w:val="20"/>
          <w:szCs w:val="20"/>
          <w:color w:val="auto"/>
        </w:rPr>
      </w:pPr>
      <w:r>
        <w:rPr>
          <w:rFonts w:ascii="Arial" w:cs="Arial" w:eastAsia="Arial" w:hAnsi="Arial"/>
          <w:sz w:val="11"/>
          <w:szCs w:val="11"/>
          <w:color w:val="auto"/>
        </w:rPr>
        <w:t>Upon retirement of an executive officer, except to the extent this treatment is modified in an individual officer’s employment agreement, outstanding equity awards are treated in the following manner: (i) if the retirement qualifies as normal retirement, where the officer is 65 or older and has five or more years of service with the Company, all stock option awards vest and become exercisable for a period of one year following retirement and (ii) if it qualifies as normal retirement or early retirement, a pro-rata portion, reflecting the portion of the total vesting period which has elapsed, of restricted stock unit awards immediately vest and unearned performance share awards remain outstanding for the remainder of the performance period and at the end of the period the number of shares which are actually earned are pro-rated for the portion of the performance period during which the officer was employed and such pro-rated portion is paid to the retired executive.</w:t>
      </w:r>
    </w:p>
    <w:p>
      <w:pPr>
        <w:spacing w:after="0" w:line="201"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Other Voluntary or Involuntary Terminations</w:t>
      </w:r>
    </w:p>
    <w:p>
      <w:pPr>
        <w:spacing w:after="0" w:line="111" w:lineRule="exact"/>
        <w:rPr>
          <w:sz w:val="20"/>
          <w:szCs w:val="20"/>
          <w:color w:val="auto"/>
        </w:rPr>
      </w:pPr>
    </w:p>
    <w:p>
      <w:pPr>
        <w:ind w:left="1980" w:right="1219"/>
        <w:spacing w:after="0" w:line="245" w:lineRule="auto"/>
        <w:rPr>
          <w:sz w:val="20"/>
          <w:szCs w:val="20"/>
          <w:color w:val="auto"/>
        </w:rPr>
      </w:pPr>
      <w:r>
        <w:rPr>
          <w:rFonts w:ascii="Arial" w:cs="Arial" w:eastAsia="Arial" w:hAnsi="Arial"/>
          <w:sz w:val="11"/>
          <w:szCs w:val="11"/>
          <w:color w:val="auto"/>
        </w:rPr>
        <w:t>For all other terminations of employment of an executive officer, either voluntary or involuntary, except to the extent this treatment is modified in an individual officer’s employment agreement or by action of the Committee,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57785</wp:posOffset>
            </wp:positionV>
            <wp:extent cx="3971925" cy="21717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29"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64</w:t>
      </w:r>
    </w:p>
    <w:p>
      <w:pPr>
        <w:sectPr>
          <w:pgSz w:w="11900" w:h="16838" w:orient="portrait"/>
          <w:cols w:equalWidth="0" w:num="1">
            <w:col w:w="10159"/>
          </w:cols>
          <w:pgMar w:left="300" w:top="372" w:right="1440" w:bottom="1440" w:gutter="0" w:footer="0" w:header="0"/>
        </w:sectPr>
      </w:pPr>
    </w:p>
    <w:bookmarkStart w:id="86" w:name="page87"/>
    <w:bookmarkEnd w:id="8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939"/>
        <w:spacing w:after="0" w:line="242" w:lineRule="auto"/>
        <w:rPr>
          <w:sz w:val="20"/>
          <w:szCs w:val="20"/>
          <w:color w:val="auto"/>
        </w:rPr>
      </w:pPr>
      <w:r>
        <w:rPr>
          <w:rFonts w:ascii="Arial" w:cs="Arial" w:eastAsia="Arial" w:hAnsi="Arial"/>
          <w:sz w:val="11"/>
          <w:szCs w:val="11"/>
          <w:color w:val="auto"/>
        </w:rPr>
        <w:t>additional vesting of equity awards occurs as a result of termination but (i) stock options that were currently exercisable prior to termination remain exercisable for a period of three months following the date of termination and (ii) all unvested restricted shares and stock units, and unearned contingent stock performance awards, are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26860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3"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Hasbro Severance Benefits Plan</w:t>
      </w:r>
    </w:p>
    <w:p>
      <w:pPr>
        <w:spacing w:after="0" w:line="282" w:lineRule="exact"/>
        <w:rPr>
          <w:sz w:val="20"/>
          <w:szCs w:val="20"/>
          <w:color w:val="auto"/>
        </w:rPr>
      </w:pPr>
    </w:p>
    <w:p>
      <w:pPr>
        <w:ind w:left="1980" w:right="859"/>
        <w:spacing w:after="0" w:line="262" w:lineRule="auto"/>
        <w:rPr>
          <w:sz w:val="20"/>
          <w:szCs w:val="20"/>
          <w:color w:val="auto"/>
        </w:rPr>
      </w:pPr>
      <w:r>
        <w:rPr>
          <w:rFonts w:ascii="Arial" w:cs="Arial" w:eastAsia="Arial" w:hAnsi="Arial"/>
          <w:sz w:val="10"/>
          <w:szCs w:val="10"/>
          <w:color w:val="auto"/>
        </w:rPr>
        <w:t>The Company’s Severance Benefits Plan provides for a basic level of severance benefits and a more substantial level of benefits, subject to the individual signing a severance agreement acceptable to the Company. These benefits are provided if the executive is terminated by the Company without cause, unless such benefits are superseded by the benefits provided under the terms of an officer’s employment agreement. The benefits shown for Ms. Thomas and Ms. Williams in the preceding tables assume that the individual signs an acceptable severance agreement. For each of Ms. Thomas and</w:t>
      </w:r>
    </w:p>
    <w:p>
      <w:pPr>
        <w:spacing w:after="0" w:line="2" w:lineRule="exact"/>
        <w:rPr>
          <w:sz w:val="20"/>
          <w:szCs w:val="20"/>
          <w:color w:val="auto"/>
        </w:rPr>
      </w:pPr>
    </w:p>
    <w:p>
      <w:pPr>
        <w:ind w:left="1980" w:right="899"/>
        <w:spacing w:after="0" w:line="262" w:lineRule="auto"/>
        <w:rPr>
          <w:sz w:val="20"/>
          <w:szCs w:val="20"/>
          <w:color w:val="auto"/>
        </w:rPr>
      </w:pPr>
      <w:r>
        <w:rPr>
          <w:rFonts w:ascii="Arial" w:cs="Arial" w:eastAsia="Arial" w:hAnsi="Arial"/>
          <w:sz w:val="10"/>
          <w:szCs w:val="10"/>
          <w:color w:val="auto"/>
        </w:rPr>
        <w:t>Ms. Williams the tables reflect the following benefits under the Company’s Severance Benefits Plan: (i) continuation of base salary for a period equal to the greater of 2 weeks for each complete year of service with the Company or one year, (ii) continuation of Health &amp; Welfare benefits for the same period including medical, dental, vision and life insurance, with the Company sharing the cost at the same rate as a similarly situated active employee and</w:t>
      </w:r>
    </w:p>
    <w:p>
      <w:pPr>
        <w:spacing w:after="0" w:line="1" w:lineRule="exact"/>
        <w:rPr>
          <w:sz w:val="20"/>
          <w:szCs w:val="20"/>
          <w:color w:val="auto"/>
        </w:rPr>
      </w:pPr>
    </w:p>
    <w:p>
      <w:pPr>
        <w:ind w:left="1980" w:right="839" w:hanging="8"/>
        <w:spacing w:after="0" w:line="278" w:lineRule="auto"/>
        <w:tabs>
          <w:tab w:leader="none" w:pos="2154" w:val="left"/>
        </w:tabs>
        <w:numPr>
          <w:ilvl w:val="0"/>
          <w:numId w:val="59"/>
        </w:numPr>
        <w:rPr>
          <w:rFonts w:ascii="Arial" w:cs="Arial" w:eastAsia="Arial" w:hAnsi="Arial"/>
          <w:sz w:val="10"/>
          <w:szCs w:val="10"/>
          <w:color w:val="auto"/>
        </w:rPr>
      </w:pPr>
      <w:r>
        <w:rPr>
          <w:rFonts w:ascii="Arial" w:cs="Arial" w:eastAsia="Arial" w:hAnsi="Arial"/>
          <w:sz w:val="10"/>
          <w:szCs w:val="10"/>
          <w:color w:val="auto"/>
        </w:rPr>
        <w:t>participation in an outplacement program. The amount shown in the tables above assumes one year of participation for each of these executives. However, benefits under the Company’s Severance Benefits Plan cease upon re-employment of an executive, provided that if the individual notifies the Company of the new employment, the Company will provide a lump sum equal to 50% of the remaining severance pay as of the date of new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139700</wp:posOffset>
            </wp:positionV>
            <wp:extent cx="4663440" cy="22288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4663440" cy="222885"/>
                    </a:xfrm>
                    <a:prstGeom prst="rect">
                      <a:avLst/>
                    </a:prstGeom>
                    <a:noFill/>
                  </pic:spPr>
                </pic:pic>
              </a:graphicData>
            </a:graphic>
          </wp:anchor>
        </w:drawing>
      </w:r>
    </w:p>
    <w:p>
      <w:pPr>
        <w:spacing w:after="0" w:line="246"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Employment Agreement with Chris Cocks</w:t>
      </w:r>
    </w:p>
    <w:p>
      <w:pPr>
        <w:spacing w:after="0" w:line="210" w:lineRule="exact"/>
        <w:rPr>
          <w:sz w:val="20"/>
          <w:szCs w:val="20"/>
          <w:color w:val="auto"/>
        </w:rPr>
      </w:pPr>
    </w:p>
    <w:p>
      <w:pPr>
        <w:ind w:left="1980" w:right="979"/>
        <w:spacing w:after="0" w:line="242" w:lineRule="auto"/>
        <w:rPr>
          <w:sz w:val="20"/>
          <w:szCs w:val="20"/>
          <w:color w:val="auto"/>
        </w:rPr>
      </w:pPr>
      <w:r>
        <w:rPr>
          <w:rFonts w:ascii="Arial" w:cs="Arial" w:eastAsia="Arial" w:hAnsi="Arial"/>
          <w:sz w:val="11"/>
          <w:szCs w:val="11"/>
          <w:color w:val="auto"/>
        </w:rPr>
        <w:t>On January 5, 2022, we announced the appointment of Chris Cocks as our Chief Executive Officer, effective February 25, 2022. The Company entered into an employment agreement with Mr. Cocks (the “CEO Employment Agreement”), with a term that runs through December 31, 2024, unless earlier terminated or extended in accordance with the provisions of the Employment Agreement.</w:t>
      </w:r>
    </w:p>
    <w:p>
      <w:pPr>
        <w:spacing w:after="0" w:line="85" w:lineRule="exact"/>
        <w:rPr>
          <w:sz w:val="20"/>
          <w:szCs w:val="20"/>
          <w:color w:val="auto"/>
        </w:rPr>
      </w:pPr>
    </w:p>
    <w:p>
      <w:pPr>
        <w:ind w:left="1980" w:right="919"/>
        <w:spacing w:after="0" w:line="262" w:lineRule="auto"/>
        <w:rPr>
          <w:sz w:val="20"/>
          <w:szCs w:val="20"/>
          <w:color w:val="auto"/>
        </w:rPr>
      </w:pPr>
      <w:r>
        <w:rPr>
          <w:rFonts w:ascii="Arial" w:cs="Arial" w:eastAsia="Arial" w:hAnsi="Arial"/>
          <w:sz w:val="10"/>
          <w:szCs w:val="10"/>
          <w:color w:val="auto"/>
        </w:rPr>
        <w:t>Mr. Cocks is paid an annual base salary of $1,500,000. He is also entitled to receive an annual management incentive plan bonus, beginning with the Company’s 2022 fiscal year, with a target equal to 150% of his earned base salary. Mr. Cocks is eligible to receive awards under the Company’s long-term equity incentive program with an initial annual target equal to 500% of his annualized base salary.For each fiscal year after 2022, Mr. Cocks’s target annual management incentive plan bonus and target long-term equity incentive plan award shall be reviewed periodically in accordance with the Company’s compensation philosophy, market conditions and other factors deemed relevant by the Committee. Following review in fiscal 2023,</w:t>
      </w:r>
    </w:p>
    <w:p>
      <w:pPr>
        <w:spacing w:after="0" w:line="2" w:lineRule="exact"/>
        <w:rPr>
          <w:sz w:val="20"/>
          <w:szCs w:val="20"/>
          <w:color w:val="auto"/>
        </w:rPr>
      </w:pPr>
    </w:p>
    <w:p>
      <w:pPr>
        <w:ind w:left="1980" w:right="1499"/>
        <w:spacing w:after="0" w:line="245" w:lineRule="auto"/>
        <w:rPr>
          <w:sz w:val="20"/>
          <w:szCs w:val="20"/>
          <w:color w:val="auto"/>
        </w:rPr>
      </w:pPr>
      <w:r>
        <w:rPr>
          <w:rFonts w:ascii="Arial" w:cs="Arial" w:eastAsia="Arial" w:hAnsi="Arial"/>
          <w:sz w:val="11"/>
          <w:szCs w:val="11"/>
          <w:color w:val="auto"/>
        </w:rPr>
        <w:t>Mr. Cocks’s long-term equity incentive plan target was increased to 700% to align with the median for long-term incentives of the Company’s compensation peer group.</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009BDE"/>
        </w:rPr>
        <w:t>Treatment Following Various Terminations of Employment</w:t>
      </w:r>
    </w:p>
    <w:p>
      <w:pPr>
        <w:spacing w:after="0" w:line="111" w:lineRule="exact"/>
        <w:rPr>
          <w:sz w:val="20"/>
          <w:szCs w:val="20"/>
          <w:color w:val="auto"/>
        </w:rPr>
      </w:pPr>
    </w:p>
    <w:p>
      <w:pPr>
        <w:ind w:left="1980" w:right="999"/>
        <w:spacing w:after="0" w:line="245" w:lineRule="auto"/>
        <w:rPr>
          <w:sz w:val="20"/>
          <w:szCs w:val="20"/>
          <w:color w:val="auto"/>
        </w:rPr>
      </w:pPr>
      <w:r>
        <w:rPr>
          <w:rFonts w:ascii="Arial" w:cs="Arial" w:eastAsia="Arial" w:hAnsi="Arial"/>
          <w:sz w:val="11"/>
          <w:szCs w:val="11"/>
          <w:color w:val="auto"/>
        </w:rPr>
        <w:t>Mr. Cocks is eligible for severance in the event Hasbro terminates his employment without Cause (as defined in the CEO Employment Agreement) or if Mr. Cocks resigns for Good Reason (as defined in the CEO Employment Agreement).</w:t>
      </w:r>
    </w:p>
    <w:p>
      <w:pPr>
        <w:spacing w:after="0" w:line="128" w:lineRule="exact"/>
        <w:rPr>
          <w:sz w:val="20"/>
          <w:szCs w:val="20"/>
          <w:color w:val="auto"/>
        </w:rPr>
      </w:pPr>
    </w:p>
    <w:p>
      <w:pPr>
        <w:ind w:left="2120" w:right="879" w:hanging="148"/>
        <w:spacing w:after="0" w:line="244" w:lineRule="auto"/>
        <w:tabs>
          <w:tab w:leader="none" w:pos="2120" w:val="left"/>
        </w:tabs>
        <w:numPr>
          <w:ilvl w:val="0"/>
          <w:numId w:val="60"/>
        </w:numPr>
        <w:rPr>
          <w:rFonts w:ascii="Arial" w:cs="Arial" w:eastAsia="Arial" w:hAnsi="Arial"/>
          <w:sz w:val="11"/>
          <w:szCs w:val="11"/>
          <w:color w:val="auto"/>
        </w:rPr>
      </w:pPr>
      <w:r>
        <w:rPr>
          <w:rFonts w:ascii="Arial" w:cs="Arial" w:eastAsia="Arial" w:hAnsi="Arial"/>
          <w:sz w:val="11"/>
          <w:szCs w:val="11"/>
          <w:i w:val="1"/>
          <w:iCs w:val="1"/>
          <w:color w:val="auto"/>
        </w:rPr>
        <w:t>Upon Termination by Hasbro Without Cause, or by Mr. Cocks for Good Reason, Within 24 Months Following a Change in Control</w:t>
      </w:r>
      <w:r>
        <w:rPr>
          <w:rFonts w:ascii="Arial" w:cs="Arial" w:eastAsia="Arial" w:hAnsi="Arial"/>
          <w:sz w:val="11"/>
          <w:szCs w:val="11"/>
          <w:color w:val="auto"/>
        </w:rPr>
        <w:t>. Mr. Cocks is eligible</w:t>
      </w:r>
      <w:r>
        <w:rPr>
          <w:rFonts w:ascii="Arial" w:cs="Arial" w:eastAsia="Arial" w:hAnsi="Arial"/>
          <w:sz w:val="11"/>
          <w:szCs w:val="11"/>
          <w:i w:val="1"/>
          <w:iCs w:val="1"/>
          <w:color w:val="auto"/>
        </w:rPr>
        <w:t xml:space="preserve"> </w:t>
      </w:r>
      <w:r>
        <w:rPr>
          <w:rFonts w:ascii="Arial" w:cs="Arial" w:eastAsia="Arial" w:hAnsi="Arial"/>
          <w:sz w:val="11"/>
          <w:szCs w:val="11"/>
          <w:color w:val="auto"/>
        </w:rPr>
        <w:t>to receive a lump sum payment equal to two times his then-current base salary, a lump sum payment equal to two times his annual management incentive plan target bonus, certain premium payments by Hasbro for continued medical and dental insurance under COBRA for up to 24 months from the effective date of termination, and accelerated vesting of (and lapse of restrictions on) all unexpired, unvested stock options, performance share awards and time-based restricted stock units, with performance share awards vesting at target for the full performance period and a one-year exercise period for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58420</wp:posOffset>
            </wp:positionV>
            <wp:extent cx="3971925" cy="21717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0"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65</w:t>
      </w:r>
    </w:p>
    <w:p>
      <w:pPr>
        <w:sectPr>
          <w:pgSz w:w="11900" w:h="16838" w:orient="portrait"/>
          <w:cols w:equalWidth="0" w:num="1">
            <w:col w:w="10159"/>
          </w:cols>
          <w:pgMar w:left="300" w:top="372" w:right="1440" w:bottom="1440" w:gutter="0" w:footer="0" w:header="0"/>
        </w:sectPr>
      </w:pPr>
    </w:p>
    <w:bookmarkStart w:id="87" w:name="page88"/>
    <w:bookmarkEnd w:id="8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6" w:lineRule="exact"/>
        <w:rPr>
          <w:sz w:val="20"/>
          <w:szCs w:val="20"/>
          <w:color w:val="auto"/>
        </w:rPr>
      </w:pPr>
    </w:p>
    <w:p>
      <w:pPr>
        <w:ind w:left="2120" w:hanging="148"/>
        <w:spacing w:after="0"/>
        <w:tabs>
          <w:tab w:leader="none" w:pos="2120" w:val="left"/>
        </w:tabs>
        <w:numPr>
          <w:ilvl w:val="0"/>
          <w:numId w:val="61"/>
        </w:numPr>
        <w:rPr>
          <w:rFonts w:ascii="Arial" w:cs="Arial" w:eastAsia="Arial" w:hAnsi="Arial"/>
          <w:sz w:val="11"/>
          <w:szCs w:val="11"/>
          <w:color w:val="auto"/>
        </w:rPr>
      </w:pPr>
      <w:r>
        <w:rPr>
          <w:rFonts w:ascii="Arial" w:cs="Arial" w:eastAsia="Arial" w:hAnsi="Arial"/>
          <w:sz w:val="11"/>
          <w:szCs w:val="11"/>
          <w:i w:val="1"/>
          <w:iCs w:val="1"/>
          <w:color w:val="auto"/>
        </w:rPr>
        <w:t>Upon Termination by Hasbro Without Cause, or by Mr. Cocks for Good Reason, Prior to, or More than 24 Months Following, a Change in Control</w:t>
      </w:r>
      <w:r>
        <w:rPr>
          <w:rFonts w:ascii="Arial" w:cs="Arial" w:eastAsia="Arial" w:hAnsi="Arial"/>
          <w:sz w:val="11"/>
          <w:szCs w:val="11"/>
          <w:color w:val="auto"/>
        </w:rPr>
        <w:t>.</w:t>
      </w:r>
    </w:p>
    <w:p>
      <w:pPr>
        <w:spacing w:after="0" w:line="9" w:lineRule="exact"/>
        <w:rPr>
          <w:rFonts w:ascii="Arial" w:cs="Arial" w:eastAsia="Arial" w:hAnsi="Arial"/>
          <w:sz w:val="11"/>
          <w:szCs w:val="11"/>
          <w:color w:val="auto"/>
        </w:rPr>
      </w:pPr>
    </w:p>
    <w:p>
      <w:pPr>
        <w:ind w:left="2120" w:right="899"/>
        <w:spacing w:after="0" w:line="262" w:lineRule="auto"/>
        <w:rPr>
          <w:rFonts w:ascii="Arial" w:cs="Arial" w:eastAsia="Arial" w:hAnsi="Arial"/>
          <w:sz w:val="11"/>
          <w:szCs w:val="11"/>
          <w:color w:val="auto"/>
        </w:rPr>
      </w:pPr>
      <w:r>
        <w:rPr>
          <w:rFonts w:ascii="Arial" w:cs="Arial" w:eastAsia="Arial" w:hAnsi="Arial"/>
          <w:sz w:val="10"/>
          <w:szCs w:val="10"/>
          <w:color w:val="auto"/>
        </w:rPr>
        <w:t>Mr. Cocks is eligible to receive (i) payment of an amount equal to his then-current base salary for a period of 24 months, (ii) two times his then-current annual management incentive plan target bonus payable in equal installments over a period of 24 months, (iii) a pro-rated annual management incentive plan bonus for the year in which the termination occurs, based on actual company performance (a “Pro-Rata Bonus”), (iv) certain premium payments by Hasbro for continued medical and dental insurance under COBRA for up to 24 months from the effective date of termination,</w:t>
      </w:r>
    </w:p>
    <w:p>
      <w:pPr>
        <w:spacing w:after="0" w:line="1" w:lineRule="exact"/>
        <w:rPr>
          <w:rFonts w:ascii="Arial" w:cs="Arial" w:eastAsia="Arial" w:hAnsi="Arial"/>
          <w:sz w:val="11"/>
          <w:szCs w:val="11"/>
          <w:color w:val="auto"/>
        </w:rPr>
      </w:pPr>
    </w:p>
    <w:p>
      <w:pPr>
        <w:ind w:left="2120" w:right="919"/>
        <w:spacing w:after="0"/>
        <w:rPr>
          <w:rFonts w:ascii="Arial" w:cs="Arial" w:eastAsia="Arial" w:hAnsi="Arial"/>
          <w:sz w:val="11"/>
          <w:szCs w:val="11"/>
          <w:color w:val="auto"/>
        </w:rPr>
      </w:pPr>
      <w:r>
        <w:rPr>
          <w:rFonts w:ascii="Arial" w:cs="Arial" w:eastAsia="Arial" w:hAnsi="Arial"/>
          <w:sz w:val="11"/>
          <w:szCs w:val="11"/>
          <w:color w:val="auto"/>
        </w:rPr>
        <w:t>(v) accelerated vesting of (and lapse of restrictions on) all unexpired, unvested stock options and time-based restricted stock units and a one-year exercise period for stock options, and (vi) pro-rated vesting of performance share awards, which will remain outstanding for their performance periods and at the end of the applicable periods Mr. Cocks will receive a pro-rata share (based on the portion of the performance periods that had elapsed as of the date of termination of employment) of the actual number of shares earned under such awards based on company performance (“Pro-Rata PSA Vesting”), payable at the end of the performance periods (“Pro-Rata PSA Vesting Schedule”).</w:t>
      </w:r>
    </w:p>
    <w:p>
      <w:pPr>
        <w:spacing w:after="0" w:line="78" w:lineRule="exact"/>
        <w:rPr>
          <w:rFonts w:ascii="Arial" w:cs="Arial" w:eastAsia="Arial" w:hAnsi="Arial"/>
          <w:sz w:val="11"/>
          <w:szCs w:val="11"/>
          <w:color w:val="auto"/>
        </w:rPr>
      </w:pPr>
    </w:p>
    <w:p>
      <w:pPr>
        <w:ind w:left="2120" w:right="859" w:hanging="148"/>
        <w:spacing w:after="0" w:line="239" w:lineRule="auto"/>
        <w:tabs>
          <w:tab w:leader="none" w:pos="2120" w:val="left"/>
        </w:tabs>
        <w:numPr>
          <w:ilvl w:val="0"/>
          <w:numId w:val="61"/>
        </w:numPr>
        <w:rPr>
          <w:rFonts w:ascii="Arial" w:cs="Arial" w:eastAsia="Arial" w:hAnsi="Arial"/>
          <w:sz w:val="11"/>
          <w:szCs w:val="11"/>
          <w:color w:val="auto"/>
        </w:rPr>
      </w:pPr>
      <w:r>
        <w:rPr>
          <w:rFonts w:ascii="Arial" w:cs="Arial" w:eastAsia="Arial" w:hAnsi="Arial"/>
          <w:sz w:val="11"/>
          <w:szCs w:val="11"/>
          <w:color w:val="auto"/>
        </w:rPr>
        <w:t>Following expiration of the term of the CEO Employment Agreement, if Hasbro does not offer to extend the term for at least an additional year on comparable terms and conditions as those set forth in the CEO Employment Agreement or the parties cannot otherwise mutually agree upon the terms of an agreement for Mr. Cocks to remain employed with Hasbro, then Mr. Cocks is eligible to receive (i) payment of his then-current base salary for a period of 18 months following the date of termination of employment, (ii) an amount equal to 1.5 times his target bonus, payable in equal installments over an 18 month period from the effective date of termination, (iii) certain premium payments by Hasbro for continued medical and dental insurance under COBRA for up to 18 months from the effective date of termination, (iv) a Pro-Rata Bonus for the year in which the date of termination occurs, and (v) Pro-Rata PSA Vesting of performance share awards in accordance with the Pro-Rata PSA Vesting Schedule. All outstanding equity awards other than the performance share awards shall be treated in accordance with their terms, without any forward vesting.</w:t>
      </w:r>
    </w:p>
    <w:p>
      <w:pPr>
        <w:spacing w:after="0" w:line="81" w:lineRule="exact"/>
        <w:rPr>
          <w:rFonts w:ascii="Arial" w:cs="Arial" w:eastAsia="Arial" w:hAnsi="Arial"/>
          <w:sz w:val="11"/>
          <w:szCs w:val="11"/>
          <w:color w:val="auto"/>
        </w:rPr>
      </w:pPr>
    </w:p>
    <w:p>
      <w:pPr>
        <w:ind w:left="2120" w:right="859" w:hanging="148"/>
        <w:spacing w:after="0" w:line="239" w:lineRule="auto"/>
        <w:tabs>
          <w:tab w:leader="none" w:pos="2120" w:val="left"/>
        </w:tabs>
        <w:numPr>
          <w:ilvl w:val="0"/>
          <w:numId w:val="61"/>
        </w:numPr>
        <w:rPr>
          <w:rFonts w:ascii="Arial" w:cs="Arial" w:eastAsia="Arial" w:hAnsi="Arial"/>
          <w:sz w:val="11"/>
          <w:szCs w:val="11"/>
          <w:color w:val="auto"/>
        </w:rPr>
      </w:pPr>
      <w:r>
        <w:rPr>
          <w:rFonts w:ascii="Arial" w:cs="Arial" w:eastAsia="Arial" w:hAnsi="Arial"/>
          <w:sz w:val="11"/>
          <w:szCs w:val="11"/>
          <w:color w:val="auto"/>
        </w:rPr>
        <w:t>If Mr. Cocks’s employment terminates by reason of his death or Disability (as defined in the CEO Employment Agreement), Mr. Cocks (or his estate) is entitled to receive the Pro-Rata Bonus, as well as accelerated vesting of (and lapse of restrictions on) all unexpired, unvested stock options and time-based restricted stock units and a one-year exercise period for stock options. In addition, if the termination of employment is due to Disability, he will be entitled to Pro-Rated PSA vesting pursuant to the Pro-Rata PSA Vesting Schedule based on actual company performance over the periods. If the termination of employment is due to death, Mr. Cocks’s estate or beneficiaries shall be issued the number of shares of common stock that is computed by multiplying: (i) the target number of shares corresponding to 100% achievement of the performance metrics multiplied by (ii) a fraction, the numerator of which is the number of days from the start of the applicable performance period to the date of termination and the denominator of which is the total number of days in the applicable performance period.</w:t>
      </w:r>
    </w:p>
    <w:p>
      <w:pPr>
        <w:spacing w:after="0" w:line="14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Employment Agreement contains certain post-employment restrictions on Mr. Cocks, including non-competition and non-solicitation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101600</wp:posOffset>
            </wp:positionV>
            <wp:extent cx="4663440" cy="26860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186"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Transitional Advisory Services Agreement with Deborah Thomas</w:t>
      </w:r>
    </w:p>
    <w:p>
      <w:pPr>
        <w:spacing w:after="0" w:line="327" w:lineRule="exact"/>
        <w:rPr>
          <w:sz w:val="20"/>
          <w:szCs w:val="20"/>
          <w:color w:val="auto"/>
        </w:rPr>
      </w:pPr>
    </w:p>
    <w:p>
      <w:pPr>
        <w:ind w:left="1980" w:right="879"/>
        <w:spacing w:after="0" w:line="245" w:lineRule="auto"/>
        <w:rPr>
          <w:sz w:val="20"/>
          <w:szCs w:val="20"/>
          <w:color w:val="auto"/>
        </w:rPr>
      </w:pPr>
      <w:r>
        <w:rPr>
          <w:rFonts w:ascii="Arial" w:cs="Arial" w:eastAsia="Arial" w:hAnsi="Arial"/>
          <w:sz w:val="11"/>
          <w:szCs w:val="11"/>
          <w:color w:val="auto"/>
        </w:rPr>
        <w:t>On March 10, 2023, the Company and Deborah Thomas, the Company’s Executive Vice President and Chief Financial Officer, entered into a Transitional Advisory Services Agreement (the “Transition Agreement”), relating to her planned retirement and ongoing services.</w:t>
      </w:r>
    </w:p>
    <w:p>
      <w:pPr>
        <w:spacing w:after="0" w:line="138" w:lineRule="exact"/>
        <w:rPr>
          <w:sz w:val="20"/>
          <w:szCs w:val="20"/>
          <w:color w:val="auto"/>
        </w:rPr>
      </w:pPr>
    </w:p>
    <w:p>
      <w:pPr>
        <w:ind w:left="1980" w:right="899"/>
        <w:spacing w:after="0"/>
        <w:rPr>
          <w:sz w:val="20"/>
          <w:szCs w:val="20"/>
          <w:color w:val="auto"/>
        </w:rPr>
      </w:pPr>
      <w:r>
        <w:rPr>
          <w:rFonts w:ascii="Arial" w:cs="Arial" w:eastAsia="Arial" w:hAnsi="Arial"/>
          <w:sz w:val="11"/>
          <w:szCs w:val="11"/>
          <w:color w:val="auto"/>
        </w:rPr>
        <w:t>Pursuant to the Transition Agreement, Ms. Thomas will continue to serve as the Company’s Executive Vice President and Chief Financial Officer on her current employment terms and conditions through the effective date of the Company’s appointment of a successor Chief Financial Officer (the “Transition Date”). Commencing on the Transition Date until her retirement date on December 31, 2023 (the “Retirement Date”) or such earlier date if her employment is terminated in accordance with the Transition Agreement (referred to as the “Term”), Ms. Thomas will continue employment with the Company in the position of Advisor where she will report to the CEO of the Company, and have such duties and responsibilities as are reasonably assigned by the CEO from time to time, including assisting with transitional efforts and the successful onboarding of a successor Chief Financial Officer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3971925" cy="21717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66</w:t>
      </w:r>
    </w:p>
    <w:p>
      <w:pPr>
        <w:sectPr>
          <w:pgSz w:w="11900" w:h="16838" w:orient="portrait"/>
          <w:cols w:equalWidth="0" w:num="1">
            <w:col w:w="10159"/>
          </w:cols>
          <w:pgMar w:left="300" w:top="372" w:right="1440" w:bottom="1440" w:gutter="0" w:footer="0" w:header="0"/>
        </w:sectPr>
      </w:pPr>
    </w:p>
    <w:bookmarkStart w:id="88" w:name="page89"/>
    <w:bookmarkEnd w:id="8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During the Term, Ms. Thomas’s base salary will remain at its current annualized rate. Ms. Thomas will receive an annual cash bonus award for fiscal year 2023 (the “2023 Bonus”) equal to 100% of her fiscal year 2023 base salary earnings. In fiscal 2023, and provided she remains an employee through the applicable grant dates, Ms. Thomas will be entitled to long-term equity awards to be granted in the same form as other senior management team members at her current target award level. Ms. Thomas’s outstanding long-term incentive awards will continue to vest in accordance with their terms, through the earlier of the Retirement Date or date of termination.</w:t>
      </w:r>
    </w:p>
    <w:p>
      <w:pPr>
        <w:spacing w:after="0" w:line="142" w:lineRule="exact"/>
        <w:rPr>
          <w:sz w:val="20"/>
          <w:szCs w:val="20"/>
          <w:color w:val="auto"/>
        </w:rPr>
      </w:pPr>
    </w:p>
    <w:p>
      <w:pPr>
        <w:ind w:left="1980" w:right="859"/>
        <w:spacing w:after="0" w:line="239" w:lineRule="auto"/>
        <w:rPr>
          <w:sz w:val="20"/>
          <w:szCs w:val="20"/>
          <w:color w:val="auto"/>
        </w:rPr>
      </w:pPr>
      <w:r>
        <w:rPr>
          <w:rFonts w:ascii="Arial" w:cs="Arial" w:eastAsia="Arial" w:hAnsi="Arial"/>
          <w:sz w:val="11"/>
          <w:szCs w:val="11"/>
          <w:color w:val="auto"/>
        </w:rPr>
        <w:t>Subject to certain limited exceptions in the Transition Agreement, if Ms. Thomas’s employment with the Company terminates for any reason between March 10, 2023 and the Retirement Date, then Ms. Thomas (or her estate, beneficiary or legal representative in the case of termination due to death or disability) would be entitled to any payments or benefits under the Transition Agreement or applicable benefit plans or arrangements that have accrued through the date of termination. If Ms. Thomas’s employment terminates due to her death or disability or if she is terminated by the Company without cause, she, or her estate, beneficiary or legal representative (as applicable), will continue to be paid her base salary and fiscal year 2023 bonus through the Retirement Date. If Ms. Thomas’s employment is terminated voluntarily by Ms. Thomas or is terminated by the Company for cause prior to the Retirement Date she will not be entitled to any severance payments or benefits described above other than payments for accrued and unpaid amounts as of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153670</wp:posOffset>
            </wp:positionV>
            <wp:extent cx="4663440" cy="26860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8"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Employment Agreement with Eric Nyman</w:t>
      </w:r>
    </w:p>
    <w:p>
      <w:pPr>
        <w:spacing w:after="0" w:line="327" w:lineRule="exact"/>
        <w:rPr>
          <w:sz w:val="20"/>
          <w:szCs w:val="20"/>
          <w:color w:val="auto"/>
        </w:rPr>
      </w:pPr>
    </w:p>
    <w:p>
      <w:pPr>
        <w:ind w:left="1980" w:right="899"/>
        <w:spacing w:after="0" w:line="241" w:lineRule="auto"/>
        <w:rPr>
          <w:sz w:val="20"/>
          <w:szCs w:val="20"/>
          <w:color w:val="auto"/>
        </w:rPr>
      </w:pPr>
      <w:r>
        <w:rPr>
          <w:rFonts w:ascii="Arial" w:cs="Arial" w:eastAsia="Arial" w:hAnsi="Arial"/>
          <w:sz w:val="11"/>
          <w:szCs w:val="11"/>
          <w:color w:val="auto"/>
        </w:rPr>
        <w:t>Effective February 25, 2022, the Company entered into an employment agreement (the “Letter Agreement”) with Eric Nyman, former President and Chief Operating Officer of the Company. The term of Mr. Nyman’s employment as President and Chief Operating Officer commenced February 25, 2022 (the “Effective Date”) and was scheduled to extend until December 31, 2023 (“Term”), unless earlier terminated or extended in accordance with the provisions of the Letter Agreement. Mr. Nyman’s employment with the Company ended March 31, 2023.</w:t>
      </w:r>
    </w:p>
    <w:p>
      <w:pPr>
        <w:spacing w:after="0" w:line="140"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Beginning on the Effective Date, Mr. Nyman was paid an annual base salary of $1,100,000, and became entitled to receive an annual management incentive plan bonus, beginning with the Company’s 2022 fiscal year, with a target equal to 100% of his earned base salary. with the Company’s 2022 fiscal year, Mr. Nyman was eligible to receive awards under the Company’s long-term equity incentive program with an annual target equal to 400% of his annualized base salary. In addition to the annual long-term incentive grant, in 2022, Mr. Nyman received an additional grant in the form of a restricted stock unit grant with a grant date value of $750,000, which vested in full upon his employment termination.</w:t>
      </w:r>
    </w:p>
    <w:p>
      <w:pPr>
        <w:spacing w:after="0" w:line="142" w:lineRule="exact"/>
        <w:rPr>
          <w:sz w:val="20"/>
          <w:szCs w:val="20"/>
          <w:color w:val="auto"/>
        </w:rPr>
      </w:pPr>
    </w:p>
    <w:p>
      <w:pPr>
        <w:ind w:left="1980" w:right="1119"/>
        <w:spacing w:after="0" w:line="273" w:lineRule="auto"/>
        <w:rPr>
          <w:sz w:val="20"/>
          <w:szCs w:val="20"/>
          <w:color w:val="auto"/>
        </w:rPr>
      </w:pPr>
      <w:r>
        <w:rPr>
          <w:rFonts w:ascii="Arial" w:cs="Arial" w:eastAsia="Arial" w:hAnsi="Arial"/>
          <w:sz w:val="10"/>
          <w:szCs w:val="10"/>
          <w:color w:val="auto"/>
        </w:rPr>
        <w:t>Upon his departure from the Company, Mr. Nyman also became eligible to receive payment of his then-current base salary for a period of 18 months following the date of termination, a pro-rated annual management incentive plan bonus, pro-rata vesting of any restricted stock units and a pro-rata portion of any shares earned under outstanding performance share awards, a one-year stock option exercise period for vested options, and certain premium payments by Hasbro for continued medical and dental insurance under COBRA for up to 18 months from the effective date of termination.</w:t>
      </w:r>
    </w:p>
    <w:p>
      <w:pPr>
        <w:spacing w:after="0" w:line="12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Letter Agreement contains certain post-employment restrictions on Mr. Nyman, including non-competition and non-solicitation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153035</wp:posOffset>
            </wp:positionV>
            <wp:extent cx="4663440" cy="22288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4663440" cy="222885"/>
                    </a:xfrm>
                    <a:prstGeom prst="rect">
                      <a:avLst/>
                    </a:prstGeom>
                    <a:noFill/>
                  </pic:spPr>
                </pic:pic>
              </a:graphicData>
            </a:graphic>
          </wp:anchor>
        </w:drawing>
      </w:r>
    </w:p>
    <w:p>
      <w:pPr>
        <w:spacing w:after="0" w:line="267"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Employment Agreement with Darren Throop</w:t>
      </w:r>
    </w:p>
    <w:p>
      <w:pPr>
        <w:spacing w:after="0" w:line="210" w:lineRule="exact"/>
        <w:rPr>
          <w:sz w:val="20"/>
          <w:szCs w:val="20"/>
          <w:color w:val="auto"/>
        </w:rPr>
      </w:pPr>
    </w:p>
    <w:p>
      <w:pPr>
        <w:ind w:left="1980" w:right="899"/>
        <w:spacing w:after="0" w:line="242" w:lineRule="auto"/>
        <w:rPr>
          <w:sz w:val="20"/>
          <w:szCs w:val="20"/>
          <w:color w:val="auto"/>
        </w:rPr>
      </w:pPr>
      <w:r>
        <w:rPr>
          <w:rFonts w:ascii="Arial" w:cs="Arial" w:eastAsia="Arial" w:hAnsi="Arial"/>
          <w:sz w:val="11"/>
          <w:szCs w:val="11"/>
          <w:color w:val="auto"/>
        </w:rPr>
        <w:t>In connection with the acquisition of eOne, we entered into an amended employment agreement with Darren Throop effective December 30, 2019, which amended his prior employment agreement with eOne (as amended, the “Throop Employment Agreement”). Pursuant to the Throop Employment Agreement, the term of Mr. Throop’s employment continued until December 30, 2022, at which time he retired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59055</wp:posOffset>
            </wp:positionV>
            <wp:extent cx="3971925" cy="21717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67</w:t>
      </w:r>
    </w:p>
    <w:p>
      <w:pPr>
        <w:sectPr>
          <w:pgSz w:w="11900" w:h="16838" w:orient="portrait"/>
          <w:cols w:equalWidth="0" w:num="1">
            <w:col w:w="10159"/>
          </w:cols>
          <w:pgMar w:left="300" w:top="372" w:right="1440" w:bottom="1440" w:gutter="0" w:footer="0" w:header="0"/>
        </w:sectPr>
      </w:pPr>
    </w:p>
    <w:bookmarkStart w:id="89" w:name="page90"/>
    <w:bookmarkEnd w:id="8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1039"/>
        <w:spacing w:after="0" w:line="245" w:lineRule="auto"/>
        <w:rPr>
          <w:sz w:val="20"/>
          <w:szCs w:val="20"/>
          <w:color w:val="auto"/>
        </w:rPr>
      </w:pPr>
      <w:r>
        <w:rPr>
          <w:rFonts w:ascii="Arial" w:cs="Arial" w:eastAsia="Arial" w:hAnsi="Arial"/>
          <w:sz w:val="11"/>
          <w:szCs w:val="11"/>
          <w:color w:val="auto"/>
        </w:rPr>
        <w:t>Mr. Throop was employed in the position of Chief Executive Officer of eOne, and had overall responsibility for the business, strategy and operations of eOne and its subsidiaries. Mr. Throop reported exclusively to the Chief Executive Officer of Hasbro.</w:t>
      </w:r>
    </w:p>
    <w:p>
      <w:pPr>
        <w:spacing w:after="0" w:line="93" w:lineRule="exact"/>
        <w:rPr>
          <w:sz w:val="20"/>
          <w:szCs w:val="20"/>
          <w:color w:val="auto"/>
        </w:rPr>
      </w:pPr>
    </w:p>
    <w:p>
      <w:pPr>
        <w:ind w:left="1980" w:right="919"/>
        <w:spacing w:after="0" w:line="266" w:lineRule="auto"/>
        <w:rPr>
          <w:sz w:val="20"/>
          <w:szCs w:val="20"/>
          <w:color w:val="auto"/>
        </w:rPr>
      </w:pPr>
      <w:r>
        <w:rPr>
          <w:rFonts w:ascii="Arial" w:cs="Arial" w:eastAsia="Arial" w:hAnsi="Arial"/>
          <w:sz w:val="10"/>
          <w:szCs w:val="10"/>
          <w:color w:val="auto"/>
        </w:rPr>
        <w:t>Pursuant to the Throop Employment Agreement, Mr. Throop’s annual base salary was $1,500,000. He was eligible to receive an annual management incentive plan bonus based on a target of 100% of his earned base salary. In addition to the annual management incentive plan participation, Mr. Throop was eligible to participate in Hasbro’s long-term incentive programs with an initial annual long-term equity grant target level equal to 400% of his annualized base salary. Mr. Throop was entitled to receive a one-time cash bonus of $1,500,000, which became payable on December 30, 2021. All incentive compensation to which Mr. Throop was entitled is subject to Hasbro’s Clawback Policy. Mr. Throop was entitled to certain additional benefits under the Throop Employment Agreement, including the non-exclusive use of an apartment in Los Angeles, CA, which was available for use by certain other employees, the use of an automobile and parking pass, life insurance coverage with a death benefit equal to four times his base salary, an annual physical and certain reimbursements for travel expenses. At the end of the term of the Throop Employment Agreement, his employment terminated automatically, and he became eligible to receive 18 months of base salary and 18 months of bonus payment equal to 100% of his target.</w:t>
      </w:r>
    </w:p>
    <w:p>
      <w:pPr>
        <w:spacing w:after="0" w:line="86" w:lineRule="exact"/>
        <w:rPr>
          <w:sz w:val="20"/>
          <w:szCs w:val="20"/>
          <w:color w:val="auto"/>
        </w:rPr>
      </w:pPr>
    </w:p>
    <w:p>
      <w:pPr>
        <w:ind w:left="1980" w:right="939"/>
        <w:spacing w:after="0" w:line="242" w:lineRule="auto"/>
        <w:rPr>
          <w:sz w:val="20"/>
          <w:szCs w:val="20"/>
          <w:color w:val="auto"/>
        </w:rPr>
      </w:pPr>
      <w:r>
        <w:rPr>
          <w:rFonts w:ascii="Arial" w:cs="Arial" w:eastAsia="Arial" w:hAnsi="Arial"/>
          <w:sz w:val="11"/>
          <w:szCs w:val="11"/>
          <w:color w:val="auto"/>
        </w:rPr>
        <w:t>Upon Mr. Throop’s retirement, he was not entitled to receive any further compensation or benefits other than those that accrued up to the date of retirement. All unvested, unexpired stock options, restricted stock units, and contingent stock performance awards granted to Mr. Throop were governed strictly by the rules of the 2003 Plan and applicable grant agreements.</w:t>
      </w:r>
    </w:p>
    <w:p>
      <w:pPr>
        <w:spacing w:after="0" w:line="85" w:lineRule="exact"/>
        <w:rPr>
          <w:sz w:val="20"/>
          <w:szCs w:val="20"/>
          <w:color w:val="auto"/>
        </w:rPr>
      </w:pPr>
    </w:p>
    <w:p>
      <w:pPr>
        <w:ind w:left="1980" w:right="1279"/>
        <w:spacing w:after="0" w:line="245" w:lineRule="auto"/>
        <w:rPr>
          <w:sz w:val="20"/>
          <w:szCs w:val="20"/>
          <w:color w:val="auto"/>
        </w:rPr>
      </w:pPr>
      <w:r>
        <w:rPr>
          <w:rFonts w:ascii="Arial" w:cs="Arial" w:eastAsia="Arial" w:hAnsi="Arial"/>
          <w:sz w:val="11"/>
          <w:szCs w:val="11"/>
          <w:color w:val="auto"/>
        </w:rPr>
        <w:t>Subject to the terms of the Throop Employment Agreement, Mr. Throop is subject to post-employment restrictions, including non-competition and non-solicitation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149860</wp:posOffset>
            </wp:positionV>
            <wp:extent cx="4663440" cy="22288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4663440" cy="222885"/>
                    </a:xfrm>
                    <a:prstGeom prst="rect">
                      <a:avLst/>
                    </a:prstGeom>
                    <a:noFill/>
                  </pic:spPr>
                </pic:pic>
              </a:graphicData>
            </a:graphic>
          </wp:anchor>
        </w:drawing>
      </w:r>
    </w:p>
    <w:p>
      <w:pPr>
        <w:spacing w:after="0" w:line="261"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Change in Control Severance Plan for Designated Senior Executives</w:t>
      </w:r>
    </w:p>
    <w:p>
      <w:pPr>
        <w:spacing w:after="0" w:line="210" w:lineRule="exact"/>
        <w:rPr>
          <w:sz w:val="20"/>
          <w:szCs w:val="20"/>
          <w:color w:val="auto"/>
        </w:rPr>
      </w:pPr>
    </w:p>
    <w:p>
      <w:pPr>
        <w:ind w:left="1980" w:right="939"/>
        <w:spacing w:after="0" w:line="239" w:lineRule="auto"/>
        <w:rPr>
          <w:sz w:val="20"/>
          <w:szCs w:val="20"/>
          <w:color w:val="auto"/>
        </w:rPr>
      </w:pPr>
      <w:r>
        <w:rPr>
          <w:rFonts w:ascii="Arial" w:cs="Arial" w:eastAsia="Arial" w:hAnsi="Arial"/>
          <w:sz w:val="11"/>
          <w:szCs w:val="11"/>
          <w:color w:val="auto"/>
        </w:rPr>
        <w:t>The Company maintains the Hasbro, Inc. Change in Control Severance Plan for Designated Senior Executives (the “Change in Control Plan”). In fiscal 2022, participants in the Change in Control Plan included Mr. Cocks, Mr. Nyman, Ms. Thomas, and Ms. Williams. Under the Plan, if a Change in Control (as defined in the Change in Control Plan) occurs and the covered executive’s employment is terminated by the Company without Cause (as defined in the Change in Control Plan) or the covered executive resigns from the Company with Good Reason (as defined in the Change in Control Plan) in the 24 month period following the Change in Control, the covered executive will be entitled to the following payments and benefits: (A) two times (i) the sum of the covered executive’s annual base salary in effect on the date of termination (or, if higher, immediately preceding the Change in Control) and (ii) the percentage of earned salary, which constitutes the target bonus for the covered executive assuming target Company performance under the annual incentive plan in place at the time of termination, and (B) payment by the Company of the employer and employee premiums for continued health coverage for the covered executive and his/her covered dependents for the shorter of 12 months following cessation of employment and the period for which the individuals are eligible for and elect such coverage.</w:t>
      </w:r>
    </w:p>
    <w:p>
      <w:pPr>
        <w:spacing w:after="0" w:line="99" w:lineRule="exact"/>
        <w:rPr>
          <w:sz w:val="20"/>
          <w:szCs w:val="20"/>
          <w:color w:val="auto"/>
        </w:rPr>
      </w:pPr>
    </w:p>
    <w:p>
      <w:pPr>
        <w:ind w:left="1980" w:right="919"/>
        <w:spacing w:after="0"/>
        <w:rPr>
          <w:sz w:val="20"/>
          <w:szCs w:val="20"/>
          <w:color w:val="auto"/>
        </w:rPr>
      </w:pPr>
      <w:r>
        <w:rPr>
          <w:rFonts w:ascii="Arial" w:cs="Arial" w:eastAsia="Arial" w:hAnsi="Arial"/>
          <w:sz w:val="11"/>
          <w:szCs w:val="11"/>
          <w:color w:val="auto"/>
        </w:rPr>
        <w:t>The annual base salary and target bonus payouts will be reduced by an amount equal to the total severance payments to which the covered executive is entitled to receive or will receive under any other severance plan, policy or individual agreement applicable to the covered executive’s employment termination. The severance payments and benefits above are subject to the covered executive complying with a non-competition covenant, which is effective while the covered executive is employed by the Company and for a period of 18 months after the covered executive’s employment ends, regardless of the reason for the termination of employment. The Change in Control Plan does not provide for any tax gross-ups and does not provide benefits to the executive unless their employment with the Company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60325</wp:posOffset>
            </wp:positionV>
            <wp:extent cx="3971925" cy="21717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2"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68</w:t>
      </w:r>
    </w:p>
    <w:p>
      <w:pPr>
        <w:sectPr>
          <w:pgSz w:w="11900" w:h="16838" w:orient="portrait"/>
          <w:cols w:equalWidth="0" w:num="1">
            <w:col w:w="10159"/>
          </w:cols>
          <w:pgMar w:left="300" w:top="372" w:right="1440" w:bottom="1440" w:gutter="0" w:footer="0" w:header="0"/>
        </w:sectPr>
      </w:pPr>
    </w:p>
    <w:bookmarkStart w:id="90" w:name="page91"/>
    <w:bookmarkEnd w:id="9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136525</wp:posOffset>
            </wp:positionV>
            <wp:extent cx="4663440" cy="22288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4663440" cy="222885"/>
                    </a:xfrm>
                    <a:prstGeom prst="rect">
                      <a:avLst/>
                    </a:prstGeom>
                    <a:noFill/>
                  </pic:spPr>
                </pic:pic>
              </a:graphicData>
            </a:graphic>
          </wp:anchor>
        </w:drawing>
      </w:r>
    </w:p>
    <w:p>
      <w:pPr>
        <w:spacing w:after="0" w:line="24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CEO Pay Ratio</w:t>
      </w:r>
    </w:p>
    <w:p>
      <w:pPr>
        <w:spacing w:after="0" w:line="210" w:lineRule="exact"/>
        <w:rPr>
          <w:sz w:val="20"/>
          <w:szCs w:val="20"/>
          <w:color w:val="auto"/>
        </w:rPr>
      </w:pPr>
    </w:p>
    <w:p>
      <w:pPr>
        <w:ind w:left="1980" w:right="1079"/>
        <w:spacing w:after="0" w:line="242" w:lineRule="auto"/>
        <w:rPr>
          <w:sz w:val="20"/>
          <w:szCs w:val="20"/>
          <w:color w:val="auto"/>
        </w:rPr>
      </w:pPr>
      <w:r>
        <w:rPr>
          <w:rFonts w:ascii="Arial" w:cs="Arial" w:eastAsia="Arial" w:hAnsi="Arial"/>
          <w:sz w:val="11"/>
          <w:szCs w:val="11"/>
          <w:color w:val="auto"/>
        </w:rPr>
        <w:t>We are providing the following disclosure in accordance with the requirement of Section 402(u) of Regulation S-K promulgated by the SEC (the “SEC rules”). As is permitted under the SEC rules, in fiscal 2022, to determine our median employee, we chose “base salary” as our consistently applied compensation measure.</w:t>
      </w:r>
    </w:p>
    <w:p>
      <w:pPr>
        <w:spacing w:after="0" w:line="94" w:lineRule="exact"/>
        <w:rPr>
          <w:sz w:val="20"/>
          <w:szCs w:val="20"/>
          <w:color w:val="auto"/>
        </w:rPr>
      </w:pPr>
    </w:p>
    <w:p>
      <w:pPr>
        <w:ind w:left="1980" w:right="879"/>
        <w:spacing w:after="0" w:line="278" w:lineRule="auto"/>
        <w:rPr>
          <w:sz w:val="20"/>
          <w:szCs w:val="20"/>
          <w:color w:val="auto"/>
        </w:rPr>
      </w:pPr>
      <w:r>
        <w:rPr>
          <w:rFonts w:ascii="Arial" w:cs="Arial" w:eastAsia="Arial" w:hAnsi="Arial"/>
          <w:sz w:val="10"/>
          <w:szCs w:val="10"/>
          <w:color w:val="auto"/>
        </w:rPr>
        <w:t>We determined that the median employee’s total compensation (as would be computed for purposes of the Summary Compensation Table) was $85,959. The 2022 total compensation for our CEO, Mr. Cocks, is shown in our Summary Compensation Table above, is $9,443,047. As a result, our estimate of the ratio of CEO pay to median employee pay, As a result, our estimate of the ratio of CEO pay to median employee pay, with our CEO, is 110:1.</w:t>
      </w:r>
    </w:p>
    <w:p>
      <w:pPr>
        <w:spacing w:after="0" w:line="68" w:lineRule="exact"/>
        <w:rPr>
          <w:sz w:val="20"/>
          <w:szCs w:val="20"/>
          <w:color w:val="auto"/>
        </w:rPr>
      </w:pPr>
    </w:p>
    <w:p>
      <w:pPr>
        <w:ind w:left="1980" w:right="1079"/>
        <w:spacing w:after="0" w:line="241" w:lineRule="auto"/>
        <w:rPr>
          <w:sz w:val="20"/>
          <w:szCs w:val="20"/>
          <w:color w:val="auto"/>
        </w:rPr>
      </w:pPr>
      <w:r>
        <w:rPr>
          <w:rFonts w:ascii="Arial" w:cs="Arial" w:eastAsia="Arial" w:hAnsi="Arial"/>
          <w:sz w:val="11"/>
          <w:szCs w:val="11"/>
          <w:color w:val="auto"/>
        </w:rPr>
        <w:t>This ratio is a reasonable estimate calculated using a methodology consistent with the SEC rules, as described above. As the SEC rules allow for companies to adopt a wide range of methodologies, to apply country exclusions and to make reasonable estimates and assumptions that reflect their compensation practices to identify the median employee and calculate the CEO pay ratio, the pay ratios reported by other companies may not be comparable to the pay ratio reported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122555</wp:posOffset>
            </wp:positionV>
            <wp:extent cx="3971925" cy="21717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239"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69</w:t>
      </w:r>
    </w:p>
    <w:p>
      <w:pPr>
        <w:sectPr>
          <w:pgSz w:w="11900" w:h="16838" w:orient="portrait"/>
          <w:cols w:equalWidth="0" w:num="1">
            <w:col w:w="10159"/>
          </w:cols>
          <w:pgMar w:left="300" w:top="372" w:right="1440" w:bottom="1440" w:gutter="0" w:footer="0" w:header="0"/>
        </w:sectPr>
      </w:pPr>
    </w:p>
    <w:bookmarkStart w:id="91" w:name="page92"/>
    <w:bookmarkEnd w:id="9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136525</wp:posOffset>
            </wp:positionV>
            <wp:extent cx="4663440" cy="26860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4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Pay Versus Performance</w:t>
      </w:r>
    </w:p>
    <w:p>
      <w:pPr>
        <w:spacing w:after="0" w:line="255" w:lineRule="exact"/>
        <w:rPr>
          <w:sz w:val="20"/>
          <w:szCs w:val="20"/>
          <w:color w:val="auto"/>
        </w:rPr>
      </w:pPr>
    </w:p>
    <w:p>
      <w:pPr>
        <w:ind w:left="1980" w:right="879"/>
        <w:spacing w:after="0" w:line="241" w:lineRule="auto"/>
        <w:rPr>
          <w:sz w:val="20"/>
          <w:szCs w:val="20"/>
          <w:color w:val="auto"/>
        </w:rPr>
      </w:pPr>
      <w:r>
        <w:rPr>
          <w:rFonts w:ascii="Arial" w:cs="Arial" w:eastAsia="Arial" w:hAnsi="Arial"/>
          <w:sz w:val="11"/>
          <w:szCs w:val="11"/>
          <w:color w:val="auto"/>
        </w:rPr>
        <w:t>The following table provides information regarding compensation paid to the Company’s Chief Executive Officer and other Named Executive Officers along with the cumulative total shareholder return of the Company and the Total Shareholder Return of the Russell 1000 Consumer Discretionary Index, the Company’s net income and the Company’s revenue, which is the Company’s most important financial performance measure used by the Company to link compensation actually paid to the Company’s named executive officers, for 2022, to Company performance.</w:t>
      </w:r>
    </w:p>
    <w:p>
      <w:pPr>
        <w:spacing w:after="0" w:line="319" w:lineRule="exact"/>
        <w:rPr>
          <w:sz w:val="20"/>
          <w:szCs w:val="20"/>
          <w:color w:val="auto"/>
        </w:rPr>
      </w:pPr>
    </w:p>
    <w:tbl>
      <w:tblPr>
        <w:tblLayout w:type="fixed"/>
        <w:tblInd w:w="1980" w:type="dxa"/>
        <w:tblCellMar>
          <w:top w:w="0" w:type="dxa"/>
          <w:left w:w="0" w:type="dxa"/>
          <w:bottom w:w="0" w:type="dxa"/>
          <w:right w:w="0" w:type="dxa"/>
        </w:tblCellMar>
      </w:tblPr>
      <w:tr>
        <w:trPr>
          <w:trHeight w:val="137"/>
        </w:trPr>
        <w:tc>
          <w:tcPr>
            <w:tcW w:w="680" w:type="dxa"/>
            <w:vAlign w:val="bottom"/>
            <w:shd w:val="clear" w:color="auto" w:fill="CCEBF8"/>
          </w:tcPr>
          <w:p>
            <w:pPr>
              <w:spacing w:after="0"/>
              <w:rPr>
                <w:sz w:val="11"/>
                <w:szCs w:val="11"/>
                <w:color w:val="auto"/>
              </w:rPr>
            </w:pPr>
          </w:p>
        </w:tc>
        <w:tc>
          <w:tcPr>
            <w:tcW w:w="20" w:type="dxa"/>
            <w:vAlign w:val="bottom"/>
            <w:shd w:val="clear" w:color="auto" w:fill="CCEBF8"/>
          </w:tcPr>
          <w:p>
            <w:pPr>
              <w:spacing w:after="0"/>
              <w:rPr>
                <w:sz w:val="11"/>
                <w:szCs w:val="11"/>
                <w:color w:val="auto"/>
              </w:rPr>
            </w:pPr>
          </w:p>
        </w:tc>
        <w:tc>
          <w:tcPr>
            <w:tcW w:w="740" w:type="dxa"/>
            <w:vAlign w:val="bottom"/>
            <w:shd w:val="clear" w:color="auto" w:fill="CCEBF8"/>
          </w:tcPr>
          <w:p>
            <w:pPr>
              <w:jc w:val="right"/>
              <w:spacing w:after="0"/>
              <w:rPr>
                <w:sz w:val="20"/>
                <w:szCs w:val="20"/>
                <w:color w:val="auto"/>
              </w:rPr>
            </w:pPr>
            <w:r>
              <w:rPr>
                <w:rFonts w:ascii="Arial" w:cs="Arial" w:eastAsia="Arial" w:hAnsi="Arial"/>
                <w:sz w:val="7"/>
                <w:szCs w:val="7"/>
                <w:b w:val="1"/>
                <w:bCs w:val="1"/>
                <w:color w:val="009BDE"/>
              </w:rPr>
              <w:t>Cocks</w:t>
            </w:r>
          </w:p>
        </w:tc>
        <w:tc>
          <w:tcPr>
            <w:tcW w:w="100" w:type="dxa"/>
            <w:vAlign w:val="bottom"/>
            <w:shd w:val="clear" w:color="auto" w:fill="CCEBF8"/>
          </w:tcPr>
          <w:p>
            <w:pPr>
              <w:spacing w:after="0"/>
              <w:rPr>
                <w:sz w:val="11"/>
                <w:szCs w:val="11"/>
                <w:color w:val="auto"/>
              </w:rPr>
            </w:pPr>
          </w:p>
        </w:tc>
        <w:tc>
          <w:tcPr>
            <w:tcW w:w="440" w:type="dxa"/>
            <w:vAlign w:val="bottom"/>
            <w:shd w:val="clear" w:color="auto" w:fill="CCEBF8"/>
          </w:tcPr>
          <w:p>
            <w:pPr>
              <w:spacing w:after="0"/>
              <w:rPr>
                <w:sz w:val="11"/>
                <w:szCs w:val="11"/>
                <w:color w:val="auto"/>
              </w:rPr>
            </w:pPr>
          </w:p>
        </w:tc>
        <w:tc>
          <w:tcPr>
            <w:tcW w:w="60" w:type="dxa"/>
            <w:vAlign w:val="bottom"/>
            <w:shd w:val="clear" w:color="auto" w:fill="CCEBF8"/>
          </w:tcPr>
          <w:p>
            <w:pPr>
              <w:spacing w:after="0"/>
              <w:rPr>
                <w:sz w:val="11"/>
                <w:szCs w:val="11"/>
                <w:color w:val="auto"/>
              </w:rPr>
            </w:pPr>
          </w:p>
        </w:tc>
        <w:tc>
          <w:tcPr>
            <w:tcW w:w="60" w:type="dxa"/>
            <w:vAlign w:val="bottom"/>
            <w:shd w:val="clear" w:color="auto" w:fill="CCEBF8"/>
          </w:tcPr>
          <w:p>
            <w:pPr>
              <w:spacing w:after="0"/>
              <w:rPr>
                <w:sz w:val="11"/>
                <w:szCs w:val="11"/>
                <w:color w:val="auto"/>
              </w:rPr>
            </w:pPr>
          </w:p>
        </w:tc>
        <w:tc>
          <w:tcPr>
            <w:tcW w:w="660" w:type="dxa"/>
            <w:vAlign w:val="bottom"/>
            <w:gridSpan w:val="2"/>
            <w:shd w:val="clear" w:color="auto" w:fill="CCEBF8"/>
          </w:tcPr>
          <w:p>
            <w:pPr>
              <w:ind w:left="340"/>
              <w:spacing w:after="0"/>
              <w:rPr>
                <w:sz w:val="20"/>
                <w:szCs w:val="20"/>
                <w:color w:val="auto"/>
              </w:rPr>
            </w:pPr>
            <w:r>
              <w:rPr>
                <w:rFonts w:ascii="Arial" w:cs="Arial" w:eastAsia="Arial" w:hAnsi="Arial"/>
                <w:sz w:val="7"/>
                <w:szCs w:val="7"/>
                <w:b w:val="1"/>
                <w:bCs w:val="1"/>
                <w:color w:val="009BDE"/>
              </w:rPr>
              <w:t>Stoddart</w:t>
            </w:r>
          </w:p>
        </w:tc>
        <w:tc>
          <w:tcPr>
            <w:tcW w:w="420" w:type="dxa"/>
            <w:vAlign w:val="bottom"/>
            <w:shd w:val="clear" w:color="auto" w:fill="CCEBF8"/>
          </w:tcPr>
          <w:p>
            <w:pPr>
              <w:spacing w:after="0"/>
              <w:rPr>
                <w:sz w:val="11"/>
                <w:szCs w:val="11"/>
                <w:color w:val="auto"/>
              </w:rPr>
            </w:pPr>
          </w:p>
        </w:tc>
        <w:tc>
          <w:tcPr>
            <w:tcW w:w="60" w:type="dxa"/>
            <w:vAlign w:val="bottom"/>
            <w:shd w:val="clear" w:color="auto" w:fill="CCEBF8"/>
          </w:tcPr>
          <w:p>
            <w:pPr>
              <w:spacing w:after="0"/>
              <w:rPr>
                <w:sz w:val="11"/>
                <w:szCs w:val="11"/>
                <w:color w:val="auto"/>
              </w:rPr>
            </w:pPr>
          </w:p>
        </w:tc>
        <w:tc>
          <w:tcPr>
            <w:tcW w:w="80" w:type="dxa"/>
            <w:vAlign w:val="bottom"/>
            <w:shd w:val="clear" w:color="auto" w:fill="CCEBF8"/>
          </w:tcPr>
          <w:p>
            <w:pPr>
              <w:spacing w:after="0"/>
              <w:rPr>
                <w:sz w:val="11"/>
                <w:szCs w:val="11"/>
                <w:color w:val="auto"/>
              </w:rPr>
            </w:pPr>
          </w:p>
        </w:tc>
        <w:tc>
          <w:tcPr>
            <w:tcW w:w="620" w:type="dxa"/>
            <w:vAlign w:val="bottom"/>
            <w:gridSpan w:val="2"/>
            <w:shd w:val="clear" w:color="auto" w:fill="CCEBF8"/>
          </w:tcPr>
          <w:p>
            <w:pPr>
              <w:jc w:val="right"/>
              <w:spacing w:after="0"/>
              <w:rPr>
                <w:sz w:val="20"/>
                <w:szCs w:val="20"/>
                <w:color w:val="auto"/>
              </w:rPr>
            </w:pPr>
            <w:r>
              <w:rPr>
                <w:rFonts w:ascii="Arial" w:cs="Arial" w:eastAsia="Arial" w:hAnsi="Arial"/>
                <w:sz w:val="7"/>
                <w:szCs w:val="7"/>
                <w:b w:val="1"/>
                <w:bCs w:val="1"/>
                <w:color w:val="009BDE"/>
              </w:rPr>
              <w:t>Goldner</w:t>
            </w:r>
          </w:p>
        </w:tc>
        <w:tc>
          <w:tcPr>
            <w:tcW w:w="440" w:type="dxa"/>
            <w:vAlign w:val="bottom"/>
            <w:shd w:val="clear" w:color="auto" w:fill="CCEBF8"/>
          </w:tcPr>
          <w:p>
            <w:pPr>
              <w:spacing w:after="0"/>
              <w:rPr>
                <w:sz w:val="11"/>
                <w:szCs w:val="11"/>
                <w:color w:val="auto"/>
              </w:rPr>
            </w:pPr>
          </w:p>
        </w:tc>
        <w:tc>
          <w:tcPr>
            <w:tcW w:w="480" w:type="dxa"/>
            <w:vAlign w:val="bottom"/>
            <w:shd w:val="clear" w:color="auto" w:fill="CCEBF8"/>
          </w:tcPr>
          <w:p>
            <w:pPr>
              <w:spacing w:after="0"/>
              <w:rPr>
                <w:sz w:val="11"/>
                <w:szCs w:val="11"/>
                <w:color w:val="auto"/>
              </w:rPr>
            </w:pPr>
          </w:p>
        </w:tc>
        <w:tc>
          <w:tcPr>
            <w:tcW w:w="440" w:type="dxa"/>
            <w:vAlign w:val="bottom"/>
            <w:shd w:val="clear" w:color="auto" w:fill="CCEBF8"/>
          </w:tcPr>
          <w:p>
            <w:pPr>
              <w:spacing w:after="0"/>
              <w:rPr>
                <w:sz w:val="11"/>
                <w:szCs w:val="11"/>
                <w:color w:val="auto"/>
              </w:rPr>
            </w:pPr>
          </w:p>
        </w:tc>
        <w:tc>
          <w:tcPr>
            <w:tcW w:w="60" w:type="dxa"/>
            <w:vAlign w:val="bottom"/>
            <w:shd w:val="clear" w:color="auto" w:fill="CCEBF8"/>
          </w:tcPr>
          <w:p>
            <w:pPr>
              <w:spacing w:after="0"/>
              <w:rPr>
                <w:sz w:val="11"/>
                <w:szCs w:val="11"/>
                <w:color w:val="auto"/>
              </w:rPr>
            </w:pPr>
          </w:p>
        </w:tc>
        <w:tc>
          <w:tcPr>
            <w:tcW w:w="280" w:type="dxa"/>
            <w:vAlign w:val="bottom"/>
            <w:shd w:val="clear" w:color="auto" w:fill="CCEBF8"/>
          </w:tcPr>
          <w:p>
            <w:pPr>
              <w:spacing w:after="0"/>
              <w:rPr>
                <w:sz w:val="11"/>
                <w:szCs w:val="11"/>
                <w:color w:val="auto"/>
              </w:rPr>
            </w:pPr>
          </w:p>
        </w:tc>
        <w:tc>
          <w:tcPr>
            <w:tcW w:w="80" w:type="dxa"/>
            <w:vAlign w:val="bottom"/>
            <w:shd w:val="clear" w:color="auto" w:fill="CCEBF8"/>
          </w:tcPr>
          <w:p>
            <w:pPr>
              <w:spacing w:after="0"/>
              <w:rPr>
                <w:sz w:val="11"/>
                <w:szCs w:val="11"/>
                <w:color w:val="auto"/>
              </w:rPr>
            </w:pPr>
          </w:p>
        </w:tc>
        <w:tc>
          <w:tcPr>
            <w:tcW w:w="420" w:type="dxa"/>
            <w:vAlign w:val="bottom"/>
            <w:shd w:val="clear" w:color="auto" w:fill="CCEBF8"/>
          </w:tcPr>
          <w:p>
            <w:pPr>
              <w:spacing w:after="0"/>
              <w:rPr>
                <w:sz w:val="11"/>
                <w:szCs w:val="11"/>
                <w:color w:val="auto"/>
              </w:rPr>
            </w:pPr>
          </w:p>
        </w:tc>
        <w:tc>
          <w:tcPr>
            <w:tcW w:w="40" w:type="dxa"/>
            <w:vAlign w:val="bottom"/>
            <w:shd w:val="clear" w:color="auto" w:fill="CCEBF8"/>
          </w:tcPr>
          <w:p>
            <w:pPr>
              <w:spacing w:after="0"/>
              <w:rPr>
                <w:sz w:val="11"/>
                <w:szCs w:val="11"/>
                <w:color w:val="auto"/>
              </w:rPr>
            </w:pPr>
          </w:p>
        </w:tc>
        <w:tc>
          <w:tcPr>
            <w:tcW w:w="540" w:type="dxa"/>
            <w:vAlign w:val="bottom"/>
            <w:shd w:val="clear" w:color="auto" w:fill="CCEBF8"/>
          </w:tcPr>
          <w:p>
            <w:pPr>
              <w:spacing w:after="0"/>
              <w:rPr>
                <w:sz w:val="11"/>
                <w:szCs w:val="11"/>
                <w:color w:val="auto"/>
              </w:rPr>
            </w:pPr>
          </w:p>
        </w:tc>
        <w:tc>
          <w:tcPr>
            <w:tcW w:w="80" w:type="dxa"/>
            <w:vAlign w:val="bottom"/>
            <w:shd w:val="clear" w:color="auto" w:fill="CCEBF8"/>
          </w:tcPr>
          <w:p>
            <w:pPr>
              <w:spacing w:after="0"/>
              <w:rPr>
                <w:sz w:val="11"/>
                <w:szCs w:val="11"/>
                <w:color w:val="auto"/>
              </w:rPr>
            </w:pPr>
          </w:p>
        </w:tc>
        <w:tc>
          <w:tcPr>
            <w:tcW w:w="500" w:type="dxa"/>
            <w:vAlign w:val="bottom"/>
            <w:shd w:val="clear" w:color="auto" w:fill="CCEBF8"/>
          </w:tcPr>
          <w:p>
            <w:pPr>
              <w:spacing w:after="0"/>
              <w:rPr>
                <w:sz w:val="11"/>
                <w:szCs w:val="11"/>
                <w:color w:val="auto"/>
              </w:rPr>
            </w:pPr>
          </w:p>
        </w:tc>
        <w:tc>
          <w:tcPr>
            <w:tcW w:w="40" w:type="dxa"/>
            <w:vAlign w:val="bottom"/>
            <w:shd w:val="clear" w:color="auto" w:fill="CCEBF8"/>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680" w:type="dxa"/>
            <w:vAlign w:val="bottom"/>
            <w:tcBorders>
              <w:bottom w:val="single" w:sz="8" w:color="CCEBF8"/>
            </w:tcBorders>
            <w:shd w:val="clear" w:color="auto" w:fill="CCEBF8"/>
          </w:tcPr>
          <w:p>
            <w:pPr>
              <w:spacing w:after="0"/>
              <w:rPr>
                <w:sz w:val="7"/>
                <w:szCs w:val="7"/>
                <w:color w:val="auto"/>
              </w:rPr>
            </w:pPr>
          </w:p>
        </w:tc>
        <w:tc>
          <w:tcPr>
            <w:tcW w:w="20" w:type="dxa"/>
            <w:vAlign w:val="bottom"/>
            <w:tcBorders>
              <w:bottom w:val="single" w:sz="8" w:color="CCEBF8"/>
            </w:tcBorders>
            <w:shd w:val="clear" w:color="auto" w:fill="CCEBF8"/>
          </w:tcPr>
          <w:p>
            <w:pPr>
              <w:spacing w:after="0"/>
              <w:rPr>
                <w:sz w:val="7"/>
                <w:szCs w:val="7"/>
                <w:color w:val="auto"/>
              </w:rPr>
            </w:pPr>
          </w:p>
        </w:tc>
        <w:tc>
          <w:tcPr>
            <w:tcW w:w="740" w:type="dxa"/>
            <w:vAlign w:val="bottom"/>
            <w:tcBorders>
              <w:bottom w:val="single" w:sz="8" w:color="009BDE"/>
            </w:tcBorders>
            <w:shd w:val="clear" w:color="auto" w:fill="CCEBF8"/>
          </w:tcPr>
          <w:p>
            <w:pPr>
              <w:spacing w:after="0"/>
              <w:rPr>
                <w:sz w:val="7"/>
                <w:szCs w:val="7"/>
                <w:color w:val="auto"/>
              </w:rPr>
            </w:pPr>
          </w:p>
        </w:tc>
        <w:tc>
          <w:tcPr>
            <w:tcW w:w="100" w:type="dxa"/>
            <w:vAlign w:val="bottom"/>
            <w:tcBorders>
              <w:bottom w:val="single" w:sz="8" w:color="009BDE"/>
            </w:tcBorders>
            <w:shd w:val="clear" w:color="auto" w:fill="CCEBF8"/>
          </w:tcPr>
          <w:p>
            <w:pPr>
              <w:spacing w:after="0"/>
              <w:rPr>
                <w:sz w:val="7"/>
                <w:szCs w:val="7"/>
                <w:color w:val="auto"/>
              </w:rPr>
            </w:pPr>
          </w:p>
        </w:tc>
        <w:tc>
          <w:tcPr>
            <w:tcW w:w="440" w:type="dxa"/>
            <w:vAlign w:val="bottom"/>
            <w:tcBorders>
              <w:bottom w:val="single" w:sz="8" w:color="009BDE"/>
            </w:tcBorders>
            <w:shd w:val="clear" w:color="auto" w:fill="CCEBF8"/>
          </w:tcPr>
          <w:p>
            <w:pPr>
              <w:spacing w:after="0"/>
              <w:rPr>
                <w:sz w:val="7"/>
                <w:szCs w:val="7"/>
                <w:color w:val="auto"/>
              </w:rPr>
            </w:pPr>
          </w:p>
        </w:tc>
        <w:tc>
          <w:tcPr>
            <w:tcW w:w="60" w:type="dxa"/>
            <w:vAlign w:val="bottom"/>
            <w:tcBorders>
              <w:bottom w:val="single" w:sz="8" w:color="CCEBF8"/>
            </w:tcBorders>
            <w:shd w:val="clear" w:color="auto" w:fill="CCEBF8"/>
          </w:tcPr>
          <w:p>
            <w:pPr>
              <w:spacing w:after="0"/>
              <w:rPr>
                <w:sz w:val="7"/>
                <w:szCs w:val="7"/>
                <w:color w:val="auto"/>
              </w:rPr>
            </w:pPr>
          </w:p>
        </w:tc>
        <w:tc>
          <w:tcPr>
            <w:tcW w:w="60" w:type="dxa"/>
            <w:vAlign w:val="bottom"/>
            <w:tcBorders>
              <w:bottom w:val="single" w:sz="8" w:color="009BDE"/>
            </w:tcBorders>
            <w:shd w:val="clear" w:color="auto" w:fill="CCEBF8"/>
          </w:tcPr>
          <w:p>
            <w:pPr>
              <w:spacing w:after="0"/>
              <w:rPr>
                <w:sz w:val="7"/>
                <w:szCs w:val="7"/>
                <w:color w:val="auto"/>
              </w:rPr>
            </w:pPr>
          </w:p>
        </w:tc>
        <w:tc>
          <w:tcPr>
            <w:tcW w:w="500" w:type="dxa"/>
            <w:vAlign w:val="bottom"/>
            <w:tcBorders>
              <w:bottom w:val="single" w:sz="8" w:color="009BDE"/>
            </w:tcBorders>
            <w:shd w:val="clear" w:color="auto" w:fill="CCEBF8"/>
          </w:tcPr>
          <w:p>
            <w:pPr>
              <w:spacing w:after="0"/>
              <w:rPr>
                <w:sz w:val="7"/>
                <w:szCs w:val="7"/>
                <w:color w:val="auto"/>
              </w:rPr>
            </w:pPr>
          </w:p>
        </w:tc>
        <w:tc>
          <w:tcPr>
            <w:tcW w:w="160" w:type="dxa"/>
            <w:vAlign w:val="bottom"/>
            <w:tcBorders>
              <w:bottom w:val="single" w:sz="8" w:color="009BDE"/>
            </w:tcBorders>
            <w:shd w:val="clear" w:color="auto" w:fill="CCEBF8"/>
          </w:tcPr>
          <w:p>
            <w:pPr>
              <w:spacing w:after="0"/>
              <w:rPr>
                <w:sz w:val="7"/>
                <w:szCs w:val="7"/>
                <w:color w:val="auto"/>
              </w:rPr>
            </w:pPr>
          </w:p>
        </w:tc>
        <w:tc>
          <w:tcPr>
            <w:tcW w:w="420" w:type="dxa"/>
            <w:vAlign w:val="bottom"/>
            <w:tcBorders>
              <w:bottom w:val="single" w:sz="8" w:color="009BDE"/>
            </w:tcBorders>
            <w:shd w:val="clear" w:color="auto" w:fill="CCEBF8"/>
          </w:tcPr>
          <w:p>
            <w:pPr>
              <w:spacing w:after="0"/>
              <w:rPr>
                <w:sz w:val="7"/>
                <w:szCs w:val="7"/>
                <w:color w:val="auto"/>
              </w:rPr>
            </w:pPr>
          </w:p>
        </w:tc>
        <w:tc>
          <w:tcPr>
            <w:tcW w:w="60" w:type="dxa"/>
            <w:vAlign w:val="bottom"/>
            <w:tcBorders>
              <w:bottom w:val="single" w:sz="8" w:color="CCEBF8"/>
            </w:tcBorders>
            <w:shd w:val="clear" w:color="auto" w:fill="CCEBF8"/>
          </w:tcPr>
          <w:p>
            <w:pPr>
              <w:spacing w:after="0"/>
              <w:rPr>
                <w:sz w:val="7"/>
                <w:szCs w:val="7"/>
                <w:color w:val="auto"/>
              </w:rPr>
            </w:pPr>
          </w:p>
        </w:tc>
        <w:tc>
          <w:tcPr>
            <w:tcW w:w="80" w:type="dxa"/>
            <w:vAlign w:val="bottom"/>
            <w:tcBorders>
              <w:bottom w:val="single" w:sz="8" w:color="009BDE"/>
            </w:tcBorders>
            <w:shd w:val="clear" w:color="auto" w:fill="CCEBF8"/>
          </w:tcPr>
          <w:p>
            <w:pPr>
              <w:spacing w:after="0"/>
              <w:rPr>
                <w:sz w:val="7"/>
                <w:szCs w:val="7"/>
                <w:color w:val="auto"/>
              </w:rPr>
            </w:pPr>
          </w:p>
        </w:tc>
        <w:tc>
          <w:tcPr>
            <w:tcW w:w="480" w:type="dxa"/>
            <w:vAlign w:val="bottom"/>
            <w:tcBorders>
              <w:bottom w:val="single" w:sz="8" w:color="009BDE"/>
            </w:tcBorders>
            <w:shd w:val="clear" w:color="auto" w:fill="CCEBF8"/>
          </w:tcPr>
          <w:p>
            <w:pPr>
              <w:spacing w:after="0"/>
              <w:rPr>
                <w:sz w:val="7"/>
                <w:szCs w:val="7"/>
                <w:color w:val="auto"/>
              </w:rPr>
            </w:pPr>
          </w:p>
        </w:tc>
        <w:tc>
          <w:tcPr>
            <w:tcW w:w="140" w:type="dxa"/>
            <w:vAlign w:val="bottom"/>
            <w:tcBorders>
              <w:bottom w:val="single" w:sz="8" w:color="009BDE"/>
            </w:tcBorders>
            <w:shd w:val="clear" w:color="auto" w:fill="CCEBF8"/>
          </w:tcPr>
          <w:p>
            <w:pPr>
              <w:spacing w:after="0"/>
              <w:rPr>
                <w:sz w:val="7"/>
                <w:szCs w:val="7"/>
                <w:color w:val="auto"/>
              </w:rPr>
            </w:pPr>
          </w:p>
        </w:tc>
        <w:tc>
          <w:tcPr>
            <w:tcW w:w="440" w:type="dxa"/>
            <w:vAlign w:val="bottom"/>
            <w:tcBorders>
              <w:bottom w:val="single" w:sz="8" w:color="009BDE"/>
            </w:tcBorders>
            <w:shd w:val="clear" w:color="auto" w:fill="CCEBF8"/>
          </w:tcPr>
          <w:p>
            <w:pPr>
              <w:spacing w:after="0"/>
              <w:rPr>
                <w:sz w:val="7"/>
                <w:szCs w:val="7"/>
                <w:color w:val="auto"/>
              </w:rPr>
            </w:pPr>
          </w:p>
        </w:tc>
        <w:tc>
          <w:tcPr>
            <w:tcW w:w="480" w:type="dxa"/>
            <w:vAlign w:val="bottom"/>
            <w:tcBorders>
              <w:bottom w:val="single" w:sz="8" w:color="CCEBF8"/>
            </w:tcBorders>
            <w:shd w:val="clear" w:color="auto" w:fill="CCEBF8"/>
          </w:tcPr>
          <w:p>
            <w:pPr>
              <w:spacing w:after="0"/>
              <w:rPr>
                <w:sz w:val="7"/>
                <w:szCs w:val="7"/>
                <w:color w:val="auto"/>
              </w:rPr>
            </w:pPr>
          </w:p>
        </w:tc>
        <w:tc>
          <w:tcPr>
            <w:tcW w:w="440" w:type="dxa"/>
            <w:vAlign w:val="bottom"/>
            <w:tcBorders>
              <w:bottom w:val="single" w:sz="8" w:color="CCEBF8"/>
            </w:tcBorders>
            <w:shd w:val="clear" w:color="auto" w:fill="CCEBF8"/>
          </w:tcPr>
          <w:p>
            <w:pPr>
              <w:spacing w:after="0"/>
              <w:rPr>
                <w:sz w:val="7"/>
                <w:szCs w:val="7"/>
                <w:color w:val="auto"/>
              </w:rPr>
            </w:pPr>
          </w:p>
        </w:tc>
        <w:tc>
          <w:tcPr>
            <w:tcW w:w="60" w:type="dxa"/>
            <w:vAlign w:val="bottom"/>
            <w:tcBorders>
              <w:bottom w:val="single" w:sz="8" w:color="CCEBF8"/>
            </w:tcBorders>
            <w:shd w:val="clear" w:color="auto" w:fill="CCEBF8"/>
          </w:tcPr>
          <w:p>
            <w:pPr>
              <w:spacing w:after="0"/>
              <w:rPr>
                <w:sz w:val="7"/>
                <w:szCs w:val="7"/>
                <w:color w:val="auto"/>
              </w:rPr>
            </w:pPr>
          </w:p>
        </w:tc>
        <w:tc>
          <w:tcPr>
            <w:tcW w:w="820" w:type="dxa"/>
            <w:vAlign w:val="bottom"/>
            <w:tcBorders>
              <w:bottom w:val="single" w:sz="8" w:color="CCEBF8"/>
            </w:tcBorders>
            <w:gridSpan w:val="4"/>
            <w:vMerge w:val="restart"/>
            <w:shd w:val="clear" w:color="auto" w:fill="CCEBF8"/>
          </w:tcPr>
          <w:p>
            <w:pPr>
              <w:jc w:val="center"/>
              <w:ind w:right="40"/>
              <w:spacing w:after="0"/>
              <w:rPr>
                <w:sz w:val="20"/>
                <w:szCs w:val="20"/>
                <w:color w:val="auto"/>
              </w:rPr>
            </w:pPr>
            <w:r>
              <w:rPr>
                <w:rFonts w:ascii="Arial" w:cs="Arial" w:eastAsia="Arial" w:hAnsi="Arial"/>
                <w:sz w:val="7"/>
                <w:szCs w:val="7"/>
                <w:b w:val="1"/>
                <w:bCs w:val="1"/>
                <w:color w:val="009BDE"/>
              </w:rPr>
              <w:t>Value of Initial Fixed</w:t>
            </w:r>
          </w:p>
        </w:tc>
        <w:tc>
          <w:tcPr>
            <w:tcW w:w="540" w:type="dxa"/>
            <w:vAlign w:val="bottom"/>
            <w:tcBorders>
              <w:bottom w:val="single" w:sz="8" w:color="CCEBF8"/>
            </w:tcBorders>
            <w:shd w:val="clear" w:color="auto" w:fill="CCEBF8"/>
          </w:tcPr>
          <w:p>
            <w:pPr>
              <w:spacing w:after="0"/>
              <w:rPr>
                <w:sz w:val="7"/>
                <w:szCs w:val="7"/>
                <w:color w:val="auto"/>
              </w:rPr>
            </w:pPr>
          </w:p>
        </w:tc>
        <w:tc>
          <w:tcPr>
            <w:tcW w:w="80" w:type="dxa"/>
            <w:vAlign w:val="bottom"/>
            <w:tcBorders>
              <w:bottom w:val="single" w:sz="8" w:color="CCEBF8"/>
            </w:tcBorders>
            <w:shd w:val="clear" w:color="auto" w:fill="CCEBF8"/>
          </w:tcPr>
          <w:p>
            <w:pPr>
              <w:spacing w:after="0"/>
              <w:rPr>
                <w:sz w:val="7"/>
                <w:szCs w:val="7"/>
                <w:color w:val="auto"/>
              </w:rPr>
            </w:pPr>
          </w:p>
        </w:tc>
        <w:tc>
          <w:tcPr>
            <w:tcW w:w="540" w:type="dxa"/>
            <w:vAlign w:val="bottom"/>
            <w:tcBorders>
              <w:bottom w:val="single" w:sz="8" w:color="CCEBF8"/>
            </w:tcBorders>
            <w:gridSpan w:val="2"/>
            <w:vMerge w:val="restart"/>
            <w:shd w:val="clear" w:color="auto" w:fill="CCEBF8"/>
          </w:tcPr>
          <w:p>
            <w:pPr>
              <w:jc w:val="center"/>
              <w:ind w:right="40"/>
              <w:spacing w:after="0"/>
              <w:rPr>
                <w:sz w:val="20"/>
                <w:szCs w:val="20"/>
                <w:color w:val="auto"/>
              </w:rPr>
            </w:pPr>
            <w:r>
              <w:rPr>
                <w:rFonts w:ascii="Arial" w:cs="Arial" w:eastAsia="Arial" w:hAnsi="Arial"/>
                <w:sz w:val="7"/>
                <w:szCs w:val="7"/>
                <w:b w:val="1"/>
                <w:bCs w:val="1"/>
                <w:color w:val="009BDE"/>
              </w:rPr>
              <w:t>Company</w:t>
            </w:r>
          </w:p>
        </w:tc>
        <w:tc>
          <w:tcPr>
            <w:tcW w:w="0" w:type="dxa"/>
            <w:vAlign w:val="bottom"/>
          </w:tcPr>
          <w:p>
            <w:pPr>
              <w:spacing w:after="0"/>
              <w:rPr>
                <w:sz w:val="1"/>
                <w:szCs w:val="1"/>
                <w:color w:val="auto"/>
              </w:rPr>
            </w:pPr>
          </w:p>
        </w:tc>
      </w:tr>
      <w:tr>
        <w:trPr>
          <w:trHeight w:val="96"/>
        </w:trPr>
        <w:tc>
          <w:tcPr>
            <w:tcW w:w="680" w:type="dxa"/>
            <w:vAlign w:val="bottom"/>
            <w:shd w:val="clear" w:color="auto" w:fill="CCEBF8"/>
          </w:tcPr>
          <w:p>
            <w:pPr>
              <w:spacing w:after="0"/>
              <w:rPr>
                <w:sz w:val="8"/>
                <w:szCs w:val="8"/>
                <w:color w:val="auto"/>
              </w:rPr>
            </w:pPr>
          </w:p>
        </w:tc>
        <w:tc>
          <w:tcPr>
            <w:tcW w:w="20" w:type="dxa"/>
            <w:vAlign w:val="bottom"/>
            <w:shd w:val="clear" w:color="auto" w:fill="CCEBF8"/>
          </w:tcPr>
          <w:p>
            <w:pPr>
              <w:spacing w:after="0"/>
              <w:rPr>
                <w:sz w:val="8"/>
                <w:szCs w:val="8"/>
                <w:color w:val="auto"/>
              </w:rPr>
            </w:pPr>
          </w:p>
        </w:tc>
        <w:tc>
          <w:tcPr>
            <w:tcW w:w="740" w:type="dxa"/>
            <w:vAlign w:val="bottom"/>
            <w:shd w:val="clear" w:color="auto" w:fill="CCEBF8"/>
          </w:tcPr>
          <w:p>
            <w:pPr>
              <w:spacing w:after="0"/>
              <w:rPr>
                <w:sz w:val="8"/>
                <w:szCs w:val="8"/>
                <w:color w:val="auto"/>
              </w:rPr>
            </w:pPr>
          </w:p>
        </w:tc>
        <w:tc>
          <w:tcPr>
            <w:tcW w:w="100" w:type="dxa"/>
            <w:vAlign w:val="bottom"/>
            <w:shd w:val="clear" w:color="auto" w:fill="CCEBF8"/>
          </w:tcPr>
          <w:p>
            <w:pPr>
              <w:spacing w:after="0"/>
              <w:rPr>
                <w:sz w:val="8"/>
                <w:szCs w:val="8"/>
                <w:color w:val="auto"/>
              </w:rPr>
            </w:pPr>
          </w:p>
        </w:tc>
        <w:tc>
          <w:tcPr>
            <w:tcW w:w="440" w:type="dxa"/>
            <w:vAlign w:val="bottom"/>
            <w:shd w:val="clear" w:color="auto" w:fill="CCEBF8"/>
          </w:tcPr>
          <w:p>
            <w:pPr>
              <w:spacing w:after="0"/>
              <w:rPr>
                <w:sz w:val="8"/>
                <w:szCs w:val="8"/>
                <w:color w:val="auto"/>
              </w:rPr>
            </w:pPr>
          </w:p>
        </w:tc>
        <w:tc>
          <w:tcPr>
            <w:tcW w:w="60" w:type="dxa"/>
            <w:vAlign w:val="bottom"/>
            <w:shd w:val="clear" w:color="auto" w:fill="CCEBF8"/>
          </w:tcPr>
          <w:p>
            <w:pPr>
              <w:spacing w:after="0"/>
              <w:rPr>
                <w:sz w:val="8"/>
                <w:szCs w:val="8"/>
                <w:color w:val="auto"/>
              </w:rPr>
            </w:pPr>
          </w:p>
        </w:tc>
        <w:tc>
          <w:tcPr>
            <w:tcW w:w="60" w:type="dxa"/>
            <w:vAlign w:val="bottom"/>
            <w:shd w:val="clear" w:color="auto" w:fill="CCEBF8"/>
          </w:tcPr>
          <w:p>
            <w:pPr>
              <w:spacing w:after="0"/>
              <w:rPr>
                <w:sz w:val="8"/>
                <w:szCs w:val="8"/>
                <w:color w:val="auto"/>
              </w:rPr>
            </w:pPr>
          </w:p>
        </w:tc>
        <w:tc>
          <w:tcPr>
            <w:tcW w:w="500" w:type="dxa"/>
            <w:vAlign w:val="bottom"/>
            <w:shd w:val="clear" w:color="auto" w:fill="CCEBF8"/>
          </w:tcPr>
          <w:p>
            <w:pPr>
              <w:spacing w:after="0"/>
              <w:rPr>
                <w:sz w:val="8"/>
                <w:szCs w:val="8"/>
                <w:color w:val="auto"/>
              </w:rPr>
            </w:pPr>
          </w:p>
        </w:tc>
        <w:tc>
          <w:tcPr>
            <w:tcW w:w="160" w:type="dxa"/>
            <w:vAlign w:val="bottom"/>
            <w:shd w:val="clear" w:color="auto" w:fill="CCEBF8"/>
          </w:tcPr>
          <w:p>
            <w:pPr>
              <w:spacing w:after="0"/>
              <w:rPr>
                <w:sz w:val="8"/>
                <w:szCs w:val="8"/>
                <w:color w:val="auto"/>
              </w:rPr>
            </w:pPr>
          </w:p>
        </w:tc>
        <w:tc>
          <w:tcPr>
            <w:tcW w:w="420" w:type="dxa"/>
            <w:vAlign w:val="bottom"/>
            <w:shd w:val="clear" w:color="auto" w:fill="CCEBF8"/>
          </w:tcPr>
          <w:p>
            <w:pPr>
              <w:spacing w:after="0"/>
              <w:rPr>
                <w:sz w:val="8"/>
                <w:szCs w:val="8"/>
                <w:color w:val="auto"/>
              </w:rPr>
            </w:pPr>
          </w:p>
        </w:tc>
        <w:tc>
          <w:tcPr>
            <w:tcW w:w="60" w:type="dxa"/>
            <w:vAlign w:val="bottom"/>
            <w:shd w:val="clear" w:color="auto" w:fill="CCEBF8"/>
          </w:tcPr>
          <w:p>
            <w:pPr>
              <w:spacing w:after="0"/>
              <w:rPr>
                <w:sz w:val="8"/>
                <w:szCs w:val="8"/>
                <w:color w:val="auto"/>
              </w:rPr>
            </w:pPr>
          </w:p>
        </w:tc>
        <w:tc>
          <w:tcPr>
            <w:tcW w:w="80" w:type="dxa"/>
            <w:vAlign w:val="bottom"/>
            <w:shd w:val="clear" w:color="auto" w:fill="CCEBF8"/>
          </w:tcPr>
          <w:p>
            <w:pPr>
              <w:spacing w:after="0"/>
              <w:rPr>
                <w:sz w:val="8"/>
                <w:szCs w:val="8"/>
                <w:color w:val="auto"/>
              </w:rPr>
            </w:pPr>
          </w:p>
        </w:tc>
        <w:tc>
          <w:tcPr>
            <w:tcW w:w="480" w:type="dxa"/>
            <w:vAlign w:val="bottom"/>
            <w:shd w:val="clear" w:color="auto" w:fill="CCEBF8"/>
          </w:tcPr>
          <w:p>
            <w:pPr>
              <w:spacing w:after="0"/>
              <w:rPr>
                <w:sz w:val="8"/>
                <w:szCs w:val="8"/>
                <w:color w:val="auto"/>
              </w:rPr>
            </w:pPr>
          </w:p>
        </w:tc>
        <w:tc>
          <w:tcPr>
            <w:tcW w:w="140" w:type="dxa"/>
            <w:vAlign w:val="bottom"/>
            <w:shd w:val="clear" w:color="auto" w:fill="CCEBF8"/>
          </w:tcPr>
          <w:p>
            <w:pPr>
              <w:spacing w:after="0"/>
              <w:rPr>
                <w:sz w:val="8"/>
                <w:szCs w:val="8"/>
                <w:color w:val="auto"/>
              </w:rPr>
            </w:pPr>
          </w:p>
        </w:tc>
        <w:tc>
          <w:tcPr>
            <w:tcW w:w="440" w:type="dxa"/>
            <w:vAlign w:val="bottom"/>
            <w:shd w:val="clear" w:color="auto" w:fill="CCEBF8"/>
          </w:tcPr>
          <w:p>
            <w:pPr>
              <w:spacing w:after="0"/>
              <w:rPr>
                <w:sz w:val="8"/>
                <w:szCs w:val="8"/>
                <w:color w:val="auto"/>
              </w:rPr>
            </w:pPr>
          </w:p>
        </w:tc>
        <w:tc>
          <w:tcPr>
            <w:tcW w:w="480" w:type="dxa"/>
            <w:vAlign w:val="bottom"/>
            <w:shd w:val="clear" w:color="auto" w:fill="CCEBF8"/>
          </w:tcPr>
          <w:p>
            <w:pPr>
              <w:spacing w:after="0"/>
              <w:rPr>
                <w:sz w:val="8"/>
                <w:szCs w:val="8"/>
                <w:color w:val="auto"/>
              </w:rPr>
            </w:pPr>
          </w:p>
        </w:tc>
        <w:tc>
          <w:tcPr>
            <w:tcW w:w="440" w:type="dxa"/>
            <w:vAlign w:val="bottom"/>
            <w:shd w:val="clear" w:color="auto" w:fill="CCEBF8"/>
          </w:tcPr>
          <w:p>
            <w:pPr>
              <w:spacing w:after="0"/>
              <w:rPr>
                <w:sz w:val="8"/>
                <w:szCs w:val="8"/>
                <w:color w:val="auto"/>
              </w:rPr>
            </w:pPr>
          </w:p>
        </w:tc>
        <w:tc>
          <w:tcPr>
            <w:tcW w:w="60" w:type="dxa"/>
            <w:vAlign w:val="bottom"/>
            <w:shd w:val="clear" w:color="auto" w:fill="CCEBF8"/>
          </w:tcPr>
          <w:p>
            <w:pPr>
              <w:spacing w:after="0"/>
              <w:rPr>
                <w:sz w:val="8"/>
                <w:szCs w:val="8"/>
                <w:color w:val="auto"/>
              </w:rPr>
            </w:pPr>
          </w:p>
        </w:tc>
        <w:tc>
          <w:tcPr>
            <w:tcW w:w="820" w:type="dxa"/>
            <w:vAlign w:val="bottom"/>
            <w:gridSpan w:val="4"/>
            <w:vMerge w:val="continue"/>
            <w:shd w:val="clear" w:color="auto" w:fill="CCEBF8"/>
          </w:tcPr>
          <w:p>
            <w:pPr>
              <w:spacing w:after="0"/>
              <w:rPr>
                <w:sz w:val="8"/>
                <w:szCs w:val="8"/>
                <w:color w:val="auto"/>
              </w:rPr>
            </w:pPr>
          </w:p>
        </w:tc>
        <w:tc>
          <w:tcPr>
            <w:tcW w:w="540" w:type="dxa"/>
            <w:vAlign w:val="bottom"/>
            <w:shd w:val="clear" w:color="auto" w:fill="CCEBF8"/>
          </w:tcPr>
          <w:p>
            <w:pPr>
              <w:spacing w:after="0"/>
              <w:rPr>
                <w:sz w:val="8"/>
                <w:szCs w:val="8"/>
                <w:color w:val="auto"/>
              </w:rPr>
            </w:pPr>
          </w:p>
        </w:tc>
        <w:tc>
          <w:tcPr>
            <w:tcW w:w="80" w:type="dxa"/>
            <w:vAlign w:val="bottom"/>
            <w:shd w:val="clear" w:color="auto" w:fill="CCEBF8"/>
          </w:tcPr>
          <w:p>
            <w:pPr>
              <w:spacing w:after="0"/>
              <w:rPr>
                <w:sz w:val="8"/>
                <w:szCs w:val="8"/>
                <w:color w:val="auto"/>
              </w:rPr>
            </w:pPr>
          </w:p>
        </w:tc>
        <w:tc>
          <w:tcPr>
            <w:tcW w:w="540" w:type="dxa"/>
            <w:vAlign w:val="bottom"/>
            <w:gridSpan w:val="2"/>
            <w:vMerge w:val="continue"/>
            <w:shd w:val="clear" w:color="auto" w:fill="CCEBF8"/>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80" w:type="dxa"/>
            <w:vAlign w:val="bottom"/>
            <w:shd w:val="clear" w:color="auto" w:fill="CCEBF8"/>
          </w:tcPr>
          <w:p>
            <w:pPr>
              <w:spacing w:after="0"/>
              <w:rPr>
                <w:sz w:val="7"/>
                <w:szCs w:val="7"/>
                <w:color w:val="auto"/>
              </w:rPr>
            </w:pPr>
          </w:p>
        </w:tc>
        <w:tc>
          <w:tcPr>
            <w:tcW w:w="20" w:type="dxa"/>
            <w:vAlign w:val="bottom"/>
            <w:shd w:val="clear" w:color="auto" w:fill="CCEBF8"/>
          </w:tcPr>
          <w:p>
            <w:pPr>
              <w:spacing w:after="0"/>
              <w:rPr>
                <w:sz w:val="7"/>
                <w:szCs w:val="7"/>
                <w:color w:val="auto"/>
              </w:rPr>
            </w:pPr>
          </w:p>
        </w:tc>
        <w:tc>
          <w:tcPr>
            <w:tcW w:w="740" w:type="dxa"/>
            <w:vAlign w:val="bottom"/>
            <w:shd w:val="clear" w:color="auto" w:fill="CCEBF8"/>
          </w:tcPr>
          <w:p>
            <w:pPr>
              <w:spacing w:after="0"/>
              <w:rPr>
                <w:sz w:val="7"/>
                <w:szCs w:val="7"/>
                <w:color w:val="auto"/>
              </w:rPr>
            </w:pPr>
          </w:p>
        </w:tc>
        <w:tc>
          <w:tcPr>
            <w:tcW w:w="100" w:type="dxa"/>
            <w:vAlign w:val="bottom"/>
            <w:shd w:val="clear" w:color="auto" w:fill="CCEBF8"/>
          </w:tcPr>
          <w:p>
            <w:pPr>
              <w:spacing w:after="0"/>
              <w:rPr>
                <w:sz w:val="7"/>
                <w:szCs w:val="7"/>
                <w:color w:val="auto"/>
              </w:rPr>
            </w:pPr>
          </w:p>
        </w:tc>
        <w:tc>
          <w:tcPr>
            <w:tcW w:w="440" w:type="dxa"/>
            <w:vAlign w:val="bottom"/>
            <w:shd w:val="clear" w:color="auto" w:fill="CCEBF8"/>
          </w:tcPr>
          <w:p>
            <w:pPr>
              <w:spacing w:after="0"/>
              <w:rPr>
                <w:sz w:val="7"/>
                <w:szCs w:val="7"/>
                <w:color w:val="auto"/>
              </w:rPr>
            </w:pPr>
          </w:p>
        </w:tc>
        <w:tc>
          <w:tcPr>
            <w:tcW w:w="60" w:type="dxa"/>
            <w:vAlign w:val="bottom"/>
            <w:shd w:val="clear" w:color="auto" w:fill="CCEBF8"/>
          </w:tcPr>
          <w:p>
            <w:pPr>
              <w:spacing w:after="0"/>
              <w:rPr>
                <w:sz w:val="7"/>
                <w:szCs w:val="7"/>
                <w:color w:val="auto"/>
              </w:rPr>
            </w:pPr>
          </w:p>
        </w:tc>
        <w:tc>
          <w:tcPr>
            <w:tcW w:w="60" w:type="dxa"/>
            <w:vAlign w:val="bottom"/>
            <w:shd w:val="clear" w:color="auto" w:fill="CCEBF8"/>
          </w:tcPr>
          <w:p>
            <w:pPr>
              <w:spacing w:after="0"/>
              <w:rPr>
                <w:sz w:val="7"/>
                <w:szCs w:val="7"/>
                <w:color w:val="auto"/>
              </w:rPr>
            </w:pPr>
          </w:p>
        </w:tc>
        <w:tc>
          <w:tcPr>
            <w:tcW w:w="50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420" w:type="dxa"/>
            <w:vAlign w:val="bottom"/>
            <w:shd w:val="clear" w:color="auto" w:fill="CCEBF8"/>
          </w:tcPr>
          <w:p>
            <w:pPr>
              <w:spacing w:after="0"/>
              <w:rPr>
                <w:sz w:val="7"/>
                <w:szCs w:val="7"/>
                <w:color w:val="auto"/>
              </w:rPr>
            </w:pPr>
          </w:p>
        </w:tc>
        <w:tc>
          <w:tcPr>
            <w:tcW w:w="60" w:type="dxa"/>
            <w:vAlign w:val="bottom"/>
            <w:shd w:val="clear" w:color="auto" w:fill="CCEBF8"/>
          </w:tcPr>
          <w:p>
            <w:pPr>
              <w:spacing w:after="0"/>
              <w:rPr>
                <w:sz w:val="7"/>
                <w:szCs w:val="7"/>
                <w:color w:val="auto"/>
              </w:rPr>
            </w:pPr>
          </w:p>
        </w:tc>
        <w:tc>
          <w:tcPr>
            <w:tcW w:w="80" w:type="dxa"/>
            <w:vAlign w:val="bottom"/>
            <w:shd w:val="clear" w:color="auto" w:fill="CCEBF8"/>
          </w:tcPr>
          <w:p>
            <w:pPr>
              <w:spacing w:after="0"/>
              <w:rPr>
                <w:sz w:val="7"/>
                <w:szCs w:val="7"/>
                <w:color w:val="auto"/>
              </w:rPr>
            </w:pPr>
          </w:p>
        </w:tc>
        <w:tc>
          <w:tcPr>
            <w:tcW w:w="48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440" w:type="dxa"/>
            <w:vAlign w:val="bottom"/>
            <w:shd w:val="clear" w:color="auto" w:fill="CCEBF8"/>
          </w:tcPr>
          <w:p>
            <w:pPr>
              <w:spacing w:after="0"/>
              <w:rPr>
                <w:sz w:val="7"/>
                <w:szCs w:val="7"/>
                <w:color w:val="auto"/>
              </w:rPr>
            </w:pPr>
          </w:p>
        </w:tc>
        <w:tc>
          <w:tcPr>
            <w:tcW w:w="480" w:type="dxa"/>
            <w:vAlign w:val="bottom"/>
            <w:shd w:val="clear" w:color="auto" w:fill="CCEBF8"/>
          </w:tcPr>
          <w:p>
            <w:pPr>
              <w:spacing w:after="0"/>
              <w:rPr>
                <w:sz w:val="7"/>
                <w:szCs w:val="7"/>
                <w:color w:val="auto"/>
              </w:rPr>
            </w:pPr>
          </w:p>
        </w:tc>
        <w:tc>
          <w:tcPr>
            <w:tcW w:w="440" w:type="dxa"/>
            <w:vAlign w:val="bottom"/>
            <w:shd w:val="clear" w:color="auto" w:fill="CCEBF8"/>
          </w:tcPr>
          <w:p>
            <w:pPr>
              <w:spacing w:after="0"/>
              <w:rPr>
                <w:sz w:val="7"/>
                <w:szCs w:val="7"/>
                <w:color w:val="auto"/>
              </w:rPr>
            </w:pPr>
          </w:p>
        </w:tc>
        <w:tc>
          <w:tcPr>
            <w:tcW w:w="60" w:type="dxa"/>
            <w:vAlign w:val="bottom"/>
            <w:shd w:val="clear" w:color="auto" w:fill="CCEBF8"/>
          </w:tcPr>
          <w:p>
            <w:pPr>
              <w:spacing w:after="0"/>
              <w:rPr>
                <w:sz w:val="7"/>
                <w:szCs w:val="7"/>
                <w:color w:val="auto"/>
              </w:rPr>
            </w:pPr>
          </w:p>
        </w:tc>
        <w:tc>
          <w:tcPr>
            <w:tcW w:w="820" w:type="dxa"/>
            <w:vAlign w:val="bottom"/>
            <w:gridSpan w:val="4"/>
            <w:shd w:val="clear" w:color="auto" w:fill="CCEBF8"/>
          </w:tcPr>
          <w:p>
            <w:pPr>
              <w:jc w:val="center"/>
              <w:ind w:right="20"/>
              <w:spacing w:after="0"/>
              <w:rPr>
                <w:sz w:val="20"/>
                <w:szCs w:val="20"/>
                <w:color w:val="auto"/>
              </w:rPr>
            </w:pPr>
            <w:r>
              <w:rPr>
                <w:rFonts w:ascii="Arial" w:cs="Arial" w:eastAsia="Arial" w:hAnsi="Arial"/>
                <w:sz w:val="7"/>
                <w:szCs w:val="7"/>
                <w:b w:val="1"/>
                <w:bCs w:val="1"/>
                <w:color w:val="009BDE"/>
              </w:rPr>
              <w:t>$100 Investment</w:t>
            </w:r>
          </w:p>
        </w:tc>
        <w:tc>
          <w:tcPr>
            <w:tcW w:w="540" w:type="dxa"/>
            <w:vAlign w:val="bottom"/>
            <w:shd w:val="clear" w:color="auto" w:fill="CCEBF8"/>
          </w:tcPr>
          <w:p>
            <w:pPr>
              <w:spacing w:after="0"/>
              <w:rPr>
                <w:sz w:val="7"/>
                <w:szCs w:val="7"/>
                <w:color w:val="auto"/>
              </w:rPr>
            </w:pPr>
          </w:p>
        </w:tc>
        <w:tc>
          <w:tcPr>
            <w:tcW w:w="80" w:type="dxa"/>
            <w:vAlign w:val="bottom"/>
            <w:shd w:val="clear" w:color="auto" w:fill="CCEBF8"/>
          </w:tcPr>
          <w:p>
            <w:pPr>
              <w:spacing w:after="0"/>
              <w:rPr>
                <w:sz w:val="7"/>
                <w:szCs w:val="7"/>
                <w:color w:val="auto"/>
              </w:rPr>
            </w:pPr>
          </w:p>
        </w:tc>
        <w:tc>
          <w:tcPr>
            <w:tcW w:w="540" w:type="dxa"/>
            <w:vAlign w:val="bottom"/>
            <w:gridSpan w:val="2"/>
            <w:shd w:val="clear" w:color="auto" w:fill="CCEBF8"/>
          </w:tcPr>
          <w:p>
            <w:pPr>
              <w:jc w:val="center"/>
              <w:ind w:right="40"/>
              <w:spacing w:after="0"/>
              <w:rPr>
                <w:sz w:val="20"/>
                <w:szCs w:val="20"/>
                <w:color w:val="auto"/>
              </w:rPr>
            </w:pPr>
            <w:r>
              <w:rPr>
                <w:rFonts w:ascii="Arial" w:cs="Arial" w:eastAsia="Arial" w:hAnsi="Arial"/>
                <w:sz w:val="7"/>
                <w:szCs w:val="7"/>
                <w:b w:val="1"/>
                <w:bCs w:val="1"/>
                <w:color w:val="009BDE"/>
              </w:rPr>
              <w:t>Selected</w:t>
            </w:r>
          </w:p>
        </w:tc>
        <w:tc>
          <w:tcPr>
            <w:tcW w:w="0" w:type="dxa"/>
            <w:vAlign w:val="bottom"/>
          </w:tcPr>
          <w:p>
            <w:pPr>
              <w:spacing w:after="0"/>
              <w:rPr>
                <w:sz w:val="1"/>
                <w:szCs w:val="1"/>
                <w:color w:val="auto"/>
              </w:rPr>
            </w:pPr>
          </w:p>
        </w:tc>
      </w:tr>
      <w:tr>
        <w:trPr>
          <w:trHeight w:val="91"/>
        </w:trPr>
        <w:tc>
          <w:tcPr>
            <w:tcW w:w="680" w:type="dxa"/>
            <w:vAlign w:val="bottom"/>
            <w:shd w:val="clear" w:color="auto" w:fill="CCEBF8"/>
          </w:tcPr>
          <w:p>
            <w:pPr>
              <w:spacing w:after="0"/>
              <w:rPr>
                <w:sz w:val="7"/>
                <w:szCs w:val="7"/>
                <w:color w:val="auto"/>
              </w:rPr>
            </w:pPr>
          </w:p>
        </w:tc>
        <w:tc>
          <w:tcPr>
            <w:tcW w:w="20" w:type="dxa"/>
            <w:vAlign w:val="bottom"/>
            <w:shd w:val="clear" w:color="auto" w:fill="CCEBF8"/>
          </w:tcPr>
          <w:p>
            <w:pPr>
              <w:spacing w:after="0"/>
              <w:rPr>
                <w:sz w:val="7"/>
                <w:szCs w:val="7"/>
                <w:color w:val="auto"/>
              </w:rPr>
            </w:pPr>
          </w:p>
        </w:tc>
        <w:tc>
          <w:tcPr>
            <w:tcW w:w="740" w:type="dxa"/>
            <w:vAlign w:val="bottom"/>
            <w:shd w:val="clear" w:color="auto" w:fill="CCEBF8"/>
          </w:tcPr>
          <w:p>
            <w:pPr>
              <w:jc w:val="center"/>
              <w:ind w:right="25"/>
              <w:spacing w:after="0"/>
              <w:rPr>
                <w:sz w:val="20"/>
                <w:szCs w:val="20"/>
                <w:color w:val="auto"/>
              </w:rPr>
            </w:pPr>
            <w:r>
              <w:rPr>
                <w:rFonts w:ascii="Arial" w:cs="Arial" w:eastAsia="Arial" w:hAnsi="Arial"/>
                <w:sz w:val="7"/>
                <w:szCs w:val="7"/>
                <w:b w:val="1"/>
                <w:bCs w:val="1"/>
                <w:color w:val="009BDE"/>
              </w:rPr>
              <w:t>Summary</w:t>
            </w:r>
          </w:p>
        </w:tc>
        <w:tc>
          <w:tcPr>
            <w:tcW w:w="100" w:type="dxa"/>
            <w:vAlign w:val="bottom"/>
            <w:shd w:val="clear" w:color="auto" w:fill="CCEBF8"/>
          </w:tcPr>
          <w:p>
            <w:pPr>
              <w:spacing w:after="0"/>
              <w:rPr>
                <w:sz w:val="7"/>
                <w:szCs w:val="7"/>
                <w:color w:val="auto"/>
              </w:rPr>
            </w:pPr>
          </w:p>
        </w:tc>
        <w:tc>
          <w:tcPr>
            <w:tcW w:w="440" w:type="dxa"/>
            <w:vAlign w:val="bottom"/>
            <w:shd w:val="clear" w:color="auto" w:fill="CCEBF8"/>
          </w:tcPr>
          <w:p>
            <w:pPr>
              <w:spacing w:after="0"/>
              <w:rPr>
                <w:sz w:val="7"/>
                <w:szCs w:val="7"/>
                <w:color w:val="auto"/>
              </w:rPr>
            </w:pPr>
          </w:p>
        </w:tc>
        <w:tc>
          <w:tcPr>
            <w:tcW w:w="60" w:type="dxa"/>
            <w:vAlign w:val="bottom"/>
            <w:shd w:val="clear" w:color="auto" w:fill="CCEBF8"/>
          </w:tcPr>
          <w:p>
            <w:pPr>
              <w:spacing w:after="0"/>
              <w:rPr>
                <w:sz w:val="7"/>
                <w:szCs w:val="7"/>
                <w:color w:val="auto"/>
              </w:rPr>
            </w:pPr>
          </w:p>
        </w:tc>
        <w:tc>
          <w:tcPr>
            <w:tcW w:w="60" w:type="dxa"/>
            <w:vAlign w:val="bottom"/>
            <w:shd w:val="clear" w:color="auto" w:fill="CCEBF8"/>
          </w:tcPr>
          <w:p>
            <w:pPr>
              <w:spacing w:after="0"/>
              <w:rPr>
                <w:sz w:val="7"/>
                <w:szCs w:val="7"/>
                <w:color w:val="auto"/>
              </w:rPr>
            </w:pPr>
          </w:p>
        </w:tc>
        <w:tc>
          <w:tcPr>
            <w:tcW w:w="500" w:type="dxa"/>
            <w:vAlign w:val="bottom"/>
            <w:shd w:val="clear" w:color="auto" w:fill="CCEBF8"/>
          </w:tcPr>
          <w:p>
            <w:pPr>
              <w:spacing w:after="0"/>
              <w:rPr>
                <w:sz w:val="7"/>
                <w:szCs w:val="7"/>
                <w:color w:val="auto"/>
              </w:rPr>
            </w:pPr>
          </w:p>
        </w:tc>
        <w:tc>
          <w:tcPr>
            <w:tcW w:w="160" w:type="dxa"/>
            <w:vAlign w:val="bottom"/>
            <w:shd w:val="clear" w:color="auto" w:fill="CCEBF8"/>
          </w:tcPr>
          <w:p>
            <w:pPr>
              <w:spacing w:after="0"/>
              <w:rPr>
                <w:sz w:val="7"/>
                <w:szCs w:val="7"/>
                <w:color w:val="auto"/>
              </w:rPr>
            </w:pPr>
          </w:p>
        </w:tc>
        <w:tc>
          <w:tcPr>
            <w:tcW w:w="420" w:type="dxa"/>
            <w:vAlign w:val="bottom"/>
            <w:shd w:val="clear" w:color="auto" w:fill="CCEBF8"/>
          </w:tcPr>
          <w:p>
            <w:pPr>
              <w:spacing w:after="0"/>
              <w:rPr>
                <w:sz w:val="7"/>
                <w:szCs w:val="7"/>
                <w:color w:val="auto"/>
              </w:rPr>
            </w:pPr>
          </w:p>
        </w:tc>
        <w:tc>
          <w:tcPr>
            <w:tcW w:w="60" w:type="dxa"/>
            <w:vAlign w:val="bottom"/>
            <w:shd w:val="clear" w:color="auto" w:fill="CCEBF8"/>
          </w:tcPr>
          <w:p>
            <w:pPr>
              <w:spacing w:after="0"/>
              <w:rPr>
                <w:sz w:val="7"/>
                <w:szCs w:val="7"/>
                <w:color w:val="auto"/>
              </w:rPr>
            </w:pPr>
          </w:p>
        </w:tc>
        <w:tc>
          <w:tcPr>
            <w:tcW w:w="80" w:type="dxa"/>
            <w:vAlign w:val="bottom"/>
            <w:shd w:val="clear" w:color="auto" w:fill="CCEBF8"/>
          </w:tcPr>
          <w:p>
            <w:pPr>
              <w:spacing w:after="0"/>
              <w:rPr>
                <w:sz w:val="7"/>
                <w:szCs w:val="7"/>
                <w:color w:val="auto"/>
              </w:rPr>
            </w:pPr>
          </w:p>
        </w:tc>
        <w:tc>
          <w:tcPr>
            <w:tcW w:w="480" w:type="dxa"/>
            <w:vAlign w:val="bottom"/>
            <w:shd w:val="clear" w:color="auto" w:fill="CCEBF8"/>
          </w:tcPr>
          <w:p>
            <w:pPr>
              <w:spacing w:after="0"/>
              <w:rPr>
                <w:sz w:val="7"/>
                <w:szCs w:val="7"/>
                <w:color w:val="auto"/>
              </w:rPr>
            </w:pPr>
          </w:p>
        </w:tc>
        <w:tc>
          <w:tcPr>
            <w:tcW w:w="140" w:type="dxa"/>
            <w:vAlign w:val="bottom"/>
            <w:shd w:val="clear" w:color="auto" w:fill="CCEBF8"/>
          </w:tcPr>
          <w:p>
            <w:pPr>
              <w:spacing w:after="0"/>
              <w:rPr>
                <w:sz w:val="7"/>
                <w:szCs w:val="7"/>
                <w:color w:val="auto"/>
              </w:rPr>
            </w:pPr>
          </w:p>
        </w:tc>
        <w:tc>
          <w:tcPr>
            <w:tcW w:w="440" w:type="dxa"/>
            <w:vAlign w:val="bottom"/>
            <w:shd w:val="clear" w:color="auto" w:fill="CCEBF8"/>
          </w:tcPr>
          <w:p>
            <w:pPr>
              <w:spacing w:after="0"/>
              <w:rPr>
                <w:sz w:val="7"/>
                <w:szCs w:val="7"/>
                <w:color w:val="auto"/>
              </w:rPr>
            </w:pPr>
          </w:p>
        </w:tc>
        <w:tc>
          <w:tcPr>
            <w:tcW w:w="480" w:type="dxa"/>
            <w:vAlign w:val="bottom"/>
            <w:shd w:val="clear" w:color="auto" w:fill="CCEBF8"/>
          </w:tcPr>
          <w:p>
            <w:pPr>
              <w:spacing w:after="0"/>
              <w:rPr>
                <w:sz w:val="7"/>
                <w:szCs w:val="7"/>
                <w:color w:val="auto"/>
              </w:rPr>
            </w:pPr>
          </w:p>
        </w:tc>
        <w:tc>
          <w:tcPr>
            <w:tcW w:w="440" w:type="dxa"/>
            <w:vAlign w:val="bottom"/>
            <w:shd w:val="clear" w:color="auto" w:fill="CCEBF8"/>
          </w:tcPr>
          <w:p>
            <w:pPr>
              <w:spacing w:after="0"/>
              <w:rPr>
                <w:sz w:val="7"/>
                <w:szCs w:val="7"/>
                <w:color w:val="auto"/>
              </w:rPr>
            </w:pPr>
          </w:p>
        </w:tc>
        <w:tc>
          <w:tcPr>
            <w:tcW w:w="60" w:type="dxa"/>
            <w:vAlign w:val="bottom"/>
            <w:shd w:val="clear" w:color="auto" w:fill="CCEBF8"/>
          </w:tcPr>
          <w:p>
            <w:pPr>
              <w:spacing w:after="0"/>
              <w:rPr>
                <w:sz w:val="7"/>
                <w:szCs w:val="7"/>
                <w:color w:val="auto"/>
              </w:rPr>
            </w:pPr>
          </w:p>
        </w:tc>
        <w:tc>
          <w:tcPr>
            <w:tcW w:w="820" w:type="dxa"/>
            <w:vAlign w:val="bottom"/>
            <w:gridSpan w:val="4"/>
            <w:shd w:val="clear" w:color="auto" w:fill="CCEBF8"/>
          </w:tcPr>
          <w:p>
            <w:pPr>
              <w:jc w:val="center"/>
              <w:ind w:right="20"/>
              <w:spacing w:after="0"/>
              <w:rPr>
                <w:sz w:val="20"/>
                <w:szCs w:val="20"/>
                <w:color w:val="auto"/>
              </w:rPr>
            </w:pPr>
            <w:r>
              <w:rPr>
                <w:rFonts w:ascii="Arial" w:cs="Arial" w:eastAsia="Arial" w:hAnsi="Arial"/>
                <w:sz w:val="7"/>
                <w:szCs w:val="7"/>
                <w:b w:val="1"/>
                <w:bCs w:val="1"/>
                <w:color w:val="009BDE"/>
              </w:rPr>
              <w:t>Based on</w:t>
            </w:r>
            <w:r>
              <w:rPr>
                <w:rFonts w:ascii="Arial" w:cs="Arial" w:eastAsia="Arial" w:hAnsi="Arial"/>
                <w:sz w:val="4"/>
                <w:szCs w:val="4"/>
                <w:b w:val="1"/>
                <w:bCs w:val="1"/>
                <w:color w:val="009BDE"/>
              </w:rPr>
              <w:t>(5)</w:t>
            </w:r>
            <w:r>
              <w:rPr>
                <w:rFonts w:ascii="Arial" w:cs="Arial" w:eastAsia="Arial" w:hAnsi="Arial"/>
                <w:sz w:val="7"/>
                <w:szCs w:val="7"/>
                <w:b w:val="1"/>
                <w:bCs w:val="1"/>
                <w:color w:val="009BDE"/>
              </w:rPr>
              <w:t>:</w:t>
            </w:r>
          </w:p>
        </w:tc>
        <w:tc>
          <w:tcPr>
            <w:tcW w:w="540" w:type="dxa"/>
            <w:vAlign w:val="bottom"/>
            <w:shd w:val="clear" w:color="auto" w:fill="CCEBF8"/>
          </w:tcPr>
          <w:p>
            <w:pPr>
              <w:spacing w:after="0"/>
              <w:rPr>
                <w:sz w:val="7"/>
                <w:szCs w:val="7"/>
                <w:color w:val="auto"/>
              </w:rPr>
            </w:pPr>
          </w:p>
        </w:tc>
        <w:tc>
          <w:tcPr>
            <w:tcW w:w="80" w:type="dxa"/>
            <w:vAlign w:val="bottom"/>
            <w:shd w:val="clear" w:color="auto" w:fill="CCEBF8"/>
          </w:tcPr>
          <w:p>
            <w:pPr>
              <w:spacing w:after="0"/>
              <w:rPr>
                <w:sz w:val="7"/>
                <w:szCs w:val="7"/>
                <w:color w:val="auto"/>
              </w:rPr>
            </w:pPr>
          </w:p>
        </w:tc>
        <w:tc>
          <w:tcPr>
            <w:tcW w:w="540" w:type="dxa"/>
            <w:vAlign w:val="bottom"/>
            <w:gridSpan w:val="2"/>
            <w:shd w:val="clear" w:color="auto" w:fill="CCEBF8"/>
          </w:tcPr>
          <w:p>
            <w:pPr>
              <w:jc w:val="center"/>
              <w:ind w:right="40"/>
              <w:spacing w:after="0"/>
              <w:rPr>
                <w:sz w:val="20"/>
                <w:szCs w:val="20"/>
                <w:color w:val="auto"/>
              </w:rPr>
            </w:pPr>
            <w:r>
              <w:rPr>
                <w:rFonts w:ascii="Arial" w:cs="Arial" w:eastAsia="Arial" w:hAnsi="Arial"/>
                <w:sz w:val="7"/>
                <w:szCs w:val="7"/>
                <w:b w:val="1"/>
                <w:bCs w:val="1"/>
                <w:color w:val="009BDE"/>
              </w:rPr>
              <w:t>Measure</w:t>
            </w:r>
          </w:p>
        </w:tc>
        <w:tc>
          <w:tcPr>
            <w:tcW w:w="0" w:type="dxa"/>
            <w:vAlign w:val="bottom"/>
          </w:tcPr>
          <w:p>
            <w:pPr>
              <w:spacing w:after="0"/>
              <w:rPr>
                <w:sz w:val="1"/>
                <w:szCs w:val="1"/>
                <w:color w:val="auto"/>
              </w:rPr>
            </w:pPr>
          </w:p>
        </w:tc>
      </w:tr>
      <w:tr>
        <w:trPr>
          <w:trHeight w:val="60"/>
        </w:trPr>
        <w:tc>
          <w:tcPr>
            <w:tcW w:w="680" w:type="dxa"/>
            <w:vAlign w:val="bottom"/>
            <w:tcBorders>
              <w:top w:val="single" w:sz="8" w:color="CCEBF8"/>
            </w:tcBorders>
            <w:shd w:val="clear" w:color="auto" w:fill="CCEBF8"/>
          </w:tcPr>
          <w:p>
            <w:pPr>
              <w:spacing w:after="0"/>
              <w:rPr>
                <w:sz w:val="5"/>
                <w:szCs w:val="5"/>
                <w:color w:val="auto"/>
              </w:rPr>
            </w:pPr>
          </w:p>
        </w:tc>
        <w:tc>
          <w:tcPr>
            <w:tcW w:w="20" w:type="dxa"/>
            <w:vAlign w:val="bottom"/>
            <w:tcBorders>
              <w:top w:val="single" w:sz="8" w:color="CCEBF8"/>
            </w:tcBorders>
            <w:shd w:val="clear" w:color="auto" w:fill="CCEBF8"/>
          </w:tcPr>
          <w:p>
            <w:pPr>
              <w:spacing w:after="0"/>
              <w:rPr>
                <w:sz w:val="5"/>
                <w:szCs w:val="5"/>
                <w:color w:val="auto"/>
              </w:rPr>
            </w:pPr>
          </w:p>
        </w:tc>
        <w:tc>
          <w:tcPr>
            <w:tcW w:w="740" w:type="dxa"/>
            <w:vAlign w:val="bottom"/>
            <w:tcBorders>
              <w:top w:val="single" w:sz="8" w:color="CCEBF8"/>
            </w:tcBorders>
            <w:shd w:val="clear" w:color="auto" w:fill="CCEBF8"/>
          </w:tcPr>
          <w:p>
            <w:pPr>
              <w:jc w:val="center"/>
              <w:ind w:right="5"/>
              <w:spacing w:after="0" w:line="60" w:lineRule="exact"/>
              <w:rPr>
                <w:sz w:val="20"/>
                <w:szCs w:val="20"/>
                <w:color w:val="auto"/>
              </w:rPr>
            </w:pPr>
            <w:r>
              <w:rPr>
                <w:rFonts w:ascii="Arial" w:cs="Arial" w:eastAsia="Arial" w:hAnsi="Arial"/>
                <w:sz w:val="6"/>
                <w:szCs w:val="6"/>
                <w:b w:val="1"/>
                <w:bCs w:val="1"/>
                <w:color w:val="009BDE"/>
              </w:rPr>
              <w:t>Compensation</w:t>
            </w:r>
          </w:p>
        </w:tc>
        <w:tc>
          <w:tcPr>
            <w:tcW w:w="100" w:type="dxa"/>
            <w:vAlign w:val="bottom"/>
            <w:tcBorders>
              <w:top w:val="single" w:sz="8" w:color="CCEBF8"/>
            </w:tcBorders>
            <w:shd w:val="clear" w:color="auto" w:fill="CCEBF8"/>
          </w:tcPr>
          <w:p>
            <w:pPr>
              <w:spacing w:after="0"/>
              <w:rPr>
                <w:sz w:val="5"/>
                <w:szCs w:val="5"/>
                <w:color w:val="auto"/>
              </w:rPr>
            </w:pPr>
          </w:p>
        </w:tc>
        <w:tc>
          <w:tcPr>
            <w:tcW w:w="440" w:type="dxa"/>
            <w:vAlign w:val="bottom"/>
            <w:tcBorders>
              <w:top w:val="single" w:sz="8" w:color="CCEBF8"/>
            </w:tcBorders>
            <w:shd w:val="clear" w:color="auto" w:fill="CCEBF8"/>
          </w:tcPr>
          <w:p>
            <w:pPr>
              <w:spacing w:after="0"/>
              <w:rPr>
                <w:sz w:val="5"/>
                <w:szCs w:val="5"/>
                <w:color w:val="auto"/>
              </w:rPr>
            </w:pPr>
          </w:p>
        </w:tc>
        <w:tc>
          <w:tcPr>
            <w:tcW w:w="60" w:type="dxa"/>
            <w:vAlign w:val="bottom"/>
            <w:tcBorders>
              <w:top w:val="single" w:sz="8" w:color="CCEBF8"/>
            </w:tcBorders>
            <w:shd w:val="clear" w:color="auto" w:fill="CCEBF8"/>
          </w:tcPr>
          <w:p>
            <w:pPr>
              <w:spacing w:after="0"/>
              <w:rPr>
                <w:sz w:val="5"/>
                <w:szCs w:val="5"/>
                <w:color w:val="auto"/>
              </w:rPr>
            </w:pPr>
          </w:p>
        </w:tc>
        <w:tc>
          <w:tcPr>
            <w:tcW w:w="60" w:type="dxa"/>
            <w:vAlign w:val="bottom"/>
            <w:tcBorders>
              <w:top w:val="single" w:sz="8" w:color="CCEBF8"/>
            </w:tcBorders>
            <w:shd w:val="clear" w:color="auto" w:fill="CCEBF8"/>
          </w:tcPr>
          <w:p>
            <w:pPr>
              <w:spacing w:after="0"/>
              <w:rPr>
                <w:sz w:val="5"/>
                <w:szCs w:val="5"/>
                <w:color w:val="auto"/>
              </w:rPr>
            </w:pPr>
          </w:p>
        </w:tc>
        <w:tc>
          <w:tcPr>
            <w:tcW w:w="500" w:type="dxa"/>
            <w:vAlign w:val="bottom"/>
            <w:tcBorders>
              <w:top w:val="single" w:sz="8" w:color="CCEBF8"/>
            </w:tcBorders>
            <w:shd w:val="clear" w:color="auto" w:fill="CCEBF8"/>
          </w:tcPr>
          <w:p>
            <w:pPr>
              <w:jc w:val="center"/>
              <w:ind w:right="65"/>
              <w:spacing w:after="0" w:line="60" w:lineRule="exact"/>
              <w:rPr>
                <w:sz w:val="20"/>
                <w:szCs w:val="20"/>
                <w:color w:val="auto"/>
              </w:rPr>
            </w:pPr>
            <w:r>
              <w:rPr>
                <w:rFonts w:ascii="Arial" w:cs="Arial" w:eastAsia="Arial" w:hAnsi="Arial"/>
                <w:sz w:val="6"/>
                <w:szCs w:val="6"/>
                <w:b w:val="1"/>
                <w:bCs w:val="1"/>
                <w:color w:val="009BDE"/>
              </w:rPr>
              <w:t>Summary</w:t>
            </w:r>
          </w:p>
        </w:tc>
        <w:tc>
          <w:tcPr>
            <w:tcW w:w="160" w:type="dxa"/>
            <w:vAlign w:val="bottom"/>
            <w:tcBorders>
              <w:top w:val="single" w:sz="8" w:color="CCEBF8"/>
            </w:tcBorders>
            <w:shd w:val="clear" w:color="auto" w:fill="CCEBF8"/>
          </w:tcPr>
          <w:p>
            <w:pPr>
              <w:spacing w:after="0"/>
              <w:rPr>
                <w:sz w:val="5"/>
                <w:szCs w:val="5"/>
                <w:color w:val="auto"/>
              </w:rPr>
            </w:pPr>
          </w:p>
        </w:tc>
        <w:tc>
          <w:tcPr>
            <w:tcW w:w="420" w:type="dxa"/>
            <w:vAlign w:val="bottom"/>
            <w:tcBorders>
              <w:top w:val="single" w:sz="8" w:color="CCEBF8"/>
            </w:tcBorders>
            <w:shd w:val="clear" w:color="auto" w:fill="CCEBF8"/>
          </w:tcPr>
          <w:p>
            <w:pPr>
              <w:spacing w:after="0"/>
              <w:rPr>
                <w:sz w:val="5"/>
                <w:szCs w:val="5"/>
                <w:color w:val="auto"/>
              </w:rPr>
            </w:pPr>
          </w:p>
        </w:tc>
        <w:tc>
          <w:tcPr>
            <w:tcW w:w="60" w:type="dxa"/>
            <w:vAlign w:val="bottom"/>
            <w:tcBorders>
              <w:top w:val="single" w:sz="8" w:color="CCEBF8"/>
            </w:tcBorders>
            <w:shd w:val="clear" w:color="auto" w:fill="CCEBF8"/>
          </w:tcPr>
          <w:p>
            <w:pPr>
              <w:spacing w:after="0"/>
              <w:rPr>
                <w:sz w:val="5"/>
                <w:szCs w:val="5"/>
                <w:color w:val="auto"/>
              </w:rPr>
            </w:pPr>
          </w:p>
        </w:tc>
        <w:tc>
          <w:tcPr>
            <w:tcW w:w="80" w:type="dxa"/>
            <w:vAlign w:val="bottom"/>
            <w:tcBorders>
              <w:top w:val="single" w:sz="8" w:color="CCEBF8"/>
            </w:tcBorders>
            <w:shd w:val="clear" w:color="auto" w:fill="CCEBF8"/>
          </w:tcPr>
          <w:p>
            <w:pPr>
              <w:spacing w:after="0"/>
              <w:rPr>
                <w:sz w:val="5"/>
                <w:szCs w:val="5"/>
                <w:color w:val="auto"/>
              </w:rPr>
            </w:pPr>
          </w:p>
        </w:tc>
        <w:tc>
          <w:tcPr>
            <w:tcW w:w="480" w:type="dxa"/>
            <w:vAlign w:val="bottom"/>
            <w:tcBorders>
              <w:top w:val="single" w:sz="8" w:color="CCEBF8"/>
            </w:tcBorders>
            <w:shd w:val="clear" w:color="auto" w:fill="CCEBF8"/>
          </w:tcPr>
          <w:p>
            <w:pPr>
              <w:jc w:val="center"/>
              <w:ind w:right="85"/>
              <w:spacing w:after="0" w:line="60" w:lineRule="exact"/>
              <w:rPr>
                <w:sz w:val="20"/>
                <w:szCs w:val="20"/>
                <w:color w:val="auto"/>
              </w:rPr>
            </w:pPr>
            <w:r>
              <w:rPr>
                <w:rFonts w:ascii="Arial" w:cs="Arial" w:eastAsia="Arial" w:hAnsi="Arial"/>
                <w:sz w:val="6"/>
                <w:szCs w:val="6"/>
                <w:b w:val="1"/>
                <w:bCs w:val="1"/>
                <w:color w:val="009BDE"/>
              </w:rPr>
              <w:t>Summary</w:t>
            </w:r>
          </w:p>
        </w:tc>
        <w:tc>
          <w:tcPr>
            <w:tcW w:w="140" w:type="dxa"/>
            <w:vAlign w:val="bottom"/>
            <w:tcBorders>
              <w:top w:val="single" w:sz="8" w:color="CCEBF8"/>
            </w:tcBorders>
            <w:shd w:val="clear" w:color="auto" w:fill="CCEBF8"/>
          </w:tcPr>
          <w:p>
            <w:pPr>
              <w:spacing w:after="0"/>
              <w:rPr>
                <w:sz w:val="5"/>
                <w:szCs w:val="5"/>
                <w:color w:val="auto"/>
              </w:rPr>
            </w:pPr>
          </w:p>
        </w:tc>
        <w:tc>
          <w:tcPr>
            <w:tcW w:w="440" w:type="dxa"/>
            <w:vAlign w:val="bottom"/>
            <w:tcBorders>
              <w:top w:val="single" w:sz="8" w:color="CCEBF8"/>
            </w:tcBorders>
            <w:shd w:val="clear" w:color="auto" w:fill="CCEBF8"/>
          </w:tcPr>
          <w:p>
            <w:pPr>
              <w:spacing w:after="0"/>
              <w:rPr>
                <w:sz w:val="5"/>
                <w:szCs w:val="5"/>
                <w:color w:val="auto"/>
              </w:rPr>
            </w:pPr>
          </w:p>
        </w:tc>
        <w:tc>
          <w:tcPr>
            <w:tcW w:w="480" w:type="dxa"/>
            <w:vAlign w:val="bottom"/>
            <w:tcBorders>
              <w:top w:val="single" w:sz="8" w:color="CCEBF8"/>
            </w:tcBorders>
            <w:shd w:val="clear" w:color="auto" w:fill="CCEBF8"/>
          </w:tcPr>
          <w:p>
            <w:pPr>
              <w:spacing w:after="0"/>
              <w:rPr>
                <w:sz w:val="5"/>
                <w:szCs w:val="5"/>
                <w:color w:val="auto"/>
              </w:rPr>
            </w:pPr>
          </w:p>
        </w:tc>
        <w:tc>
          <w:tcPr>
            <w:tcW w:w="440" w:type="dxa"/>
            <w:vAlign w:val="bottom"/>
            <w:tcBorders>
              <w:top w:val="single" w:sz="8" w:color="CCEBF8"/>
            </w:tcBorders>
            <w:shd w:val="clear" w:color="auto" w:fill="CCEBF8"/>
          </w:tcPr>
          <w:p>
            <w:pPr>
              <w:spacing w:after="0"/>
              <w:rPr>
                <w:sz w:val="5"/>
                <w:szCs w:val="5"/>
                <w:color w:val="auto"/>
              </w:rPr>
            </w:pPr>
          </w:p>
        </w:tc>
        <w:tc>
          <w:tcPr>
            <w:tcW w:w="60" w:type="dxa"/>
            <w:vAlign w:val="bottom"/>
            <w:tcBorders>
              <w:top w:val="single" w:sz="8" w:color="CCEBF8"/>
            </w:tcBorders>
            <w:shd w:val="clear" w:color="auto" w:fill="CCEBF8"/>
          </w:tcPr>
          <w:p>
            <w:pPr>
              <w:spacing w:after="0"/>
              <w:rPr>
                <w:sz w:val="5"/>
                <w:szCs w:val="5"/>
                <w:color w:val="auto"/>
              </w:rPr>
            </w:pPr>
          </w:p>
        </w:tc>
        <w:tc>
          <w:tcPr>
            <w:tcW w:w="280" w:type="dxa"/>
            <w:vAlign w:val="bottom"/>
            <w:tcBorders>
              <w:top w:val="single" w:sz="8" w:color="009BDE"/>
            </w:tcBorders>
            <w:shd w:val="clear" w:color="auto" w:fill="CCEBF8"/>
          </w:tcPr>
          <w:p>
            <w:pPr>
              <w:spacing w:after="0"/>
              <w:rPr>
                <w:sz w:val="5"/>
                <w:szCs w:val="5"/>
                <w:color w:val="auto"/>
              </w:rPr>
            </w:pPr>
          </w:p>
        </w:tc>
        <w:tc>
          <w:tcPr>
            <w:tcW w:w="500" w:type="dxa"/>
            <w:vAlign w:val="bottom"/>
            <w:tcBorders>
              <w:top w:val="single" w:sz="8" w:color="009BDE"/>
            </w:tcBorders>
            <w:gridSpan w:val="2"/>
            <w:shd w:val="clear" w:color="auto" w:fill="CCEBF8"/>
          </w:tcPr>
          <w:p>
            <w:pPr>
              <w:jc w:val="center"/>
              <w:ind w:left="25"/>
              <w:spacing w:after="0" w:line="60" w:lineRule="exact"/>
              <w:rPr>
                <w:sz w:val="20"/>
                <w:szCs w:val="20"/>
                <w:color w:val="auto"/>
              </w:rPr>
            </w:pPr>
            <w:r>
              <w:rPr>
                <w:rFonts w:ascii="Arial" w:cs="Arial" w:eastAsia="Arial" w:hAnsi="Arial"/>
                <w:sz w:val="6"/>
                <w:szCs w:val="6"/>
                <w:b w:val="1"/>
                <w:bCs w:val="1"/>
                <w:color w:val="009BDE"/>
              </w:rPr>
              <w:t>TSR (Russell</w:t>
            </w:r>
          </w:p>
        </w:tc>
        <w:tc>
          <w:tcPr>
            <w:tcW w:w="40" w:type="dxa"/>
            <w:vAlign w:val="bottom"/>
            <w:tcBorders>
              <w:top w:val="single" w:sz="8" w:color="CCEBF8"/>
            </w:tcBorders>
            <w:shd w:val="clear" w:color="auto" w:fill="CCEBF8"/>
          </w:tcPr>
          <w:p>
            <w:pPr>
              <w:spacing w:after="0"/>
              <w:rPr>
                <w:sz w:val="5"/>
                <w:szCs w:val="5"/>
                <w:color w:val="auto"/>
              </w:rPr>
            </w:pPr>
          </w:p>
        </w:tc>
        <w:tc>
          <w:tcPr>
            <w:tcW w:w="540" w:type="dxa"/>
            <w:vAlign w:val="bottom"/>
            <w:tcBorders>
              <w:top w:val="single" w:sz="8" w:color="CCEBF8"/>
            </w:tcBorders>
            <w:shd w:val="clear" w:color="auto" w:fill="CCEBF8"/>
          </w:tcPr>
          <w:p>
            <w:pPr>
              <w:spacing w:after="0"/>
              <w:rPr>
                <w:sz w:val="5"/>
                <w:szCs w:val="5"/>
                <w:color w:val="auto"/>
              </w:rPr>
            </w:pPr>
          </w:p>
        </w:tc>
        <w:tc>
          <w:tcPr>
            <w:tcW w:w="80" w:type="dxa"/>
            <w:vAlign w:val="bottom"/>
            <w:tcBorders>
              <w:top w:val="single" w:sz="8" w:color="CCEBF8"/>
            </w:tcBorders>
            <w:shd w:val="clear" w:color="auto" w:fill="CCEBF8"/>
          </w:tcPr>
          <w:p>
            <w:pPr>
              <w:spacing w:after="0"/>
              <w:rPr>
                <w:sz w:val="5"/>
                <w:szCs w:val="5"/>
                <w:color w:val="auto"/>
              </w:rPr>
            </w:pPr>
          </w:p>
        </w:tc>
        <w:tc>
          <w:tcPr>
            <w:tcW w:w="500" w:type="dxa"/>
            <w:vAlign w:val="bottom"/>
            <w:tcBorders>
              <w:top w:val="single" w:sz="8" w:color="009BDE"/>
            </w:tcBorders>
            <w:shd w:val="clear" w:color="auto" w:fill="CCEBF8"/>
          </w:tcPr>
          <w:p>
            <w:pPr>
              <w:spacing w:after="0"/>
              <w:rPr>
                <w:sz w:val="5"/>
                <w:szCs w:val="5"/>
                <w:color w:val="auto"/>
              </w:rPr>
            </w:pPr>
          </w:p>
        </w:tc>
        <w:tc>
          <w:tcPr>
            <w:tcW w:w="40" w:type="dxa"/>
            <w:vAlign w:val="bottom"/>
            <w:tcBorders>
              <w:top w:val="single" w:sz="8" w:color="CCEBF8"/>
            </w:tcBorders>
            <w:shd w:val="clear" w:color="auto" w:fill="CCEBF8"/>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680" w:type="dxa"/>
            <w:vAlign w:val="bottom"/>
            <w:shd w:val="clear" w:color="auto" w:fill="CCEBF8"/>
          </w:tcPr>
          <w:p>
            <w:pPr>
              <w:spacing w:after="0"/>
              <w:rPr>
                <w:sz w:val="7"/>
                <w:szCs w:val="7"/>
                <w:color w:val="auto"/>
              </w:rPr>
            </w:pPr>
          </w:p>
        </w:tc>
        <w:tc>
          <w:tcPr>
            <w:tcW w:w="20" w:type="dxa"/>
            <w:vAlign w:val="bottom"/>
            <w:shd w:val="clear" w:color="auto" w:fill="CCEBF8"/>
          </w:tcPr>
          <w:p>
            <w:pPr>
              <w:spacing w:after="0"/>
              <w:rPr>
                <w:sz w:val="7"/>
                <w:szCs w:val="7"/>
                <w:color w:val="auto"/>
              </w:rPr>
            </w:pPr>
          </w:p>
        </w:tc>
        <w:tc>
          <w:tcPr>
            <w:tcW w:w="740" w:type="dxa"/>
            <w:vAlign w:val="bottom"/>
            <w:shd w:val="clear" w:color="auto" w:fill="CCEBF8"/>
          </w:tcPr>
          <w:p>
            <w:pPr>
              <w:jc w:val="center"/>
              <w:ind w:right="5"/>
              <w:spacing w:after="0"/>
              <w:rPr>
                <w:sz w:val="20"/>
                <w:szCs w:val="20"/>
                <w:color w:val="auto"/>
              </w:rPr>
            </w:pPr>
            <w:r>
              <w:rPr>
                <w:rFonts w:ascii="Arial" w:cs="Arial" w:eastAsia="Arial" w:hAnsi="Arial"/>
                <w:sz w:val="7"/>
                <w:szCs w:val="7"/>
                <w:b w:val="1"/>
                <w:bCs w:val="1"/>
                <w:color w:val="009BDE"/>
                <w:w w:val="98"/>
              </w:rPr>
              <w:t>Table</w:t>
            </w:r>
          </w:p>
        </w:tc>
        <w:tc>
          <w:tcPr>
            <w:tcW w:w="600" w:type="dxa"/>
            <w:vAlign w:val="bottom"/>
            <w:gridSpan w:val="3"/>
            <w:shd w:val="clear" w:color="auto" w:fill="CCEBF8"/>
          </w:tcPr>
          <w:p>
            <w:pPr>
              <w:jc w:val="right"/>
              <w:ind w:right="80"/>
              <w:spacing w:after="0"/>
              <w:rPr>
                <w:sz w:val="20"/>
                <w:szCs w:val="20"/>
                <w:color w:val="auto"/>
              </w:rPr>
            </w:pPr>
            <w:r>
              <w:rPr>
                <w:rFonts w:ascii="Arial" w:cs="Arial" w:eastAsia="Arial" w:hAnsi="Arial"/>
                <w:sz w:val="7"/>
                <w:szCs w:val="7"/>
                <w:b w:val="1"/>
                <w:bCs w:val="1"/>
                <w:color w:val="009BDE"/>
              </w:rPr>
              <w:t>Compensation</w:t>
            </w:r>
          </w:p>
        </w:tc>
        <w:tc>
          <w:tcPr>
            <w:tcW w:w="560" w:type="dxa"/>
            <w:vAlign w:val="bottom"/>
            <w:gridSpan w:val="2"/>
            <w:shd w:val="clear" w:color="auto" w:fill="CCEBF8"/>
          </w:tcPr>
          <w:p>
            <w:pPr>
              <w:jc w:val="center"/>
              <w:ind w:right="25"/>
              <w:spacing w:after="0"/>
              <w:rPr>
                <w:sz w:val="20"/>
                <w:szCs w:val="20"/>
                <w:color w:val="auto"/>
              </w:rPr>
            </w:pPr>
            <w:r>
              <w:rPr>
                <w:rFonts w:ascii="Arial" w:cs="Arial" w:eastAsia="Arial" w:hAnsi="Arial"/>
                <w:sz w:val="7"/>
                <w:szCs w:val="7"/>
                <w:b w:val="1"/>
                <w:bCs w:val="1"/>
                <w:color w:val="009BDE"/>
              </w:rPr>
              <w:t>Compensation</w:t>
            </w:r>
          </w:p>
        </w:tc>
        <w:tc>
          <w:tcPr>
            <w:tcW w:w="640" w:type="dxa"/>
            <w:vAlign w:val="bottom"/>
            <w:gridSpan w:val="3"/>
            <w:shd w:val="clear" w:color="auto" w:fill="CCEBF8"/>
          </w:tcPr>
          <w:p>
            <w:pPr>
              <w:jc w:val="center"/>
              <w:ind w:right="60"/>
              <w:spacing w:after="0"/>
              <w:rPr>
                <w:sz w:val="20"/>
                <w:szCs w:val="20"/>
                <w:color w:val="auto"/>
              </w:rPr>
            </w:pPr>
            <w:r>
              <w:rPr>
                <w:rFonts w:ascii="Arial" w:cs="Arial" w:eastAsia="Arial" w:hAnsi="Arial"/>
                <w:sz w:val="7"/>
                <w:szCs w:val="7"/>
                <w:b w:val="1"/>
                <w:bCs w:val="1"/>
                <w:color w:val="009BDE"/>
              </w:rPr>
              <w:t>Compensation</w:t>
            </w:r>
          </w:p>
        </w:tc>
        <w:tc>
          <w:tcPr>
            <w:tcW w:w="560" w:type="dxa"/>
            <w:vAlign w:val="bottom"/>
            <w:gridSpan w:val="2"/>
            <w:shd w:val="clear" w:color="auto" w:fill="CCEBF8"/>
          </w:tcPr>
          <w:p>
            <w:pPr>
              <w:jc w:val="center"/>
              <w:spacing w:after="0"/>
              <w:rPr>
                <w:sz w:val="20"/>
                <w:szCs w:val="20"/>
                <w:color w:val="auto"/>
              </w:rPr>
            </w:pPr>
            <w:r>
              <w:rPr>
                <w:rFonts w:ascii="Arial" w:cs="Arial" w:eastAsia="Arial" w:hAnsi="Arial"/>
                <w:sz w:val="7"/>
                <w:szCs w:val="7"/>
                <w:b w:val="1"/>
                <w:bCs w:val="1"/>
                <w:color w:val="009BDE"/>
              </w:rPr>
              <w:t>Compensation</w:t>
            </w:r>
          </w:p>
        </w:tc>
        <w:tc>
          <w:tcPr>
            <w:tcW w:w="580" w:type="dxa"/>
            <w:vAlign w:val="bottom"/>
            <w:gridSpan w:val="2"/>
            <w:shd w:val="clear" w:color="auto" w:fill="CCEBF8"/>
          </w:tcPr>
          <w:p>
            <w:pPr>
              <w:jc w:val="center"/>
              <w:spacing w:after="0"/>
              <w:rPr>
                <w:sz w:val="20"/>
                <w:szCs w:val="20"/>
                <w:color w:val="auto"/>
              </w:rPr>
            </w:pPr>
            <w:r>
              <w:rPr>
                <w:rFonts w:ascii="Arial" w:cs="Arial" w:eastAsia="Arial" w:hAnsi="Arial"/>
                <w:sz w:val="7"/>
                <w:szCs w:val="7"/>
                <w:b w:val="1"/>
                <w:bCs w:val="1"/>
                <w:color w:val="009BDE"/>
              </w:rPr>
              <w:t>Compensation</w:t>
            </w:r>
          </w:p>
        </w:tc>
        <w:tc>
          <w:tcPr>
            <w:tcW w:w="480" w:type="dxa"/>
            <w:vAlign w:val="bottom"/>
            <w:shd w:val="clear" w:color="auto" w:fill="CCEBF8"/>
          </w:tcPr>
          <w:p>
            <w:pPr>
              <w:jc w:val="center"/>
              <w:spacing w:after="0"/>
              <w:rPr>
                <w:sz w:val="20"/>
                <w:szCs w:val="20"/>
                <w:color w:val="auto"/>
              </w:rPr>
            </w:pPr>
            <w:r>
              <w:rPr>
                <w:rFonts w:ascii="Arial" w:cs="Arial" w:eastAsia="Arial" w:hAnsi="Arial"/>
                <w:sz w:val="7"/>
                <w:szCs w:val="7"/>
                <w:b w:val="1"/>
                <w:bCs w:val="1"/>
                <w:color w:val="009BDE"/>
              </w:rPr>
              <w:t>Average</w:t>
            </w:r>
          </w:p>
        </w:tc>
        <w:tc>
          <w:tcPr>
            <w:tcW w:w="440" w:type="dxa"/>
            <w:vAlign w:val="bottom"/>
            <w:shd w:val="clear" w:color="auto" w:fill="CCEBF8"/>
          </w:tcPr>
          <w:p>
            <w:pPr>
              <w:jc w:val="center"/>
              <w:spacing w:after="0"/>
              <w:rPr>
                <w:sz w:val="20"/>
                <w:szCs w:val="20"/>
                <w:color w:val="auto"/>
              </w:rPr>
            </w:pPr>
            <w:r>
              <w:rPr>
                <w:rFonts w:ascii="Arial" w:cs="Arial" w:eastAsia="Arial" w:hAnsi="Arial"/>
                <w:sz w:val="7"/>
                <w:szCs w:val="7"/>
                <w:b w:val="1"/>
                <w:bCs w:val="1"/>
                <w:color w:val="009BDE"/>
              </w:rPr>
              <w:t>Average</w:t>
            </w:r>
          </w:p>
        </w:tc>
        <w:tc>
          <w:tcPr>
            <w:tcW w:w="60" w:type="dxa"/>
            <w:vAlign w:val="bottom"/>
            <w:shd w:val="clear" w:color="auto" w:fill="CCEBF8"/>
          </w:tcPr>
          <w:p>
            <w:pPr>
              <w:spacing w:after="0"/>
              <w:rPr>
                <w:sz w:val="7"/>
                <w:szCs w:val="7"/>
                <w:color w:val="auto"/>
              </w:rPr>
            </w:pPr>
          </w:p>
        </w:tc>
        <w:tc>
          <w:tcPr>
            <w:tcW w:w="280" w:type="dxa"/>
            <w:vAlign w:val="bottom"/>
            <w:shd w:val="clear" w:color="auto" w:fill="CCEBF8"/>
          </w:tcPr>
          <w:p>
            <w:pPr>
              <w:spacing w:after="0"/>
              <w:rPr>
                <w:sz w:val="7"/>
                <w:szCs w:val="7"/>
                <w:color w:val="auto"/>
              </w:rPr>
            </w:pPr>
          </w:p>
        </w:tc>
        <w:tc>
          <w:tcPr>
            <w:tcW w:w="80" w:type="dxa"/>
            <w:vAlign w:val="bottom"/>
            <w:shd w:val="clear" w:color="auto" w:fill="CCEBF8"/>
          </w:tcPr>
          <w:p>
            <w:pPr>
              <w:spacing w:after="0"/>
              <w:rPr>
                <w:sz w:val="7"/>
                <w:szCs w:val="7"/>
                <w:color w:val="auto"/>
              </w:rPr>
            </w:pPr>
          </w:p>
        </w:tc>
        <w:tc>
          <w:tcPr>
            <w:tcW w:w="420" w:type="dxa"/>
            <w:vAlign w:val="bottom"/>
            <w:shd w:val="clear" w:color="auto" w:fill="CCEBF8"/>
          </w:tcPr>
          <w:p>
            <w:pPr>
              <w:jc w:val="center"/>
              <w:spacing w:after="0"/>
              <w:rPr>
                <w:sz w:val="20"/>
                <w:szCs w:val="20"/>
                <w:color w:val="auto"/>
              </w:rPr>
            </w:pPr>
            <w:r>
              <w:rPr>
                <w:rFonts w:ascii="Arial" w:cs="Arial" w:eastAsia="Arial" w:hAnsi="Arial"/>
                <w:sz w:val="7"/>
                <w:szCs w:val="7"/>
                <w:b w:val="1"/>
                <w:bCs w:val="1"/>
                <w:color w:val="009BDE"/>
              </w:rPr>
              <w:t>1000</w:t>
            </w:r>
          </w:p>
        </w:tc>
        <w:tc>
          <w:tcPr>
            <w:tcW w:w="40" w:type="dxa"/>
            <w:vAlign w:val="bottom"/>
            <w:shd w:val="clear" w:color="auto" w:fill="CCEBF8"/>
          </w:tcPr>
          <w:p>
            <w:pPr>
              <w:spacing w:after="0"/>
              <w:rPr>
                <w:sz w:val="7"/>
                <w:szCs w:val="7"/>
                <w:color w:val="auto"/>
              </w:rPr>
            </w:pPr>
          </w:p>
        </w:tc>
        <w:tc>
          <w:tcPr>
            <w:tcW w:w="540" w:type="dxa"/>
            <w:vAlign w:val="bottom"/>
            <w:shd w:val="clear" w:color="auto" w:fill="CCEBF8"/>
          </w:tcPr>
          <w:p>
            <w:pPr>
              <w:spacing w:after="0"/>
              <w:rPr>
                <w:sz w:val="7"/>
                <w:szCs w:val="7"/>
                <w:color w:val="auto"/>
              </w:rPr>
            </w:pPr>
          </w:p>
        </w:tc>
        <w:tc>
          <w:tcPr>
            <w:tcW w:w="80" w:type="dxa"/>
            <w:vAlign w:val="bottom"/>
            <w:shd w:val="clear" w:color="auto" w:fill="CCEBF8"/>
          </w:tcPr>
          <w:p>
            <w:pPr>
              <w:spacing w:after="0"/>
              <w:rPr>
                <w:sz w:val="7"/>
                <w:szCs w:val="7"/>
                <w:color w:val="auto"/>
              </w:rPr>
            </w:pPr>
          </w:p>
        </w:tc>
        <w:tc>
          <w:tcPr>
            <w:tcW w:w="500" w:type="dxa"/>
            <w:vAlign w:val="bottom"/>
            <w:shd w:val="clear" w:color="auto" w:fill="CCEBF8"/>
          </w:tcPr>
          <w:p>
            <w:pPr>
              <w:spacing w:after="0"/>
              <w:rPr>
                <w:sz w:val="7"/>
                <w:szCs w:val="7"/>
                <w:color w:val="auto"/>
              </w:rPr>
            </w:pPr>
          </w:p>
        </w:tc>
        <w:tc>
          <w:tcPr>
            <w:tcW w:w="40" w:type="dxa"/>
            <w:vAlign w:val="bottom"/>
            <w:shd w:val="clear" w:color="auto" w:fill="CCEBF8"/>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shd w:val="clear" w:color="auto" w:fill="CCEBF8"/>
          </w:tcPr>
          <w:p>
            <w:pPr>
              <w:spacing w:after="0"/>
              <w:rPr>
                <w:sz w:val="7"/>
                <w:szCs w:val="7"/>
                <w:color w:val="auto"/>
              </w:rPr>
            </w:pPr>
          </w:p>
        </w:tc>
        <w:tc>
          <w:tcPr>
            <w:tcW w:w="20" w:type="dxa"/>
            <w:vAlign w:val="bottom"/>
            <w:shd w:val="clear" w:color="auto" w:fill="CCEBF8"/>
          </w:tcPr>
          <w:p>
            <w:pPr>
              <w:spacing w:after="0"/>
              <w:rPr>
                <w:sz w:val="7"/>
                <w:szCs w:val="7"/>
                <w:color w:val="auto"/>
              </w:rPr>
            </w:pPr>
          </w:p>
        </w:tc>
        <w:tc>
          <w:tcPr>
            <w:tcW w:w="740" w:type="dxa"/>
            <w:vAlign w:val="bottom"/>
            <w:shd w:val="clear" w:color="auto" w:fill="CCEBF8"/>
          </w:tcPr>
          <w:p>
            <w:pPr>
              <w:jc w:val="center"/>
              <w:ind w:right="25"/>
              <w:spacing w:after="0"/>
              <w:rPr>
                <w:sz w:val="20"/>
                <w:szCs w:val="20"/>
                <w:color w:val="auto"/>
              </w:rPr>
            </w:pPr>
            <w:r>
              <w:rPr>
                <w:rFonts w:ascii="Arial" w:cs="Arial" w:eastAsia="Arial" w:hAnsi="Arial"/>
                <w:sz w:val="7"/>
                <w:szCs w:val="7"/>
                <w:b w:val="1"/>
                <w:bCs w:val="1"/>
                <w:color w:val="009BDE"/>
              </w:rPr>
              <w:t>(SCT)</w:t>
            </w:r>
          </w:p>
        </w:tc>
        <w:tc>
          <w:tcPr>
            <w:tcW w:w="600" w:type="dxa"/>
            <w:vAlign w:val="bottom"/>
            <w:gridSpan w:val="3"/>
            <w:shd w:val="clear" w:color="auto" w:fill="CCEBF8"/>
          </w:tcPr>
          <w:p>
            <w:pPr>
              <w:jc w:val="center"/>
              <w:ind w:right="80"/>
              <w:spacing w:after="0"/>
              <w:rPr>
                <w:sz w:val="20"/>
                <w:szCs w:val="20"/>
                <w:color w:val="auto"/>
              </w:rPr>
            </w:pPr>
            <w:r>
              <w:rPr>
                <w:rFonts w:ascii="Arial" w:cs="Arial" w:eastAsia="Arial" w:hAnsi="Arial"/>
                <w:sz w:val="7"/>
                <w:szCs w:val="7"/>
                <w:b w:val="1"/>
                <w:bCs w:val="1"/>
                <w:color w:val="009BDE"/>
                <w:w w:val="99"/>
              </w:rPr>
              <w:t>Actually Paid</w:t>
            </w:r>
          </w:p>
        </w:tc>
        <w:tc>
          <w:tcPr>
            <w:tcW w:w="60" w:type="dxa"/>
            <w:vAlign w:val="bottom"/>
            <w:shd w:val="clear" w:color="auto" w:fill="CCEBF8"/>
          </w:tcPr>
          <w:p>
            <w:pPr>
              <w:spacing w:after="0"/>
              <w:rPr>
                <w:sz w:val="7"/>
                <w:szCs w:val="7"/>
                <w:color w:val="auto"/>
              </w:rPr>
            </w:pPr>
          </w:p>
        </w:tc>
        <w:tc>
          <w:tcPr>
            <w:tcW w:w="500" w:type="dxa"/>
            <w:vAlign w:val="bottom"/>
            <w:shd w:val="clear" w:color="auto" w:fill="CCEBF8"/>
          </w:tcPr>
          <w:p>
            <w:pPr>
              <w:jc w:val="center"/>
              <w:ind w:right="85"/>
              <w:spacing w:after="0"/>
              <w:rPr>
                <w:sz w:val="20"/>
                <w:szCs w:val="20"/>
                <w:color w:val="auto"/>
              </w:rPr>
            </w:pPr>
            <w:r>
              <w:rPr>
                <w:rFonts w:ascii="Arial" w:cs="Arial" w:eastAsia="Arial" w:hAnsi="Arial"/>
                <w:sz w:val="7"/>
                <w:szCs w:val="7"/>
                <w:b w:val="1"/>
                <w:bCs w:val="1"/>
                <w:color w:val="009BDE"/>
                <w:w w:val="98"/>
              </w:rPr>
              <w:t>Table</w:t>
            </w:r>
          </w:p>
        </w:tc>
        <w:tc>
          <w:tcPr>
            <w:tcW w:w="640" w:type="dxa"/>
            <w:vAlign w:val="bottom"/>
            <w:gridSpan w:val="3"/>
            <w:shd w:val="clear" w:color="auto" w:fill="CCEBF8"/>
          </w:tcPr>
          <w:p>
            <w:pPr>
              <w:jc w:val="center"/>
              <w:ind w:right="60"/>
              <w:spacing w:after="0"/>
              <w:rPr>
                <w:sz w:val="20"/>
                <w:szCs w:val="20"/>
                <w:color w:val="auto"/>
              </w:rPr>
            </w:pPr>
            <w:r>
              <w:rPr>
                <w:rFonts w:ascii="Arial" w:cs="Arial" w:eastAsia="Arial" w:hAnsi="Arial"/>
                <w:sz w:val="7"/>
                <w:szCs w:val="7"/>
                <w:b w:val="1"/>
                <w:bCs w:val="1"/>
                <w:color w:val="009BDE"/>
              </w:rPr>
              <w:t>Actually Paid</w:t>
            </w:r>
          </w:p>
        </w:tc>
        <w:tc>
          <w:tcPr>
            <w:tcW w:w="80" w:type="dxa"/>
            <w:vAlign w:val="bottom"/>
            <w:shd w:val="clear" w:color="auto" w:fill="CCEBF8"/>
          </w:tcPr>
          <w:p>
            <w:pPr>
              <w:spacing w:after="0"/>
              <w:rPr>
                <w:sz w:val="7"/>
                <w:szCs w:val="7"/>
                <w:color w:val="auto"/>
              </w:rPr>
            </w:pPr>
          </w:p>
        </w:tc>
        <w:tc>
          <w:tcPr>
            <w:tcW w:w="480" w:type="dxa"/>
            <w:vAlign w:val="bottom"/>
            <w:shd w:val="clear" w:color="auto" w:fill="CCEBF8"/>
          </w:tcPr>
          <w:p>
            <w:pPr>
              <w:jc w:val="center"/>
              <w:ind w:right="65"/>
              <w:spacing w:after="0"/>
              <w:rPr>
                <w:sz w:val="20"/>
                <w:szCs w:val="20"/>
                <w:color w:val="auto"/>
              </w:rPr>
            </w:pPr>
            <w:r>
              <w:rPr>
                <w:rFonts w:ascii="Arial" w:cs="Arial" w:eastAsia="Arial" w:hAnsi="Arial"/>
                <w:sz w:val="7"/>
                <w:szCs w:val="7"/>
                <w:b w:val="1"/>
                <w:bCs w:val="1"/>
                <w:color w:val="009BDE"/>
                <w:w w:val="98"/>
              </w:rPr>
              <w:t>Table</w:t>
            </w:r>
          </w:p>
        </w:tc>
        <w:tc>
          <w:tcPr>
            <w:tcW w:w="580" w:type="dxa"/>
            <w:vAlign w:val="bottom"/>
            <w:gridSpan w:val="2"/>
            <w:shd w:val="clear" w:color="auto" w:fill="CCEBF8"/>
          </w:tcPr>
          <w:p>
            <w:pPr>
              <w:jc w:val="center"/>
              <w:spacing w:after="0"/>
              <w:rPr>
                <w:sz w:val="20"/>
                <w:szCs w:val="20"/>
                <w:color w:val="auto"/>
              </w:rPr>
            </w:pPr>
            <w:r>
              <w:rPr>
                <w:rFonts w:ascii="Arial" w:cs="Arial" w:eastAsia="Arial" w:hAnsi="Arial"/>
                <w:sz w:val="7"/>
                <w:szCs w:val="7"/>
                <w:b w:val="1"/>
                <w:bCs w:val="1"/>
                <w:color w:val="009BDE"/>
              </w:rPr>
              <w:t>Actually Paid</w:t>
            </w:r>
          </w:p>
        </w:tc>
        <w:tc>
          <w:tcPr>
            <w:tcW w:w="480" w:type="dxa"/>
            <w:vAlign w:val="bottom"/>
            <w:shd w:val="clear" w:color="auto" w:fill="CCEBF8"/>
          </w:tcPr>
          <w:p>
            <w:pPr>
              <w:jc w:val="center"/>
              <w:spacing w:after="0"/>
              <w:rPr>
                <w:sz w:val="20"/>
                <w:szCs w:val="20"/>
                <w:color w:val="auto"/>
              </w:rPr>
            </w:pPr>
            <w:r>
              <w:rPr>
                <w:rFonts w:ascii="Arial" w:cs="Arial" w:eastAsia="Arial" w:hAnsi="Arial"/>
                <w:sz w:val="7"/>
                <w:szCs w:val="7"/>
                <w:b w:val="1"/>
                <w:bCs w:val="1"/>
                <w:color w:val="009BDE"/>
                <w:w w:val="97"/>
              </w:rPr>
              <w:t>SCT Total</w:t>
            </w:r>
          </w:p>
        </w:tc>
        <w:tc>
          <w:tcPr>
            <w:tcW w:w="440" w:type="dxa"/>
            <w:vAlign w:val="bottom"/>
            <w:shd w:val="clear" w:color="auto" w:fill="CCEBF8"/>
          </w:tcPr>
          <w:p>
            <w:pPr>
              <w:jc w:val="center"/>
              <w:spacing w:after="0"/>
              <w:rPr>
                <w:sz w:val="20"/>
                <w:szCs w:val="20"/>
                <w:color w:val="auto"/>
              </w:rPr>
            </w:pPr>
            <w:r>
              <w:rPr>
                <w:rFonts w:ascii="Arial" w:cs="Arial" w:eastAsia="Arial" w:hAnsi="Arial"/>
                <w:sz w:val="7"/>
                <w:szCs w:val="7"/>
                <w:b w:val="1"/>
                <w:bCs w:val="1"/>
                <w:color w:val="009BDE"/>
              </w:rPr>
              <w:t>CAP to</w:t>
            </w:r>
          </w:p>
        </w:tc>
        <w:tc>
          <w:tcPr>
            <w:tcW w:w="60" w:type="dxa"/>
            <w:vAlign w:val="bottom"/>
            <w:shd w:val="clear" w:color="auto" w:fill="CCEBF8"/>
          </w:tcPr>
          <w:p>
            <w:pPr>
              <w:spacing w:after="0"/>
              <w:rPr>
                <w:sz w:val="7"/>
                <w:szCs w:val="7"/>
                <w:color w:val="auto"/>
              </w:rPr>
            </w:pPr>
          </w:p>
        </w:tc>
        <w:tc>
          <w:tcPr>
            <w:tcW w:w="280" w:type="dxa"/>
            <w:vAlign w:val="bottom"/>
            <w:shd w:val="clear" w:color="auto" w:fill="CCEBF8"/>
          </w:tcPr>
          <w:p>
            <w:pPr>
              <w:spacing w:after="0"/>
              <w:rPr>
                <w:sz w:val="7"/>
                <w:szCs w:val="7"/>
                <w:color w:val="auto"/>
              </w:rPr>
            </w:pPr>
          </w:p>
        </w:tc>
        <w:tc>
          <w:tcPr>
            <w:tcW w:w="80" w:type="dxa"/>
            <w:vAlign w:val="bottom"/>
            <w:shd w:val="clear" w:color="auto" w:fill="CCEBF8"/>
          </w:tcPr>
          <w:p>
            <w:pPr>
              <w:spacing w:after="0"/>
              <w:rPr>
                <w:sz w:val="7"/>
                <w:szCs w:val="7"/>
                <w:color w:val="auto"/>
              </w:rPr>
            </w:pPr>
          </w:p>
        </w:tc>
        <w:tc>
          <w:tcPr>
            <w:tcW w:w="460" w:type="dxa"/>
            <w:vAlign w:val="bottom"/>
            <w:gridSpan w:val="2"/>
            <w:shd w:val="clear" w:color="auto" w:fill="CCEBF8"/>
          </w:tcPr>
          <w:p>
            <w:pPr>
              <w:jc w:val="center"/>
              <w:ind w:right="60"/>
              <w:spacing w:after="0"/>
              <w:rPr>
                <w:sz w:val="20"/>
                <w:szCs w:val="20"/>
                <w:color w:val="auto"/>
              </w:rPr>
            </w:pPr>
            <w:r>
              <w:rPr>
                <w:rFonts w:ascii="Arial" w:cs="Arial" w:eastAsia="Arial" w:hAnsi="Arial"/>
                <w:sz w:val="7"/>
                <w:szCs w:val="7"/>
                <w:b w:val="1"/>
                <w:bCs w:val="1"/>
                <w:color w:val="009BDE"/>
              </w:rPr>
              <w:t>Consumer</w:t>
            </w:r>
          </w:p>
        </w:tc>
        <w:tc>
          <w:tcPr>
            <w:tcW w:w="540" w:type="dxa"/>
            <w:vAlign w:val="bottom"/>
            <w:shd w:val="clear" w:color="auto" w:fill="CCEBF8"/>
          </w:tcPr>
          <w:p>
            <w:pPr>
              <w:spacing w:after="0"/>
              <w:rPr>
                <w:sz w:val="7"/>
                <w:szCs w:val="7"/>
                <w:color w:val="auto"/>
              </w:rPr>
            </w:pPr>
          </w:p>
        </w:tc>
        <w:tc>
          <w:tcPr>
            <w:tcW w:w="80" w:type="dxa"/>
            <w:vAlign w:val="bottom"/>
            <w:shd w:val="clear" w:color="auto" w:fill="CCEBF8"/>
          </w:tcPr>
          <w:p>
            <w:pPr>
              <w:spacing w:after="0"/>
              <w:rPr>
                <w:sz w:val="7"/>
                <w:szCs w:val="7"/>
                <w:color w:val="auto"/>
              </w:rPr>
            </w:pPr>
          </w:p>
        </w:tc>
        <w:tc>
          <w:tcPr>
            <w:tcW w:w="500" w:type="dxa"/>
            <w:vAlign w:val="bottom"/>
            <w:shd w:val="clear" w:color="auto" w:fill="CCEBF8"/>
          </w:tcPr>
          <w:p>
            <w:pPr>
              <w:spacing w:after="0"/>
              <w:rPr>
                <w:sz w:val="7"/>
                <w:szCs w:val="7"/>
                <w:color w:val="auto"/>
              </w:rPr>
            </w:pPr>
          </w:p>
        </w:tc>
        <w:tc>
          <w:tcPr>
            <w:tcW w:w="40" w:type="dxa"/>
            <w:vAlign w:val="bottom"/>
            <w:shd w:val="clear" w:color="auto" w:fill="CCEBF8"/>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shd w:val="clear" w:color="auto" w:fill="CCEBF8"/>
          </w:tcPr>
          <w:p>
            <w:pPr>
              <w:spacing w:after="0"/>
              <w:rPr>
                <w:sz w:val="7"/>
                <w:szCs w:val="7"/>
                <w:color w:val="auto"/>
              </w:rPr>
            </w:pPr>
          </w:p>
        </w:tc>
        <w:tc>
          <w:tcPr>
            <w:tcW w:w="20" w:type="dxa"/>
            <w:vAlign w:val="bottom"/>
            <w:shd w:val="clear" w:color="auto" w:fill="CCEBF8"/>
          </w:tcPr>
          <w:p>
            <w:pPr>
              <w:spacing w:after="0"/>
              <w:rPr>
                <w:sz w:val="7"/>
                <w:szCs w:val="7"/>
                <w:color w:val="auto"/>
              </w:rPr>
            </w:pPr>
          </w:p>
        </w:tc>
        <w:tc>
          <w:tcPr>
            <w:tcW w:w="740" w:type="dxa"/>
            <w:vAlign w:val="bottom"/>
            <w:shd w:val="clear" w:color="auto" w:fill="CCEBF8"/>
          </w:tcPr>
          <w:p>
            <w:pPr>
              <w:jc w:val="center"/>
              <w:ind w:right="25"/>
              <w:spacing w:after="0"/>
              <w:rPr>
                <w:sz w:val="20"/>
                <w:szCs w:val="20"/>
                <w:color w:val="auto"/>
              </w:rPr>
            </w:pPr>
            <w:r>
              <w:rPr>
                <w:rFonts w:ascii="Arial" w:cs="Arial" w:eastAsia="Arial" w:hAnsi="Arial"/>
                <w:sz w:val="7"/>
                <w:szCs w:val="7"/>
                <w:b w:val="1"/>
                <w:bCs w:val="1"/>
                <w:color w:val="009BDE"/>
              </w:rPr>
              <w:t>For</w:t>
            </w:r>
          </w:p>
        </w:tc>
        <w:tc>
          <w:tcPr>
            <w:tcW w:w="100" w:type="dxa"/>
            <w:vAlign w:val="bottom"/>
            <w:shd w:val="clear" w:color="auto" w:fill="CCEBF8"/>
          </w:tcPr>
          <w:p>
            <w:pPr>
              <w:spacing w:after="0"/>
              <w:rPr>
                <w:sz w:val="7"/>
                <w:szCs w:val="7"/>
                <w:color w:val="auto"/>
              </w:rPr>
            </w:pPr>
          </w:p>
        </w:tc>
        <w:tc>
          <w:tcPr>
            <w:tcW w:w="500" w:type="dxa"/>
            <w:vAlign w:val="bottom"/>
            <w:gridSpan w:val="2"/>
            <w:shd w:val="clear" w:color="auto" w:fill="CCEBF8"/>
          </w:tcPr>
          <w:p>
            <w:pPr>
              <w:jc w:val="center"/>
              <w:ind w:right="180"/>
              <w:spacing w:after="0"/>
              <w:rPr>
                <w:sz w:val="20"/>
                <w:szCs w:val="20"/>
                <w:color w:val="auto"/>
              </w:rPr>
            </w:pPr>
            <w:r>
              <w:rPr>
                <w:rFonts w:ascii="Arial" w:cs="Arial" w:eastAsia="Arial" w:hAnsi="Arial"/>
                <w:sz w:val="7"/>
                <w:szCs w:val="7"/>
                <w:b w:val="1"/>
                <w:bCs w:val="1"/>
                <w:color w:val="009BDE"/>
              </w:rPr>
              <w:t>(CAP)</w:t>
            </w:r>
          </w:p>
        </w:tc>
        <w:tc>
          <w:tcPr>
            <w:tcW w:w="60" w:type="dxa"/>
            <w:vAlign w:val="bottom"/>
            <w:shd w:val="clear" w:color="auto" w:fill="CCEBF8"/>
          </w:tcPr>
          <w:p>
            <w:pPr>
              <w:spacing w:after="0"/>
              <w:rPr>
                <w:sz w:val="7"/>
                <w:szCs w:val="7"/>
                <w:color w:val="auto"/>
              </w:rPr>
            </w:pPr>
          </w:p>
        </w:tc>
        <w:tc>
          <w:tcPr>
            <w:tcW w:w="500" w:type="dxa"/>
            <w:vAlign w:val="bottom"/>
            <w:shd w:val="clear" w:color="auto" w:fill="CCEBF8"/>
          </w:tcPr>
          <w:p>
            <w:pPr>
              <w:jc w:val="center"/>
              <w:ind w:right="65"/>
              <w:spacing w:after="0"/>
              <w:rPr>
                <w:sz w:val="20"/>
                <w:szCs w:val="20"/>
                <w:color w:val="auto"/>
              </w:rPr>
            </w:pPr>
            <w:r>
              <w:rPr>
                <w:rFonts w:ascii="Arial" w:cs="Arial" w:eastAsia="Arial" w:hAnsi="Arial"/>
                <w:sz w:val="7"/>
                <w:szCs w:val="7"/>
                <w:b w:val="1"/>
                <w:bCs w:val="1"/>
                <w:color w:val="009BDE"/>
              </w:rPr>
              <w:t>(SCT) For</w:t>
            </w:r>
          </w:p>
        </w:tc>
        <w:tc>
          <w:tcPr>
            <w:tcW w:w="160" w:type="dxa"/>
            <w:vAlign w:val="bottom"/>
            <w:shd w:val="clear" w:color="auto" w:fill="CCEBF8"/>
          </w:tcPr>
          <w:p>
            <w:pPr>
              <w:spacing w:after="0"/>
              <w:rPr>
                <w:sz w:val="7"/>
                <w:szCs w:val="7"/>
                <w:color w:val="auto"/>
              </w:rPr>
            </w:pPr>
          </w:p>
        </w:tc>
        <w:tc>
          <w:tcPr>
            <w:tcW w:w="480" w:type="dxa"/>
            <w:vAlign w:val="bottom"/>
            <w:gridSpan w:val="2"/>
            <w:shd w:val="clear" w:color="auto" w:fill="CCEBF8"/>
          </w:tcPr>
          <w:p>
            <w:pPr>
              <w:jc w:val="center"/>
              <w:ind w:right="200"/>
              <w:spacing w:after="0"/>
              <w:rPr>
                <w:sz w:val="20"/>
                <w:szCs w:val="20"/>
                <w:color w:val="auto"/>
              </w:rPr>
            </w:pPr>
            <w:r>
              <w:rPr>
                <w:rFonts w:ascii="Arial" w:cs="Arial" w:eastAsia="Arial" w:hAnsi="Arial"/>
                <w:sz w:val="7"/>
                <w:szCs w:val="7"/>
                <w:b w:val="1"/>
                <w:bCs w:val="1"/>
                <w:color w:val="009BDE"/>
              </w:rPr>
              <w:t>(CAP)</w:t>
            </w:r>
          </w:p>
        </w:tc>
        <w:tc>
          <w:tcPr>
            <w:tcW w:w="80" w:type="dxa"/>
            <w:vAlign w:val="bottom"/>
            <w:shd w:val="clear" w:color="auto" w:fill="CCEBF8"/>
          </w:tcPr>
          <w:p>
            <w:pPr>
              <w:spacing w:after="0"/>
              <w:rPr>
                <w:sz w:val="7"/>
                <w:szCs w:val="7"/>
                <w:color w:val="auto"/>
              </w:rPr>
            </w:pPr>
          </w:p>
        </w:tc>
        <w:tc>
          <w:tcPr>
            <w:tcW w:w="480" w:type="dxa"/>
            <w:vAlign w:val="bottom"/>
            <w:shd w:val="clear" w:color="auto" w:fill="CCEBF8"/>
          </w:tcPr>
          <w:p>
            <w:pPr>
              <w:jc w:val="center"/>
              <w:ind w:right="85"/>
              <w:spacing w:after="0"/>
              <w:rPr>
                <w:sz w:val="20"/>
                <w:szCs w:val="20"/>
                <w:color w:val="auto"/>
              </w:rPr>
            </w:pPr>
            <w:r>
              <w:rPr>
                <w:rFonts w:ascii="Arial" w:cs="Arial" w:eastAsia="Arial" w:hAnsi="Arial"/>
                <w:sz w:val="7"/>
                <w:szCs w:val="7"/>
                <w:b w:val="1"/>
                <w:bCs w:val="1"/>
                <w:color w:val="009BDE"/>
              </w:rPr>
              <w:t>(SCT) For</w:t>
            </w:r>
          </w:p>
        </w:tc>
        <w:tc>
          <w:tcPr>
            <w:tcW w:w="140" w:type="dxa"/>
            <w:vAlign w:val="bottom"/>
            <w:shd w:val="clear" w:color="auto" w:fill="CCEBF8"/>
          </w:tcPr>
          <w:p>
            <w:pPr>
              <w:spacing w:after="0"/>
              <w:rPr>
                <w:sz w:val="7"/>
                <w:szCs w:val="7"/>
                <w:color w:val="auto"/>
              </w:rPr>
            </w:pPr>
          </w:p>
        </w:tc>
        <w:tc>
          <w:tcPr>
            <w:tcW w:w="440" w:type="dxa"/>
            <w:vAlign w:val="bottom"/>
            <w:shd w:val="clear" w:color="auto" w:fill="CCEBF8"/>
          </w:tcPr>
          <w:p>
            <w:pPr>
              <w:jc w:val="center"/>
              <w:ind w:right="84"/>
              <w:spacing w:after="0"/>
              <w:rPr>
                <w:sz w:val="20"/>
                <w:szCs w:val="20"/>
                <w:color w:val="auto"/>
              </w:rPr>
            </w:pPr>
            <w:r>
              <w:rPr>
                <w:rFonts w:ascii="Arial" w:cs="Arial" w:eastAsia="Arial" w:hAnsi="Arial"/>
                <w:sz w:val="7"/>
                <w:szCs w:val="7"/>
                <w:b w:val="1"/>
                <w:bCs w:val="1"/>
                <w:color w:val="009BDE"/>
              </w:rPr>
              <w:t>(CAP)</w:t>
            </w:r>
          </w:p>
        </w:tc>
        <w:tc>
          <w:tcPr>
            <w:tcW w:w="480" w:type="dxa"/>
            <w:vAlign w:val="bottom"/>
            <w:shd w:val="clear" w:color="auto" w:fill="CCEBF8"/>
          </w:tcPr>
          <w:p>
            <w:pPr>
              <w:jc w:val="center"/>
              <w:spacing w:after="0"/>
              <w:rPr>
                <w:sz w:val="20"/>
                <w:szCs w:val="20"/>
                <w:color w:val="auto"/>
              </w:rPr>
            </w:pPr>
            <w:r>
              <w:rPr>
                <w:rFonts w:ascii="Arial" w:cs="Arial" w:eastAsia="Arial" w:hAnsi="Arial"/>
                <w:sz w:val="7"/>
                <w:szCs w:val="7"/>
                <w:b w:val="1"/>
                <w:bCs w:val="1"/>
                <w:color w:val="009BDE"/>
              </w:rPr>
              <w:t>for Other</w:t>
            </w:r>
          </w:p>
        </w:tc>
        <w:tc>
          <w:tcPr>
            <w:tcW w:w="440" w:type="dxa"/>
            <w:vAlign w:val="bottom"/>
            <w:shd w:val="clear" w:color="auto" w:fill="CCEBF8"/>
          </w:tcPr>
          <w:p>
            <w:pPr>
              <w:jc w:val="center"/>
              <w:spacing w:after="0"/>
              <w:rPr>
                <w:sz w:val="20"/>
                <w:szCs w:val="20"/>
                <w:color w:val="auto"/>
              </w:rPr>
            </w:pPr>
            <w:r>
              <w:rPr>
                <w:rFonts w:ascii="Arial" w:cs="Arial" w:eastAsia="Arial" w:hAnsi="Arial"/>
                <w:sz w:val="7"/>
                <w:szCs w:val="7"/>
                <w:b w:val="1"/>
                <w:bCs w:val="1"/>
                <w:color w:val="009BDE"/>
              </w:rPr>
              <w:t>Other</w:t>
            </w:r>
          </w:p>
        </w:tc>
        <w:tc>
          <w:tcPr>
            <w:tcW w:w="60" w:type="dxa"/>
            <w:vAlign w:val="bottom"/>
            <w:shd w:val="clear" w:color="auto" w:fill="CCEBF8"/>
          </w:tcPr>
          <w:p>
            <w:pPr>
              <w:spacing w:after="0"/>
              <w:rPr>
                <w:sz w:val="7"/>
                <w:szCs w:val="7"/>
                <w:color w:val="auto"/>
              </w:rPr>
            </w:pPr>
          </w:p>
        </w:tc>
        <w:tc>
          <w:tcPr>
            <w:tcW w:w="280" w:type="dxa"/>
            <w:vAlign w:val="bottom"/>
            <w:shd w:val="clear" w:color="auto" w:fill="CCEBF8"/>
          </w:tcPr>
          <w:p>
            <w:pPr>
              <w:jc w:val="center"/>
              <w:ind w:right="24"/>
              <w:spacing w:after="0"/>
              <w:rPr>
                <w:sz w:val="20"/>
                <w:szCs w:val="20"/>
                <w:color w:val="auto"/>
              </w:rPr>
            </w:pPr>
            <w:r>
              <w:rPr>
                <w:rFonts w:ascii="Arial" w:cs="Arial" w:eastAsia="Arial" w:hAnsi="Arial"/>
                <w:sz w:val="7"/>
                <w:szCs w:val="7"/>
                <w:b w:val="1"/>
                <w:bCs w:val="1"/>
                <w:color w:val="009BDE"/>
                <w:w w:val="99"/>
              </w:rPr>
              <w:t>TSR</w:t>
            </w:r>
          </w:p>
        </w:tc>
        <w:tc>
          <w:tcPr>
            <w:tcW w:w="540" w:type="dxa"/>
            <w:vAlign w:val="bottom"/>
            <w:gridSpan w:val="3"/>
            <w:shd w:val="clear" w:color="auto" w:fill="CCEBF8"/>
          </w:tcPr>
          <w:p>
            <w:pPr>
              <w:jc w:val="center"/>
              <w:spacing w:after="0"/>
              <w:rPr>
                <w:sz w:val="20"/>
                <w:szCs w:val="20"/>
                <w:color w:val="auto"/>
              </w:rPr>
            </w:pPr>
            <w:r>
              <w:rPr>
                <w:rFonts w:ascii="Arial" w:cs="Arial" w:eastAsia="Arial" w:hAnsi="Arial"/>
                <w:sz w:val="7"/>
                <w:szCs w:val="7"/>
                <w:b w:val="1"/>
                <w:bCs w:val="1"/>
                <w:color w:val="009BDE"/>
              </w:rPr>
              <w:t>Discretionary</w:t>
            </w:r>
          </w:p>
        </w:tc>
        <w:tc>
          <w:tcPr>
            <w:tcW w:w="540" w:type="dxa"/>
            <w:vAlign w:val="bottom"/>
            <w:shd w:val="clear" w:color="auto" w:fill="CCEBF8"/>
          </w:tcPr>
          <w:p>
            <w:pPr>
              <w:jc w:val="center"/>
              <w:ind w:right="4"/>
              <w:spacing w:after="0"/>
              <w:rPr>
                <w:sz w:val="20"/>
                <w:szCs w:val="20"/>
                <w:color w:val="auto"/>
              </w:rPr>
            </w:pPr>
            <w:r>
              <w:rPr>
                <w:rFonts w:ascii="Arial" w:cs="Arial" w:eastAsia="Arial" w:hAnsi="Arial"/>
                <w:sz w:val="7"/>
                <w:szCs w:val="7"/>
                <w:b w:val="1"/>
                <w:bCs w:val="1"/>
                <w:color w:val="009BDE"/>
              </w:rPr>
              <w:t>Net Income</w:t>
            </w:r>
          </w:p>
        </w:tc>
        <w:tc>
          <w:tcPr>
            <w:tcW w:w="80" w:type="dxa"/>
            <w:vAlign w:val="bottom"/>
            <w:shd w:val="clear" w:color="auto" w:fill="CCEBF8"/>
          </w:tcPr>
          <w:p>
            <w:pPr>
              <w:spacing w:after="0"/>
              <w:rPr>
                <w:sz w:val="7"/>
                <w:szCs w:val="7"/>
                <w:color w:val="auto"/>
              </w:rPr>
            </w:pPr>
          </w:p>
        </w:tc>
        <w:tc>
          <w:tcPr>
            <w:tcW w:w="500" w:type="dxa"/>
            <w:vAlign w:val="bottom"/>
            <w:shd w:val="clear" w:color="auto" w:fill="CCEBF8"/>
          </w:tcPr>
          <w:p>
            <w:pPr>
              <w:spacing w:after="0"/>
              <w:rPr>
                <w:sz w:val="7"/>
                <w:szCs w:val="7"/>
                <w:color w:val="auto"/>
              </w:rPr>
            </w:pPr>
          </w:p>
        </w:tc>
        <w:tc>
          <w:tcPr>
            <w:tcW w:w="40" w:type="dxa"/>
            <w:vAlign w:val="bottom"/>
            <w:shd w:val="clear" w:color="auto" w:fill="CCEBF8"/>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shd w:val="clear" w:color="auto" w:fill="CCEBF8"/>
          </w:tcPr>
          <w:p>
            <w:pPr>
              <w:jc w:val="right"/>
              <w:ind w:right="444"/>
              <w:spacing w:after="0"/>
              <w:rPr>
                <w:sz w:val="20"/>
                <w:szCs w:val="20"/>
                <w:color w:val="auto"/>
              </w:rPr>
            </w:pPr>
            <w:r>
              <w:rPr>
                <w:rFonts w:ascii="Arial" w:cs="Arial" w:eastAsia="Arial" w:hAnsi="Arial"/>
                <w:sz w:val="7"/>
                <w:szCs w:val="7"/>
                <w:b w:val="1"/>
                <w:bCs w:val="1"/>
                <w:color w:val="009BDE"/>
                <w:w w:val="89"/>
              </w:rPr>
              <w:t>Year</w:t>
            </w:r>
            <w:r>
              <w:rPr>
                <w:rFonts w:ascii="Arial" w:cs="Arial" w:eastAsia="Arial" w:hAnsi="Arial"/>
                <w:sz w:val="4"/>
                <w:szCs w:val="4"/>
                <w:b w:val="1"/>
                <w:bCs w:val="1"/>
                <w:color w:val="009BDE"/>
                <w:w w:val="89"/>
              </w:rPr>
              <w:t>(1)</w:t>
            </w:r>
          </w:p>
        </w:tc>
        <w:tc>
          <w:tcPr>
            <w:tcW w:w="20" w:type="dxa"/>
            <w:vAlign w:val="bottom"/>
            <w:shd w:val="clear" w:color="auto" w:fill="CCEBF8"/>
          </w:tcPr>
          <w:p>
            <w:pPr>
              <w:spacing w:after="0"/>
              <w:rPr>
                <w:sz w:val="8"/>
                <w:szCs w:val="8"/>
                <w:color w:val="auto"/>
              </w:rPr>
            </w:pPr>
          </w:p>
        </w:tc>
        <w:tc>
          <w:tcPr>
            <w:tcW w:w="740" w:type="dxa"/>
            <w:vAlign w:val="bottom"/>
            <w:shd w:val="clear" w:color="auto" w:fill="CCEBF8"/>
          </w:tcPr>
          <w:p>
            <w:pPr>
              <w:jc w:val="center"/>
              <w:ind w:right="25"/>
              <w:spacing w:after="0"/>
              <w:rPr>
                <w:sz w:val="20"/>
                <w:szCs w:val="20"/>
                <w:color w:val="auto"/>
              </w:rPr>
            </w:pPr>
            <w:r>
              <w:rPr>
                <w:rFonts w:ascii="Arial" w:cs="Arial" w:eastAsia="Arial" w:hAnsi="Arial"/>
                <w:sz w:val="7"/>
                <w:szCs w:val="7"/>
                <w:b w:val="1"/>
                <w:bCs w:val="1"/>
                <w:color w:val="009BDE"/>
              </w:rPr>
              <w:t>CEO</w:t>
            </w:r>
          </w:p>
        </w:tc>
        <w:tc>
          <w:tcPr>
            <w:tcW w:w="100" w:type="dxa"/>
            <w:vAlign w:val="bottom"/>
            <w:shd w:val="clear" w:color="auto" w:fill="CCEBF8"/>
          </w:tcPr>
          <w:p>
            <w:pPr>
              <w:spacing w:after="0"/>
              <w:rPr>
                <w:sz w:val="8"/>
                <w:szCs w:val="8"/>
                <w:color w:val="auto"/>
              </w:rPr>
            </w:pPr>
          </w:p>
        </w:tc>
        <w:tc>
          <w:tcPr>
            <w:tcW w:w="500" w:type="dxa"/>
            <w:vAlign w:val="bottom"/>
            <w:gridSpan w:val="2"/>
            <w:shd w:val="clear" w:color="auto" w:fill="CCEBF8"/>
          </w:tcPr>
          <w:p>
            <w:pPr>
              <w:jc w:val="center"/>
              <w:ind w:right="180"/>
              <w:spacing w:after="0"/>
              <w:rPr>
                <w:sz w:val="20"/>
                <w:szCs w:val="20"/>
                <w:color w:val="auto"/>
              </w:rPr>
            </w:pPr>
            <w:r>
              <w:rPr>
                <w:rFonts w:ascii="Arial" w:cs="Arial" w:eastAsia="Arial" w:hAnsi="Arial"/>
                <w:sz w:val="7"/>
                <w:szCs w:val="7"/>
                <w:b w:val="1"/>
                <w:bCs w:val="1"/>
                <w:color w:val="009BDE"/>
              </w:rPr>
              <w:t>to CEO</w:t>
            </w:r>
          </w:p>
        </w:tc>
        <w:tc>
          <w:tcPr>
            <w:tcW w:w="60" w:type="dxa"/>
            <w:vAlign w:val="bottom"/>
            <w:shd w:val="clear" w:color="auto" w:fill="CCEBF8"/>
          </w:tcPr>
          <w:p>
            <w:pPr>
              <w:spacing w:after="0"/>
              <w:rPr>
                <w:sz w:val="8"/>
                <w:szCs w:val="8"/>
                <w:color w:val="auto"/>
              </w:rPr>
            </w:pPr>
          </w:p>
        </w:tc>
        <w:tc>
          <w:tcPr>
            <w:tcW w:w="500" w:type="dxa"/>
            <w:vAlign w:val="bottom"/>
            <w:shd w:val="clear" w:color="auto" w:fill="CCEBF8"/>
          </w:tcPr>
          <w:p>
            <w:pPr>
              <w:jc w:val="center"/>
              <w:ind w:right="65"/>
              <w:spacing w:after="0"/>
              <w:rPr>
                <w:sz w:val="20"/>
                <w:szCs w:val="20"/>
                <w:color w:val="auto"/>
              </w:rPr>
            </w:pPr>
            <w:r>
              <w:rPr>
                <w:rFonts w:ascii="Arial" w:cs="Arial" w:eastAsia="Arial" w:hAnsi="Arial"/>
                <w:sz w:val="7"/>
                <w:szCs w:val="7"/>
                <w:b w:val="1"/>
                <w:bCs w:val="1"/>
                <w:color w:val="009BDE"/>
              </w:rPr>
              <w:t>CEO</w:t>
            </w:r>
          </w:p>
        </w:tc>
        <w:tc>
          <w:tcPr>
            <w:tcW w:w="160" w:type="dxa"/>
            <w:vAlign w:val="bottom"/>
            <w:shd w:val="clear" w:color="auto" w:fill="CCEBF8"/>
          </w:tcPr>
          <w:p>
            <w:pPr>
              <w:spacing w:after="0"/>
              <w:rPr>
                <w:sz w:val="8"/>
                <w:szCs w:val="8"/>
                <w:color w:val="auto"/>
              </w:rPr>
            </w:pPr>
          </w:p>
        </w:tc>
        <w:tc>
          <w:tcPr>
            <w:tcW w:w="480" w:type="dxa"/>
            <w:vAlign w:val="bottom"/>
            <w:gridSpan w:val="2"/>
            <w:shd w:val="clear" w:color="auto" w:fill="CCEBF8"/>
          </w:tcPr>
          <w:p>
            <w:pPr>
              <w:jc w:val="center"/>
              <w:ind w:right="220"/>
              <w:spacing w:after="0"/>
              <w:rPr>
                <w:sz w:val="20"/>
                <w:szCs w:val="20"/>
                <w:color w:val="auto"/>
              </w:rPr>
            </w:pPr>
            <w:r>
              <w:rPr>
                <w:rFonts w:ascii="Arial" w:cs="Arial" w:eastAsia="Arial" w:hAnsi="Arial"/>
                <w:sz w:val="7"/>
                <w:szCs w:val="7"/>
                <w:b w:val="1"/>
                <w:bCs w:val="1"/>
                <w:color w:val="009BDE"/>
              </w:rPr>
              <w:t>to CEO</w:t>
            </w:r>
          </w:p>
        </w:tc>
        <w:tc>
          <w:tcPr>
            <w:tcW w:w="80" w:type="dxa"/>
            <w:vAlign w:val="bottom"/>
            <w:shd w:val="clear" w:color="auto" w:fill="CCEBF8"/>
          </w:tcPr>
          <w:p>
            <w:pPr>
              <w:spacing w:after="0"/>
              <w:rPr>
                <w:sz w:val="8"/>
                <w:szCs w:val="8"/>
                <w:color w:val="auto"/>
              </w:rPr>
            </w:pPr>
          </w:p>
        </w:tc>
        <w:tc>
          <w:tcPr>
            <w:tcW w:w="480" w:type="dxa"/>
            <w:vAlign w:val="bottom"/>
            <w:shd w:val="clear" w:color="auto" w:fill="CCEBF8"/>
          </w:tcPr>
          <w:p>
            <w:pPr>
              <w:jc w:val="center"/>
              <w:ind w:right="85"/>
              <w:spacing w:after="0"/>
              <w:rPr>
                <w:sz w:val="20"/>
                <w:szCs w:val="20"/>
                <w:color w:val="auto"/>
              </w:rPr>
            </w:pPr>
            <w:r>
              <w:rPr>
                <w:rFonts w:ascii="Arial" w:cs="Arial" w:eastAsia="Arial" w:hAnsi="Arial"/>
                <w:sz w:val="7"/>
                <w:szCs w:val="7"/>
                <w:b w:val="1"/>
                <w:bCs w:val="1"/>
                <w:color w:val="009BDE"/>
              </w:rPr>
              <w:t>CEO</w:t>
            </w:r>
          </w:p>
        </w:tc>
        <w:tc>
          <w:tcPr>
            <w:tcW w:w="140" w:type="dxa"/>
            <w:vAlign w:val="bottom"/>
            <w:shd w:val="clear" w:color="auto" w:fill="CCEBF8"/>
          </w:tcPr>
          <w:p>
            <w:pPr>
              <w:spacing w:after="0"/>
              <w:rPr>
                <w:sz w:val="8"/>
                <w:szCs w:val="8"/>
                <w:color w:val="auto"/>
              </w:rPr>
            </w:pPr>
          </w:p>
        </w:tc>
        <w:tc>
          <w:tcPr>
            <w:tcW w:w="440" w:type="dxa"/>
            <w:vAlign w:val="bottom"/>
            <w:shd w:val="clear" w:color="auto" w:fill="CCEBF8"/>
          </w:tcPr>
          <w:p>
            <w:pPr>
              <w:jc w:val="center"/>
              <w:ind w:right="104"/>
              <w:spacing w:after="0"/>
              <w:rPr>
                <w:sz w:val="20"/>
                <w:szCs w:val="20"/>
                <w:color w:val="auto"/>
              </w:rPr>
            </w:pPr>
            <w:r>
              <w:rPr>
                <w:rFonts w:ascii="Arial" w:cs="Arial" w:eastAsia="Arial" w:hAnsi="Arial"/>
                <w:sz w:val="7"/>
                <w:szCs w:val="7"/>
                <w:b w:val="1"/>
                <w:bCs w:val="1"/>
                <w:color w:val="009BDE"/>
              </w:rPr>
              <w:t>to CEO</w:t>
            </w:r>
            <w:r>
              <w:rPr>
                <w:rFonts w:ascii="Arial" w:cs="Arial" w:eastAsia="Arial" w:hAnsi="Arial"/>
                <w:sz w:val="4"/>
                <w:szCs w:val="4"/>
                <w:b w:val="1"/>
                <w:bCs w:val="1"/>
                <w:color w:val="009BDE"/>
              </w:rPr>
              <w:t>(2)</w:t>
            </w:r>
          </w:p>
        </w:tc>
        <w:tc>
          <w:tcPr>
            <w:tcW w:w="480" w:type="dxa"/>
            <w:vAlign w:val="bottom"/>
            <w:shd w:val="clear" w:color="auto" w:fill="CCEBF8"/>
          </w:tcPr>
          <w:p>
            <w:pPr>
              <w:jc w:val="center"/>
              <w:spacing w:after="0"/>
              <w:rPr>
                <w:sz w:val="20"/>
                <w:szCs w:val="20"/>
                <w:color w:val="auto"/>
              </w:rPr>
            </w:pPr>
            <w:r>
              <w:rPr>
                <w:rFonts w:ascii="Arial" w:cs="Arial" w:eastAsia="Arial" w:hAnsi="Arial"/>
                <w:sz w:val="7"/>
                <w:szCs w:val="7"/>
                <w:b w:val="1"/>
                <w:bCs w:val="1"/>
                <w:color w:val="009BDE"/>
              </w:rPr>
              <w:t>NEOs</w:t>
            </w:r>
            <w:r>
              <w:rPr>
                <w:rFonts w:ascii="Arial" w:cs="Arial" w:eastAsia="Arial" w:hAnsi="Arial"/>
                <w:sz w:val="4"/>
                <w:szCs w:val="4"/>
                <w:b w:val="1"/>
                <w:bCs w:val="1"/>
                <w:color w:val="009BDE"/>
              </w:rPr>
              <w:t>(4)</w:t>
            </w:r>
          </w:p>
        </w:tc>
        <w:tc>
          <w:tcPr>
            <w:tcW w:w="440" w:type="dxa"/>
            <w:vAlign w:val="bottom"/>
            <w:shd w:val="clear" w:color="auto" w:fill="CCEBF8"/>
          </w:tcPr>
          <w:p>
            <w:pPr>
              <w:jc w:val="center"/>
              <w:spacing w:after="0"/>
              <w:rPr>
                <w:sz w:val="20"/>
                <w:szCs w:val="20"/>
                <w:color w:val="auto"/>
              </w:rPr>
            </w:pPr>
            <w:r>
              <w:rPr>
                <w:rFonts w:ascii="Arial" w:cs="Arial" w:eastAsia="Arial" w:hAnsi="Arial"/>
                <w:sz w:val="7"/>
                <w:szCs w:val="7"/>
                <w:b w:val="1"/>
                <w:bCs w:val="1"/>
                <w:color w:val="009BDE"/>
              </w:rPr>
              <w:t>NEOs</w:t>
            </w:r>
            <w:r>
              <w:rPr>
                <w:rFonts w:ascii="Arial" w:cs="Arial" w:eastAsia="Arial" w:hAnsi="Arial"/>
                <w:sz w:val="4"/>
                <w:szCs w:val="4"/>
                <w:b w:val="1"/>
                <w:bCs w:val="1"/>
                <w:color w:val="009BDE"/>
              </w:rPr>
              <w:t>(4)</w:t>
            </w:r>
          </w:p>
        </w:tc>
        <w:tc>
          <w:tcPr>
            <w:tcW w:w="60" w:type="dxa"/>
            <w:vAlign w:val="bottom"/>
            <w:shd w:val="clear" w:color="auto" w:fill="CCEBF8"/>
          </w:tcPr>
          <w:p>
            <w:pPr>
              <w:spacing w:after="0"/>
              <w:rPr>
                <w:sz w:val="8"/>
                <w:szCs w:val="8"/>
                <w:color w:val="auto"/>
              </w:rPr>
            </w:pPr>
          </w:p>
        </w:tc>
        <w:tc>
          <w:tcPr>
            <w:tcW w:w="280" w:type="dxa"/>
            <w:vAlign w:val="bottom"/>
            <w:shd w:val="clear" w:color="auto" w:fill="CCEBF8"/>
          </w:tcPr>
          <w:p>
            <w:pPr>
              <w:jc w:val="center"/>
              <w:ind w:right="4"/>
              <w:spacing w:after="0"/>
              <w:rPr>
                <w:sz w:val="20"/>
                <w:szCs w:val="20"/>
                <w:color w:val="auto"/>
              </w:rPr>
            </w:pPr>
            <w:r>
              <w:rPr>
                <w:rFonts w:ascii="Arial" w:cs="Arial" w:eastAsia="Arial" w:hAnsi="Arial"/>
                <w:sz w:val="7"/>
                <w:szCs w:val="7"/>
                <w:b w:val="1"/>
                <w:bCs w:val="1"/>
                <w:color w:val="009BDE"/>
              </w:rPr>
              <w:t>(HAS)</w:t>
            </w:r>
          </w:p>
        </w:tc>
        <w:tc>
          <w:tcPr>
            <w:tcW w:w="80" w:type="dxa"/>
            <w:vAlign w:val="bottom"/>
            <w:shd w:val="clear" w:color="auto" w:fill="CCEBF8"/>
          </w:tcPr>
          <w:p>
            <w:pPr>
              <w:spacing w:after="0"/>
              <w:rPr>
                <w:sz w:val="8"/>
                <w:szCs w:val="8"/>
                <w:color w:val="auto"/>
              </w:rPr>
            </w:pPr>
          </w:p>
        </w:tc>
        <w:tc>
          <w:tcPr>
            <w:tcW w:w="460" w:type="dxa"/>
            <w:vAlign w:val="bottom"/>
            <w:gridSpan w:val="2"/>
            <w:shd w:val="clear" w:color="auto" w:fill="CCEBF8"/>
          </w:tcPr>
          <w:p>
            <w:pPr>
              <w:jc w:val="center"/>
              <w:ind w:right="80"/>
              <w:spacing w:after="0"/>
              <w:rPr>
                <w:sz w:val="20"/>
                <w:szCs w:val="20"/>
                <w:color w:val="auto"/>
              </w:rPr>
            </w:pPr>
            <w:r>
              <w:rPr>
                <w:rFonts w:ascii="Arial" w:cs="Arial" w:eastAsia="Arial" w:hAnsi="Arial"/>
                <w:sz w:val="7"/>
                <w:szCs w:val="7"/>
                <w:b w:val="1"/>
                <w:bCs w:val="1"/>
                <w:color w:val="009BDE"/>
              </w:rPr>
              <w:t>Index)</w:t>
            </w:r>
          </w:p>
        </w:tc>
        <w:tc>
          <w:tcPr>
            <w:tcW w:w="540" w:type="dxa"/>
            <w:vAlign w:val="bottom"/>
            <w:shd w:val="clear" w:color="auto" w:fill="CCEBF8"/>
          </w:tcPr>
          <w:p>
            <w:pPr>
              <w:jc w:val="center"/>
              <w:ind w:right="4"/>
              <w:spacing w:after="0"/>
              <w:rPr>
                <w:sz w:val="20"/>
                <w:szCs w:val="20"/>
                <w:color w:val="auto"/>
              </w:rPr>
            </w:pPr>
            <w:r>
              <w:rPr>
                <w:rFonts w:ascii="Arial" w:cs="Arial" w:eastAsia="Arial" w:hAnsi="Arial"/>
                <w:sz w:val="7"/>
                <w:szCs w:val="7"/>
                <w:b w:val="1"/>
                <w:bCs w:val="1"/>
                <w:color w:val="009BDE"/>
              </w:rPr>
              <w:t>(GAAP)</w:t>
            </w:r>
          </w:p>
        </w:tc>
        <w:tc>
          <w:tcPr>
            <w:tcW w:w="80" w:type="dxa"/>
            <w:vAlign w:val="bottom"/>
            <w:shd w:val="clear" w:color="auto" w:fill="CCEBF8"/>
          </w:tcPr>
          <w:p>
            <w:pPr>
              <w:spacing w:after="0"/>
              <w:rPr>
                <w:sz w:val="8"/>
                <w:szCs w:val="8"/>
                <w:color w:val="auto"/>
              </w:rPr>
            </w:pPr>
          </w:p>
        </w:tc>
        <w:tc>
          <w:tcPr>
            <w:tcW w:w="540" w:type="dxa"/>
            <w:vAlign w:val="bottom"/>
            <w:gridSpan w:val="2"/>
            <w:shd w:val="clear" w:color="auto" w:fill="CCEBF8"/>
          </w:tcPr>
          <w:p>
            <w:pPr>
              <w:jc w:val="center"/>
              <w:ind w:right="40"/>
              <w:spacing w:after="0"/>
              <w:rPr>
                <w:sz w:val="20"/>
                <w:szCs w:val="20"/>
                <w:color w:val="auto"/>
              </w:rPr>
            </w:pPr>
            <w:r>
              <w:rPr>
                <w:rFonts w:ascii="Arial" w:cs="Arial" w:eastAsia="Arial" w:hAnsi="Arial"/>
                <w:sz w:val="7"/>
                <w:szCs w:val="7"/>
                <w:b w:val="1"/>
                <w:bCs w:val="1"/>
                <w:color w:val="009BDE"/>
              </w:rPr>
              <w:t>Revenue</w:t>
            </w:r>
          </w:p>
        </w:tc>
        <w:tc>
          <w:tcPr>
            <w:tcW w:w="0" w:type="dxa"/>
            <w:vAlign w:val="bottom"/>
          </w:tcPr>
          <w:p>
            <w:pPr>
              <w:spacing w:after="0"/>
              <w:rPr>
                <w:sz w:val="1"/>
                <w:szCs w:val="1"/>
                <w:color w:val="auto"/>
              </w:rPr>
            </w:pPr>
          </w:p>
        </w:tc>
      </w:tr>
      <w:tr>
        <w:trPr>
          <w:trHeight w:val="88"/>
        </w:trPr>
        <w:tc>
          <w:tcPr>
            <w:tcW w:w="680" w:type="dxa"/>
            <w:vAlign w:val="bottom"/>
            <w:tcBorders>
              <w:bottom w:val="single" w:sz="8" w:color="009BDE"/>
            </w:tcBorders>
            <w:shd w:val="clear" w:color="auto" w:fill="CCEBF8"/>
          </w:tcPr>
          <w:p>
            <w:pPr>
              <w:spacing w:after="0"/>
              <w:rPr>
                <w:sz w:val="7"/>
                <w:szCs w:val="7"/>
                <w:color w:val="auto"/>
              </w:rPr>
            </w:pPr>
          </w:p>
        </w:tc>
        <w:tc>
          <w:tcPr>
            <w:tcW w:w="20" w:type="dxa"/>
            <w:vAlign w:val="bottom"/>
            <w:tcBorders>
              <w:bottom w:val="single" w:sz="8" w:color="009BDE"/>
            </w:tcBorders>
            <w:shd w:val="clear" w:color="auto" w:fill="CCEBF8"/>
          </w:tcPr>
          <w:p>
            <w:pPr>
              <w:spacing w:after="0"/>
              <w:rPr>
                <w:sz w:val="7"/>
                <w:szCs w:val="7"/>
                <w:color w:val="auto"/>
              </w:rPr>
            </w:pPr>
          </w:p>
        </w:tc>
        <w:tc>
          <w:tcPr>
            <w:tcW w:w="740" w:type="dxa"/>
            <w:vAlign w:val="bottom"/>
            <w:tcBorders>
              <w:bottom w:val="single" w:sz="8" w:color="009BDE"/>
            </w:tcBorders>
            <w:shd w:val="clear" w:color="auto" w:fill="CCEBF8"/>
          </w:tcPr>
          <w:p>
            <w:pPr>
              <w:spacing w:after="0"/>
              <w:rPr>
                <w:sz w:val="7"/>
                <w:szCs w:val="7"/>
                <w:color w:val="auto"/>
              </w:rPr>
            </w:pPr>
          </w:p>
        </w:tc>
        <w:tc>
          <w:tcPr>
            <w:tcW w:w="100" w:type="dxa"/>
            <w:vAlign w:val="bottom"/>
            <w:tcBorders>
              <w:bottom w:val="single" w:sz="8" w:color="009BDE"/>
            </w:tcBorders>
            <w:shd w:val="clear" w:color="auto" w:fill="CCEBF8"/>
          </w:tcPr>
          <w:p>
            <w:pPr>
              <w:spacing w:after="0"/>
              <w:rPr>
                <w:sz w:val="7"/>
                <w:szCs w:val="7"/>
                <w:color w:val="auto"/>
              </w:rPr>
            </w:pPr>
          </w:p>
        </w:tc>
        <w:tc>
          <w:tcPr>
            <w:tcW w:w="440" w:type="dxa"/>
            <w:vAlign w:val="bottom"/>
            <w:tcBorders>
              <w:bottom w:val="single" w:sz="8" w:color="009BDE"/>
            </w:tcBorders>
            <w:shd w:val="clear" w:color="auto" w:fill="CCEBF8"/>
          </w:tcPr>
          <w:p>
            <w:pPr>
              <w:spacing w:after="0"/>
              <w:rPr>
                <w:sz w:val="7"/>
                <w:szCs w:val="7"/>
                <w:color w:val="auto"/>
              </w:rPr>
            </w:pPr>
          </w:p>
        </w:tc>
        <w:tc>
          <w:tcPr>
            <w:tcW w:w="60" w:type="dxa"/>
            <w:vAlign w:val="bottom"/>
            <w:tcBorders>
              <w:bottom w:val="single" w:sz="8" w:color="009BDE"/>
            </w:tcBorders>
            <w:shd w:val="clear" w:color="auto" w:fill="CCEBF8"/>
          </w:tcPr>
          <w:p>
            <w:pPr>
              <w:spacing w:after="0"/>
              <w:rPr>
                <w:sz w:val="7"/>
                <w:szCs w:val="7"/>
                <w:color w:val="auto"/>
              </w:rPr>
            </w:pPr>
          </w:p>
        </w:tc>
        <w:tc>
          <w:tcPr>
            <w:tcW w:w="60" w:type="dxa"/>
            <w:vAlign w:val="bottom"/>
            <w:tcBorders>
              <w:bottom w:val="single" w:sz="8" w:color="009BDE"/>
            </w:tcBorders>
            <w:shd w:val="clear" w:color="auto" w:fill="CCEBF8"/>
          </w:tcPr>
          <w:p>
            <w:pPr>
              <w:spacing w:after="0"/>
              <w:rPr>
                <w:sz w:val="7"/>
                <w:szCs w:val="7"/>
                <w:color w:val="auto"/>
              </w:rPr>
            </w:pPr>
          </w:p>
        </w:tc>
        <w:tc>
          <w:tcPr>
            <w:tcW w:w="500" w:type="dxa"/>
            <w:vAlign w:val="bottom"/>
            <w:tcBorders>
              <w:bottom w:val="single" w:sz="8" w:color="009BDE"/>
            </w:tcBorders>
            <w:shd w:val="clear" w:color="auto" w:fill="CCEBF8"/>
          </w:tcPr>
          <w:p>
            <w:pPr>
              <w:spacing w:after="0"/>
              <w:rPr>
                <w:sz w:val="7"/>
                <w:szCs w:val="7"/>
                <w:color w:val="auto"/>
              </w:rPr>
            </w:pPr>
          </w:p>
        </w:tc>
        <w:tc>
          <w:tcPr>
            <w:tcW w:w="160" w:type="dxa"/>
            <w:vAlign w:val="bottom"/>
            <w:tcBorders>
              <w:bottom w:val="single" w:sz="8" w:color="009BDE"/>
            </w:tcBorders>
            <w:shd w:val="clear" w:color="auto" w:fill="CCEBF8"/>
          </w:tcPr>
          <w:p>
            <w:pPr>
              <w:spacing w:after="0"/>
              <w:rPr>
                <w:sz w:val="7"/>
                <w:szCs w:val="7"/>
                <w:color w:val="auto"/>
              </w:rPr>
            </w:pPr>
          </w:p>
        </w:tc>
        <w:tc>
          <w:tcPr>
            <w:tcW w:w="420" w:type="dxa"/>
            <w:vAlign w:val="bottom"/>
            <w:tcBorders>
              <w:bottom w:val="single" w:sz="8" w:color="009BDE"/>
            </w:tcBorders>
            <w:shd w:val="clear" w:color="auto" w:fill="CCEBF8"/>
          </w:tcPr>
          <w:p>
            <w:pPr>
              <w:spacing w:after="0"/>
              <w:rPr>
                <w:sz w:val="7"/>
                <w:szCs w:val="7"/>
                <w:color w:val="auto"/>
              </w:rPr>
            </w:pPr>
          </w:p>
        </w:tc>
        <w:tc>
          <w:tcPr>
            <w:tcW w:w="60" w:type="dxa"/>
            <w:vAlign w:val="bottom"/>
            <w:tcBorders>
              <w:bottom w:val="single" w:sz="8" w:color="009BDE"/>
            </w:tcBorders>
            <w:shd w:val="clear" w:color="auto" w:fill="CCEBF8"/>
          </w:tcPr>
          <w:p>
            <w:pPr>
              <w:spacing w:after="0"/>
              <w:rPr>
                <w:sz w:val="7"/>
                <w:szCs w:val="7"/>
                <w:color w:val="auto"/>
              </w:rPr>
            </w:pPr>
          </w:p>
        </w:tc>
        <w:tc>
          <w:tcPr>
            <w:tcW w:w="80" w:type="dxa"/>
            <w:vAlign w:val="bottom"/>
            <w:tcBorders>
              <w:bottom w:val="single" w:sz="8" w:color="009BDE"/>
            </w:tcBorders>
            <w:shd w:val="clear" w:color="auto" w:fill="CCEBF8"/>
          </w:tcPr>
          <w:p>
            <w:pPr>
              <w:spacing w:after="0"/>
              <w:rPr>
                <w:sz w:val="7"/>
                <w:szCs w:val="7"/>
                <w:color w:val="auto"/>
              </w:rPr>
            </w:pPr>
          </w:p>
        </w:tc>
        <w:tc>
          <w:tcPr>
            <w:tcW w:w="480" w:type="dxa"/>
            <w:vAlign w:val="bottom"/>
            <w:tcBorders>
              <w:bottom w:val="single" w:sz="8" w:color="009BDE"/>
            </w:tcBorders>
            <w:shd w:val="clear" w:color="auto" w:fill="CCEBF8"/>
          </w:tcPr>
          <w:p>
            <w:pPr>
              <w:spacing w:after="0"/>
              <w:rPr>
                <w:sz w:val="7"/>
                <w:szCs w:val="7"/>
                <w:color w:val="auto"/>
              </w:rPr>
            </w:pPr>
          </w:p>
        </w:tc>
        <w:tc>
          <w:tcPr>
            <w:tcW w:w="140" w:type="dxa"/>
            <w:vAlign w:val="bottom"/>
            <w:tcBorders>
              <w:bottom w:val="single" w:sz="8" w:color="009BDE"/>
            </w:tcBorders>
            <w:shd w:val="clear" w:color="auto" w:fill="CCEBF8"/>
          </w:tcPr>
          <w:p>
            <w:pPr>
              <w:spacing w:after="0"/>
              <w:rPr>
                <w:sz w:val="7"/>
                <w:szCs w:val="7"/>
                <w:color w:val="auto"/>
              </w:rPr>
            </w:pPr>
          </w:p>
        </w:tc>
        <w:tc>
          <w:tcPr>
            <w:tcW w:w="440" w:type="dxa"/>
            <w:vAlign w:val="bottom"/>
            <w:tcBorders>
              <w:bottom w:val="single" w:sz="8" w:color="009BDE"/>
            </w:tcBorders>
            <w:shd w:val="clear" w:color="auto" w:fill="CCEBF8"/>
          </w:tcPr>
          <w:p>
            <w:pPr>
              <w:spacing w:after="0"/>
              <w:rPr>
                <w:sz w:val="7"/>
                <w:szCs w:val="7"/>
                <w:color w:val="auto"/>
              </w:rPr>
            </w:pPr>
          </w:p>
        </w:tc>
        <w:tc>
          <w:tcPr>
            <w:tcW w:w="480" w:type="dxa"/>
            <w:vAlign w:val="bottom"/>
            <w:tcBorders>
              <w:bottom w:val="single" w:sz="8" w:color="009BDE"/>
            </w:tcBorders>
            <w:shd w:val="clear" w:color="auto" w:fill="CCEBF8"/>
          </w:tcPr>
          <w:p>
            <w:pPr>
              <w:spacing w:after="0"/>
              <w:rPr>
                <w:sz w:val="7"/>
                <w:szCs w:val="7"/>
                <w:color w:val="auto"/>
              </w:rPr>
            </w:pPr>
          </w:p>
        </w:tc>
        <w:tc>
          <w:tcPr>
            <w:tcW w:w="440" w:type="dxa"/>
            <w:vAlign w:val="bottom"/>
            <w:tcBorders>
              <w:bottom w:val="single" w:sz="8" w:color="009BDE"/>
            </w:tcBorders>
            <w:shd w:val="clear" w:color="auto" w:fill="CCEBF8"/>
          </w:tcPr>
          <w:p>
            <w:pPr>
              <w:spacing w:after="0"/>
              <w:rPr>
                <w:sz w:val="7"/>
                <w:szCs w:val="7"/>
                <w:color w:val="auto"/>
              </w:rPr>
            </w:pPr>
          </w:p>
        </w:tc>
        <w:tc>
          <w:tcPr>
            <w:tcW w:w="60" w:type="dxa"/>
            <w:vAlign w:val="bottom"/>
            <w:tcBorders>
              <w:bottom w:val="single" w:sz="8" w:color="009BDE"/>
            </w:tcBorders>
            <w:shd w:val="clear" w:color="auto" w:fill="CCEBF8"/>
          </w:tcPr>
          <w:p>
            <w:pPr>
              <w:spacing w:after="0"/>
              <w:rPr>
                <w:sz w:val="7"/>
                <w:szCs w:val="7"/>
                <w:color w:val="auto"/>
              </w:rPr>
            </w:pPr>
          </w:p>
        </w:tc>
        <w:tc>
          <w:tcPr>
            <w:tcW w:w="280" w:type="dxa"/>
            <w:vAlign w:val="bottom"/>
            <w:tcBorders>
              <w:bottom w:val="single" w:sz="8" w:color="009BDE"/>
            </w:tcBorders>
            <w:shd w:val="clear" w:color="auto" w:fill="CCEBF8"/>
          </w:tcPr>
          <w:p>
            <w:pPr>
              <w:spacing w:after="0"/>
              <w:rPr>
                <w:sz w:val="7"/>
                <w:szCs w:val="7"/>
                <w:color w:val="auto"/>
              </w:rPr>
            </w:pPr>
          </w:p>
        </w:tc>
        <w:tc>
          <w:tcPr>
            <w:tcW w:w="80" w:type="dxa"/>
            <w:vAlign w:val="bottom"/>
            <w:tcBorders>
              <w:bottom w:val="single" w:sz="8" w:color="009BDE"/>
            </w:tcBorders>
            <w:shd w:val="clear" w:color="auto" w:fill="CCEBF8"/>
          </w:tcPr>
          <w:p>
            <w:pPr>
              <w:spacing w:after="0"/>
              <w:rPr>
                <w:sz w:val="7"/>
                <w:szCs w:val="7"/>
                <w:color w:val="auto"/>
              </w:rPr>
            </w:pPr>
          </w:p>
        </w:tc>
        <w:tc>
          <w:tcPr>
            <w:tcW w:w="420" w:type="dxa"/>
            <w:vAlign w:val="bottom"/>
            <w:tcBorders>
              <w:bottom w:val="single" w:sz="8" w:color="009BDE"/>
            </w:tcBorders>
            <w:shd w:val="clear" w:color="auto" w:fill="CCEBF8"/>
          </w:tcPr>
          <w:p>
            <w:pPr>
              <w:spacing w:after="0"/>
              <w:rPr>
                <w:sz w:val="7"/>
                <w:szCs w:val="7"/>
                <w:color w:val="auto"/>
              </w:rPr>
            </w:pPr>
          </w:p>
        </w:tc>
        <w:tc>
          <w:tcPr>
            <w:tcW w:w="40" w:type="dxa"/>
            <w:vAlign w:val="bottom"/>
            <w:tcBorders>
              <w:bottom w:val="single" w:sz="8" w:color="009BDE"/>
            </w:tcBorders>
            <w:shd w:val="clear" w:color="auto" w:fill="CCEBF8"/>
          </w:tcPr>
          <w:p>
            <w:pPr>
              <w:spacing w:after="0"/>
              <w:rPr>
                <w:sz w:val="7"/>
                <w:szCs w:val="7"/>
                <w:color w:val="auto"/>
              </w:rPr>
            </w:pPr>
          </w:p>
        </w:tc>
        <w:tc>
          <w:tcPr>
            <w:tcW w:w="540" w:type="dxa"/>
            <w:vAlign w:val="bottom"/>
            <w:tcBorders>
              <w:bottom w:val="single" w:sz="8" w:color="009BDE"/>
            </w:tcBorders>
            <w:shd w:val="clear" w:color="auto" w:fill="CCEBF8"/>
          </w:tcPr>
          <w:p>
            <w:pPr>
              <w:spacing w:after="0"/>
              <w:rPr>
                <w:sz w:val="7"/>
                <w:szCs w:val="7"/>
                <w:color w:val="auto"/>
              </w:rPr>
            </w:pPr>
          </w:p>
        </w:tc>
        <w:tc>
          <w:tcPr>
            <w:tcW w:w="80" w:type="dxa"/>
            <w:vAlign w:val="bottom"/>
            <w:tcBorders>
              <w:bottom w:val="single" w:sz="8" w:color="009BDE"/>
            </w:tcBorders>
            <w:shd w:val="clear" w:color="auto" w:fill="CCEBF8"/>
          </w:tcPr>
          <w:p>
            <w:pPr>
              <w:spacing w:after="0"/>
              <w:rPr>
                <w:sz w:val="7"/>
                <w:szCs w:val="7"/>
                <w:color w:val="auto"/>
              </w:rPr>
            </w:pPr>
          </w:p>
        </w:tc>
        <w:tc>
          <w:tcPr>
            <w:tcW w:w="500" w:type="dxa"/>
            <w:vAlign w:val="bottom"/>
            <w:tcBorders>
              <w:bottom w:val="single" w:sz="8" w:color="009BDE"/>
            </w:tcBorders>
            <w:shd w:val="clear" w:color="auto" w:fill="CCEBF8"/>
          </w:tcPr>
          <w:p>
            <w:pPr>
              <w:spacing w:after="0"/>
              <w:rPr>
                <w:sz w:val="7"/>
                <w:szCs w:val="7"/>
                <w:color w:val="auto"/>
              </w:rPr>
            </w:pPr>
          </w:p>
        </w:tc>
        <w:tc>
          <w:tcPr>
            <w:tcW w:w="40" w:type="dxa"/>
            <w:vAlign w:val="bottom"/>
            <w:tcBorders>
              <w:bottom w:val="single" w:sz="8" w:color="009BDE"/>
            </w:tcBorders>
            <w:shd w:val="clear" w:color="auto" w:fill="CCEBF8"/>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80" w:type="dxa"/>
            <w:vAlign w:val="bottom"/>
          </w:tcPr>
          <w:p>
            <w:pPr>
              <w:jc w:val="right"/>
              <w:ind w:right="444"/>
              <w:spacing w:after="0"/>
              <w:rPr>
                <w:sz w:val="20"/>
                <w:szCs w:val="20"/>
                <w:color w:val="auto"/>
              </w:rPr>
            </w:pPr>
            <w:r>
              <w:rPr>
                <w:rFonts w:ascii="Arial" w:cs="Arial" w:eastAsia="Arial" w:hAnsi="Arial"/>
                <w:sz w:val="7"/>
                <w:szCs w:val="7"/>
                <w:color w:val="auto"/>
              </w:rPr>
              <w:t>2022</w:t>
            </w:r>
          </w:p>
        </w:tc>
        <w:tc>
          <w:tcPr>
            <w:tcW w:w="760" w:type="dxa"/>
            <w:vAlign w:val="bottom"/>
            <w:gridSpan w:val="2"/>
          </w:tcPr>
          <w:p>
            <w:pPr>
              <w:jc w:val="right"/>
              <w:ind w:right="25"/>
              <w:spacing w:after="0"/>
              <w:rPr>
                <w:sz w:val="20"/>
                <w:szCs w:val="20"/>
                <w:color w:val="auto"/>
              </w:rPr>
            </w:pPr>
            <w:r>
              <w:rPr>
                <w:rFonts w:ascii="Arial" w:cs="Arial" w:eastAsia="Arial" w:hAnsi="Arial"/>
                <w:sz w:val="7"/>
                <w:szCs w:val="7"/>
                <w:color w:val="auto"/>
              </w:rPr>
              <w:t>$9,443,047</w:t>
            </w:r>
          </w:p>
        </w:tc>
        <w:tc>
          <w:tcPr>
            <w:tcW w:w="10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440" w:type="dxa"/>
            <w:vAlign w:val="bottom"/>
          </w:tcPr>
          <w:p>
            <w:pPr>
              <w:jc w:val="right"/>
              <w:spacing w:after="0"/>
              <w:rPr>
                <w:sz w:val="20"/>
                <w:szCs w:val="20"/>
                <w:color w:val="auto"/>
              </w:rPr>
            </w:pPr>
            <w:r>
              <w:rPr>
                <w:rFonts w:ascii="Arial" w:cs="Arial" w:eastAsia="Arial" w:hAnsi="Arial"/>
                <w:sz w:val="7"/>
                <w:szCs w:val="7"/>
                <w:color w:val="auto"/>
              </w:rPr>
              <w:t>3,460,022</w:t>
            </w:r>
          </w:p>
        </w:tc>
        <w:tc>
          <w:tcPr>
            <w:tcW w:w="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ind w:right="25"/>
              <w:spacing w:after="0"/>
              <w:rPr>
                <w:sz w:val="20"/>
                <w:szCs w:val="20"/>
                <w:color w:val="auto"/>
              </w:rPr>
            </w:pPr>
            <w:r>
              <w:rPr>
                <w:rFonts w:ascii="Arial" w:cs="Arial" w:eastAsia="Arial" w:hAnsi="Arial"/>
                <w:sz w:val="7"/>
                <w:szCs w:val="7"/>
                <w:color w:val="auto"/>
              </w:rPr>
              <w:t>270,000</w:t>
            </w:r>
          </w:p>
        </w:tc>
        <w:tc>
          <w:tcPr>
            <w:tcW w:w="160" w:type="dxa"/>
            <w:vAlign w:val="bottom"/>
          </w:tcPr>
          <w:p>
            <w:pPr>
              <w:ind w:left="40"/>
              <w:spacing w:after="0"/>
              <w:rPr>
                <w:sz w:val="20"/>
                <w:szCs w:val="20"/>
                <w:color w:val="auto"/>
              </w:rPr>
            </w:pPr>
            <w:r>
              <w:rPr>
                <w:rFonts w:ascii="Arial" w:cs="Arial" w:eastAsia="Arial" w:hAnsi="Arial"/>
                <w:sz w:val="7"/>
                <w:szCs w:val="7"/>
                <w:color w:val="auto"/>
              </w:rPr>
              <w:t>($</w:t>
            </w:r>
          </w:p>
        </w:tc>
        <w:tc>
          <w:tcPr>
            <w:tcW w:w="420" w:type="dxa"/>
            <w:vAlign w:val="bottom"/>
          </w:tcPr>
          <w:p>
            <w:pPr>
              <w:jc w:val="right"/>
              <w:spacing w:after="0"/>
              <w:rPr>
                <w:sz w:val="20"/>
                <w:szCs w:val="20"/>
                <w:color w:val="auto"/>
              </w:rPr>
            </w:pPr>
            <w:r>
              <w:rPr>
                <w:rFonts w:ascii="Arial" w:cs="Arial" w:eastAsia="Arial" w:hAnsi="Arial"/>
                <w:sz w:val="7"/>
                <w:szCs w:val="7"/>
                <w:color w:val="auto"/>
              </w:rPr>
              <w:t>574,022)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5"/>
              <w:spacing w:after="0"/>
              <w:rPr>
                <w:sz w:val="20"/>
                <w:szCs w:val="20"/>
                <w:color w:val="auto"/>
              </w:rPr>
            </w:pPr>
            <w:r>
              <w:rPr>
                <w:rFonts w:ascii="Arial" w:cs="Arial" w:eastAsia="Arial" w:hAnsi="Arial"/>
                <w:sz w:val="7"/>
                <w:szCs w:val="7"/>
                <w:color w:val="auto"/>
              </w:rPr>
              <w:t>n/a</w:t>
            </w:r>
          </w:p>
        </w:tc>
        <w:tc>
          <w:tcPr>
            <w:tcW w:w="140" w:type="dxa"/>
            <w:vAlign w:val="bottom"/>
          </w:tcPr>
          <w:p>
            <w:pPr>
              <w:spacing w:after="0"/>
              <w:rPr>
                <w:sz w:val="11"/>
                <w:szCs w:val="11"/>
                <w:color w:val="auto"/>
              </w:rPr>
            </w:pP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n/a</w:t>
            </w:r>
          </w:p>
        </w:tc>
        <w:tc>
          <w:tcPr>
            <w:tcW w:w="480" w:type="dxa"/>
            <w:vAlign w:val="bottom"/>
          </w:tcPr>
          <w:p>
            <w:pPr>
              <w:jc w:val="center"/>
              <w:spacing w:after="0"/>
              <w:rPr>
                <w:sz w:val="20"/>
                <w:szCs w:val="20"/>
                <w:color w:val="auto"/>
              </w:rPr>
            </w:pPr>
            <w:r>
              <w:rPr>
                <w:rFonts w:ascii="Arial" w:cs="Arial" w:eastAsia="Arial" w:hAnsi="Arial"/>
                <w:sz w:val="7"/>
                <w:szCs w:val="7"/>
                <w:color w:val="auto"/>
                <w:w w:val="97"/>
              </w:rPr>
              <w:t>$ 7,444,885</w:t>
            </w:r>
          </w:p>
        </w:tc>
        <w:tc>
          <w:tcPr>
            <w:tcW w:w="440" w:type="dxa"/>
            <w:vAlign w:val="bottom"/>
          </w:tcPr>
          <w:p>
            <w:pPr>
              <w:jc w:val="center"/>
              <w:spacing w:after="0"/>
              <w:rPr>
                <w:sz w:val="20"/>
                <w:szCs w:val="20"/>
                <w:color w:val="auto"/>
              </w:rPr>
            </w:pPr>
            <w:r>
              <w:rPr>
                <w:rFonts w:ascii="Arial" w:cs="Arial" w:eastAsia="Arial" w:hAnsi="Arial"/>
                <w:sz w:val="7"/>
                <w:szCs w:val="7"/>
                <w:color w:val="auto"/>
                <w:w w:val="97"/>
              </w:rPr>
              <w:t>$ 2,209,062</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$ 60.60</w:t>
            </w:r>
          </w:p>
        </w:tc>
        <w:tc>
          <w:tcPr>
            <w:tcW w:w="80" w:type="dxa"/>
            <w:vAlign w:val="bottom"/>
          </w:tcPr>
          <w:p>
            <w:pPr>
              <w:jc w:val="right"/>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7"/>
                <w:szCs w:val="7"/>
                <w:color w:val="auto"/>
              </w:rPr>
              <w:t>108.23</w:t>
            </w:r>
          </w:p>
        </w:tc>
        <w:tc>
          <w:tcPr>
            <w:tcW w:w="540" w:type="dxa"/>
            <w:vAlign w:val="bottom"/>
          </w:tcPr>
          <w:p>
            <w:pPr>
              <w:jc w:val="center"/>
              <w:ind w:right="4"/>
              <w:spacing w:after="0"/>
              <w:rPr>
                <w:sz w:val="20"/>
                <w:szCs w:val="20"/>
                <w:color w:val="auto"/>
              </w:rPr>
            </w:pPr>
            <w:r>
              <w:rPr>
                <w:rFonts w:ascii="Arial" w:cs="Arial" w:eastAsia="Arial" w:hAnsi="Arial"/>
                <w:sz w:val="7"/>
                <w:szCs w:val="7"/>
                <w:color w:val="auto"/>
              </w:rPr>
              <w:t>$ 203,500,000</w:t>
            </w:r>
          </w:p>
        </w:tc>
        <w:tc>
          <w:tcPr>
            <w:tcW w:w="620" w:type="dxa"/>
            <w:vAlign w:val="bottom"/>
            <w:gridSpan w:val="3"/>
          </w:tcPr>
          <w:p>
            <w:pPr>
              <w:jc w:val="center"/>
              <w:ind w:left="4"/>
              <w:spacing w:after="0"/>
              <w:rPr>
                <w:sz w:val="20"/>
                <w:szCs w:val="20"/>
                <w:color w:val="auto"/>
              </w:rPr>
            </w:pPr>
            <w:r>
              <w:rPr>
                <w:rFonts w:ascii="Arial" w:cs="Arial" w:eastAsia="Arial" w:hAnsi="Arial"/>
                <w:sz w:val="7"/>
                <w:szCs w:val="7"/>
                <w:color w:val="auto"/>
                <w:w w:val="98"/>
              </w:rPr>
              <w:t>$ 5,856,700,000</w:t>
            </w:r>
          </w:p>
        </w:tc>
        <w:tc>
          <w:tcPr>
            <w:tcW w:w="0" w:type="dxa"/>
            <w:vAlign w:val="bottom"/>
          </w:tcPr>
          <w:p>
            <w:pPr>
              <w:spacing w:after="0"/>
              <w:rPr>
                <w:sz w:val="1"/>
                <w:szCs w:val="1"/>
                <w:color w:val="auto"/>
              </w:rPr>
            </w:pPr>
          </w:p>
        </w:tc>
      </w:tr>
      <w:tr>
        <w:trPr>
          <w:trHeight w:val="70"/>
        </w:trPr>
        <w:tc>
          <w:tcPr>
            <w:tcW w:w="6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740" w:type="dxa"/>
            <w:vAlign w:val="bottom"/>
            <w:tcBorders>
              <w:bottom w:val="single" w:sz="8" w:color="009BDE"/>
            </w:tcBorders>
          </w:tcPr>
          <w:p>
            <w:pPr>
              <w:spacing w:after="0"/>
              <w:rPr>
                <w:sz w:val="6"/>
                <w:szCs w:val="6"/>
                <w:color w:val="auto"/>
              </w:rPr>
            </w:pPr>
          </w:p>
        </w:tc>
        <w:tc>
          <w:tcPr>
            <w:tcW w:w="10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42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480" w:type="dxa"/>
            <w:vAlign w:val="bottom"/>
            <w:tcBorders>
              <w:bottom w:val="single" w:sz="8" w:color="009BDE"/>
            </w:tcBorders>
          </w:tcPr>
          <w:p>
            <w:pPr>
              <w:spacing w:after="0"/>
              <w:rPr>
                <w:sz w:val="6"/>
                <w:szCs w:val="6"/>
                <w:color w:val="auto"/>
              </w:rPr>
            </w:pPr>
          </w:p>
        </w:tc>
        <w:tc>
          <w:tcPr>
            <w:tcW w:w="14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48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340" w:type="dxa"/>
            <w:vAlign w:val="bottom"/>
            <w:tcBorders>
              <w:bottom w:val="single" w:sz="8" w:color="009BDE"/>
            </w:tcBorders>
            <w:gridSpan w:val="2"/>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42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40" w:type="dxa"/>
            <w:vAlign w:val="bottom"/>
            <w:tcBorders>
              <w:bottom w:val="single" w:sz="8" w:color="009BDE"/>
            </w:tcBorders>
          </w:tcPr>
          <w:p>
            <w:pPr>
              <w:spacing w:after="0"/>
              <w:rPr>
                <w:sz w:val="6"/>
                <w:szCs w:val="6"/>
                <w:color w:val="auto"/>
              </w:rPr>
            </w:pPr>
          </w:p>
        </w:tc>
        <w:tc>
          <w:tcPr>
            <w:tcW w:w="580" w:type="dxa"/>
            <w:vAlign w:val="bottom"/>
            <w:tcBorders>
              <w:bottom w:val="single" w:sz="8" w:color="009BDE"/>
            </w:tcBorders>
            <w:gridSpan w:val="2"/>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680" w:type="dxa"/>
            <w:vAlign w:val="bottom"/>
          </w:tcPr>
          <w:p>
            <w:pPr>
              <w:jc w:val="right"/>
              <w:ind w:right="444"/>
              <w:spacing w:after="0"/>
              <w:rPr>
                <w:sz w:val="20"/>
                <w:szCs w:val="20"/>
                <w:color w:val="auto"/>
              </w:rPr>
            </w:pPr>
            <w:r>
              <w:rPr>
                <w:rFonts w:ascii="Arial" w:cs="Arial" w:eastAsia="Arial" w:hAnsi="Arial"/>
                <w:sz w:val="7"/>
                <w:szCs w:val="7"/>
                <w:color w:val="auto"/>
              </w:rPr>
              <w:t>2021</w:t>
            </w:r>
          </w:p>
        </w:tc>
        <w:tc>
          <w:tcPr>
            <w:tcW w:w="20" w:type="dxa"/>
            <w:vAlign w:val="bottom"/>
          </w:tcPr>
          <w:p>
            <w:pPr>
              <w:spacing w:after="0"/>
              <w:rPr>
                <w:sz w:val="11"/>
                <w:szCs w:val="11"/>
                <w:color w:val="auto"/>
              </w:rPr>
            </w:pPr>
          </w:p>
        </w:tc>
        <w:tc>
          <w:tcPr>
            <w:tcW w:w="740" w:type="dxa"/>
            <w:vAlign w:val="bottom"/>
          </w:tcPr>
          <w:p>
            <w:pPr>
              <w:jc w:val="right"/>
              <w:ind w:right="25"/>
              <w:spacing w:after="0"/>
              <w:rPr>
                <w:sz w:val="20"/>
                <w:szCs w:val="20"/>
                <w:color w:val="auto"/>
              </w:rPr>
            </w:pPr>
            <w:r>
              <w:rPr>
                <w:rFonts w:ascii="Arial" w:cs="Arial" w:eastAsia="Arial" w:hAnsi="Arial"/>
                <w:sz w:val="7"/>
                <w:szCs w:val="7"/>
                <w:color w:val="auto"/>
              </w:rPr>
              <w:t>n/a</w:t>
            </w:r>
          </w:p>
        </w:tc>
        <w:tc>
          <w:tcPr>
            <w:tcW w:w="10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7"/>
                <w:szCs w:val="7"/>
                <w:color w:val="auto"/>
              </w:rPr>
              <w:t>n/a</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ind w:right="25"/>
              <w:spacing w:after="0"/>
              <w:rPr>
                <w:sz w:val="20"/>
                <w:szCs w:val="20"/>
                <w:color w:val="auto"/>
              </w:rPr>
            </w:pPr>
            <w:r>
              <w:rPr>
                <w:rFonts w:ascii="Arial" w:cs="Arial" w:eastAsia="Arial" w:hAnsi="Arial"/>
                <w:sz w:val="7"/>
                <w:szCs w:val="7"/>
                <w:color w:val="auto"/>
              </w:rPr>
              <w:t>3,130,233</w:t>
            </w:r>
          </w:p>
        </w:tc>
        <w:tc>
          <w:tcPr>
            <w:tcW w:w="160" w:type="dxa"/>
            <w:vAlign w:val="bottom"/>
          </w:tcPr>
          <w:p>
            <w:pPr>
              <w:ind w:left="40"/>
              <w:spacing w:after="0"/>
              <w:rPr>
                <w:sz w:val="20"/>
                <w:szCs w:val="20"/>
                <w:color w:val="auto"/>
              </w:rPr>
            </w:pPr>
            <w:r>
              <w:rPr>
                <w:rFonts w:ascii="Arial" w:cs="Arial" w:eastAsia="Arial" w:hAnsi="Arial"/>
                <w:sz w:val="7"/>
                <w:szCs w:val="7"/>
                <w:color w:val="auto"/>
              </w:rPr>
              <w:t>$</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3,198,778</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7"/>
                <w:szCs w:val="7"/>
                <w:color w:val="auto"/>
              </w:rPr>
              <w:t>$</w:t>
            </w:r>
          </w:p>
        </w:tc>
        <w:tc>
          <w:tcPr>
            <w:tcW w:w="480" w:type="dxa"/>
            <w:vAlign w:val="bottom"/>
          </w:tcPr>
          <w:p>
            <w:pPr>
              <w:jc w:val="right"/>
              <w:ind w:right="5"/>
              <w:spacing w:after="0"/>
              <w:rPr>
                <w:sz w:val="20"/>
                <w:szCs w:val="20"/>
                <w:color w:val="auto"/>
              </w:rPr>
            </w:pPr>
            <w:r>
              <w:rPr>
                <w:rFonts w:ascii="Arial" w:cs="Arial" w:eastAsia="Arial" w:hAnsi="Arial"/>
                <w:sz w:val="7"/>
                <w:szCs w:val="7"/>
                <w:color w:val="auto"/>
              </w:rPr>
              <w:t>23,714,681</w:t>
            </w:r>
          </w:p>
        </w:tc>
        <w:tc>
          <w:tcPr>
            <w:tcW w:w="140" w:type="dxa"/>
            <w:vAlign w:val="bottom"/>
          </w:tcPr>
          <w:p>
            <w:pPr>
              <w:jc w:val="right"/>
              <w:ind w:right="24"/>
              <w:spacing w:after="0"/>
              <w:rPr>
                <w:sz w:val="20"/>
                <w:szCs w:val="20"/>
                <w:color w:val="auto"/>
              </w:rPr>
            </w:pPr>
            <w:r>
              <w:rPr>
                <w:rFonts w:ascii="Arial" w:cs="Arial" w:eastAsia="Arial" w:hAnsi="Arial"/>
                <w:sz w:val="7"/>
                <w:szCs w:val="7"/>
                <w:color w:val="auto"/>
              </w:rPr>
              <w:t>$</w:t>
            </w: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29,079,175</w:t>
            </w:r>
          </w:p>
        </w:tc>
        <w:tc>
          <w:tcPr>
            <w:tcW w:w="480" w:type="dxa"/>
            <w:vAlign w:val="bottom"/>
          </w:tcPr>
          <w:p>
            <w:pPr>
              <w:jc w:val="center"/>
              <w:spacing w:after="0"/>
              <w:rPr>
                <w:sz w:val="20"/>
                <w:szCs w:val="20"/>
                <w:color w:val="auto"/>
              </w:rPr>
            </w:pPr>
            <w:r>
              <w:rPr>
                <w:rFonts w:ascii="Arial" w:cs="Arial" w:eastAsia="Arial" w:hAnsi="Arial"/>
                <w:sz w:val="7"/>
                <w:szCs w:val="7"/>
                <w:color w:val="auto"/>
                <w:w w:val="97"/>
              </w:rPr>
              <w:t>$ 6,265,507</w:t>
            </w:r>
          </w:p>
        </w:tc>
        <w:tc>
          <w:tcPr>
            <w:tcW w:w="440" w:type="dxa"/>
            <w:vAlign w:val="bottom"/>
          </w:tcPr>
          <w:p>
            <w:pPr>
              <w:jc w:val="center"/>
              <w:spacing w:after="0"/>
              <w:rPr>
                <w:sz w:val="20"/>
                <w:szCs w:val="20"/>
                <w:color w:val="auto"/>
              </w:rPr>
            </w:pPr>
            <w:r>
              <w:rPr>
                <w:rFonts w:ascii="Arial" w:cs="Arial" w:eastAsia="Arial" w:hAnsi="Arial"/>
                <w:sz w:val="7"/>
                <w:szCs w:val="7"/>
                <w:color w:val="auto"/>
                <w:w w:val="97"/>
              </w:rPr>
              <w:t>$ 7,724,029</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$ 38.45</w:t>
            </w:r>
          </w:p>
        </w:tc>
        <w:tc>
          <w:tcPr>
            <w:tcW w:w="80" w:type="dxa"/>
            <w:vAlign w:val="bottom"/>
          </w:tcPr>
          <w:p>
            <w:pPr>
              <w:jc w:val="right"/>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7"/>
                <w:szCs w:val="7"/>
                <w:color w:val="auto"/>
              </w:rPr>
              <w:t>164.69</w:t>
            </w:r>
          </w:p>
        </w:tc>
        <w:tc>
          <w:tcPr>
            <w:tcW w:w="540" w:type="dxa"/>
            <w:vAlign w:val="bottom"/>
          </w:tcPr>
          <w:p>
            <w:pPr>
              <w:jc w:val="center"/>
              <w:ind w:right="4"/>
              <w:spacing w:after="0"/>
              <w:rPr>
                <w:sz w:val="20"/>
                <w:szCs w:val="20"/>
                <w:color w:val="auto"/>
              </w:rPr>
            </w:pPr>
            <w:r>
              <w:rPr>
                <w:rFonts w:ascii="Arial" w:cs="Arial" w:eastAsia="Arial" w:hAnsi="Arial"/>
                <w:sz w:val="7"/>
                <w:szCs w:val="7"/>
                <w:color w:val="auto"/>
              </w:rPr>
              <w:t>$ 428,700,000</w:t>
            </w:r>
          </w:p>
        </w:tc>
        <w:tc>
          <w:tcPr>
            <w:tcW w:w="620" w:type="dxa"/>
            <w:vAlign w:val="bottom"/>
            <w:gridSpan w:val="3"/>
          </w:tcPr>
          <w:p>
            <w:pPr>
              <w:jc w:val="center"/>
              <w:ind w:left="4"/>
              <w:spacing w:after="0"/>
              <w:rPr>
                <w:sz w:val="20"/>
                <w:szCs w:val="20"/>
                <w:color w:val="auto"/>
              </w:rPr>
            </w:pPr>
            <w:r>
              <w:rPr>
                <w:rFonts w:ascii="Arial" w:cs="Arial" w:eastAsia="Arial" w:hAnsi="Arial"/>
                <w:sz w:val="7"/>
                <w:szCs w:val="7"/>
                <w:color w:val="auto"/>
                <w:w w:val="98"/>
              </w:rPr>
              <w:t>$ 6,420,400,000</w:t>
            </w:r>
          </w:p>
        </w:tc>
        <w:tc>
          <w:tcPr>
            <w:tcW w:w="0" w:type="dxa"/>
            <w:vAlign w:val="bottom"/>
          </w:tcPr>
          <w:p>
            <w:pPr>
              <w:spacing w:after="0"/>
              <w:rPr>
                <w:sz w:val="1"/>
                <w:szCs w:val="1"/>
                <w:color w:val="auto"/>
              </w:rPr>
            </w:pPr>
          </w:p>
        </w:tc>
      </w:tr>
      <w:tr>
        <w:trPr>
          <w:trHeight w:val="70"/>
        </w:trPr>
        <w:tc>
          <w:tcPr>
            <w:tcW w:w="6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740" w:type="dxa"/>
            <w:vAlign w:val="bottom"/>
            <w:tcBorders>
              <w:bottom w:val="single" w:sz="8" w:color="009BDE"/>
            </w:tcBorders>
          </w:tcPr>
          <w:p>
            <w:pPr>
              <w:spacing w:after="0"/>
              <w:rPr>
                <w:sz w:val="6"/>
                <w:szCs w:val="6"/>
                <w:color w:val="auto"/>
              </w:rPr>
            </w:pPr>
          </w:p>
        </w:tc>
        <w:tc>
          <w:tcPr>
            <w:tcW w:w="10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42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480" w:type="dxa"/>
            <w:vAlign w:val="bottom"/>
            <w:tcBorders>
              <w:bottom w:val="single" w:sz="8" w:color="009BDE"/>
            </w:tcBorders>
          </w:tcPr>
          <w:p>
            <w:pPr>
              <w:spacing w:after="0"/>
              <w:rPr>
                <w:sz w:val="6"/>
                <w:szCs w:val="6"/>
                <w:color w:val="auto"/>
              </w:rPr>
            </w:pPr>
          </w:p>
        </w:tc>
        <w:tc>
          <w:tcPr>
            <w:tcW w:w="14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48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340" w:type="dxa"/>
            <w:vAlign w:val="bottom"/>
            <w:tcBorders>
              <w:bottom w:val="single" w:sz="8" w:color="009BDE"/>
            </w:tcBorders>
            <w:gridSpan w:val="2"/>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42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40" w:type="dxa"/>
            <w:vAlign w:val="bottom"/>
            <w:tcBorders>
              <w:bottom w:val="single" w:sz="8" w:color="009BDE"/>
            </w:tcBorders>
          </w:tcPr>
          <w:p>
            <w:pPr>
              <w:spacing w:after="0"/>
              <w:rPr>
                <w:sz w:val="6"/>
                <w:szCs w:val="6"/>
                <w:color w:val="auto"/>
              </w:rPr>
            </w:pPr>
          </w:p>
        </w:tc>
        <w:tc>
          <w:tcPr>
            <w:tcW w:w="580" w:type="dxa"/>
            <w:vAlign w:val="bottom"/>
            <w:tcBorders>
              <w:bottom w:val="single" w:sz="8" w:color="009BDE"/>
            </w:tcBorders>
            <w:gridSpan w:val="2"/>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680" w:type="dxa"/>
            <w:vAlign w:val="bottom"/>
          </w:tcPr>
          <w:p>
            <w:pPr>
              <w:jc w:val="right"/>
              <w:ind w:right="444"/>
              <w:spacing w:after="0"/>
              <w:rPr>
                <w:sz w:val="20"/>
                <w:szCs w:val="20"/>
                <w:color w:val="auto"/>
              </w:rPr>
            </w:pPr>
            <w:r>
              <w:rPr>
                <w:rFonts w:ascii="Arial" w:cs="Arial" w:eastAsia="Arial" w:hAnsi="Arial"/>
                <w:sz w:val="7"/>
                <w:szCs w:val="7"/>
                <w:color w:val="auto"/>
              </w:rPr>
              <w:t>2020</w:t>
            </w:r>
          </w:p>
        </w:tc>
        <w:tc>
          <w:tcPr>
            <w:tcW w:w="20" w:type="dxa"/>
            <w:vAlign w:val="bottom"/>
          </w:tcPr>
          <w:p>
            <w:pPr>
              <w:spacing w:after="0"/>
              <w:rPr>
                <w:sz w:val="11"/>
                <w:szCs w:val="11"/>
                <w:color w:val="auto"/>
              </w:rPr>
            </w:pPr>
          </w:p>
        </w:tc>
        <w:tc>
          <w:tcPr>
            <w:tcW w:w="740" w:type="dxa"/>
            <w:vAlign w:val="bottom"/>
          </w:tcPr>
          <w:p>
            <w:pPr>
              <w:jc w:val="right"/>
              <w:ind w:right="25"/>
              <w:spacing w:after="0"/>
              <w:rPr>
                <w:sz w:val="20"/>
                <w:szCs w:val="20"/>
                <w:color w:val="auto"/>
              </w:rPr>
            </w:pPr>
            <w:r>
              <w:rPr>
                <w:rFonts w:ascii="Arial" w:cs="Arial" w:eastAsia="Arial" w:hAnsi="Arial"/>
                <w:sz w:val="7"/>
                <w:szCs w:val="7"/>
                <w:color w:val="auto"/>
              </w:rPr>
              <w:t>n/a</w:t>
            </w:r>
          </w:p>
        </w:tc>
        <w:tc>
          <w:tcPr>
            <w:tcW w:w="10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7"/>
                <w:szCs w:val="7"/>
                <w:color w:val="auto"/>
              </w:rPr>
              <w:t>n/a</w:t>
            </w:r>
          </w:p>
        </w:tc>
        <w:tc>
          <w:tcPr>
            <w:tcW w:w="60" w:type="dxa"/>
            <w:vAlign w:val="bottom"/>
          </w:tcPr>
          <w:p>
            <w:pPr>
              <w:spacing w:after="0"/>
              <w:rPr>
                <w:sz w:val="11"/>
                <w:szCs w:val="11"/>
                <w:color w:val="auto"/>
              </w:rPr>
            </w:pPr>
          </w:p>
        </w:tc>
        <w:tc>
          <w:tcPr>
            <w:tcW w:w="500" w:type="dxa"/>
            <w:vAlign w:val="bottom"/>
          </w:tcPr>
          <w:p>
            <w:pPr>
              <w:ind w:left="340"/>
              <w:spacing w:after="0"/>
              <w:rPr>
                <w:sz w:val="20"/>
                <w:szCs w:val="20"/>
                <w:color w:val="auto"/>
              </w:rPr>
            </w:pPr>
            <w:r>
              <w:rPr>
                <w:rFonts w:ascii="Arial" w:cs="Arial" w:eastAsia="Arial" w:hAnsi="Arial"/>
                <w:sz w:val="7"/>
                <w:szCs w:val="7"/>
                <w:color w:val="auto"/>
              </w:rPr>
              <w:t>n/a</w:t>
            </w:r>
          </w:p>
        </w:tc>
        <w:tc>
          <w:tcPr>
            <w:tcW w:w="160" w:type="dxa"/>
            <w:vAlign w:val="bottom"/>
          </w:tcPr>
          <w:p>
            <w:pPr>
              <w:spacing w:after="0"/>
              <w:rPr>
                <w:sz w:val="11"/>
                <w:szCs w:val="11"/>
                <w:color w:val="auto"/>
              </w:rPr>
            </w:pPr>
          </w:p>
        </w:tc>
        <w:tc>
          <w:tcPr>
            <w:tcW w:w="480" w:type="dxa"/>
            <w:vAlign w:val="bottom"/>
            <w:gridSpan w:val="2"/>
          </w:tcPr>
          <w:p>
            <w:pPr>
              <w:ind w:left="280"/>
              <w:spacing w:after="0"/>
              <w:rPr>
                <w:sz w:val="20"/>
                <w:szCs w:val="20"/>
                <w:color w:val="auto"/>
              </w:rPr>
            </w:pPr>
            <w:r>
              <w:rPr>
                <w:rFonts w:ascii="Arial" w:cs="Arial" w:eastAsia="Arial" w:hAnsi="Arial"/>
                <w:sz w:val="7"/>
                <w:szCs w:val="7"/>
                <w:color w:val="auto"/>
              </w:rPr>
              <w:t>n/a</w:t>
            </w:r>
          </w:p>
        </w:tc>
        <w:tc>
          <w:tcPr>
            <w:tcW w:w="80" w:type="dxa"/>
            <w:vAlign w:val="bottom"/>
          </w:tcPr>
          <w:p>
            <w:pPr>
              <w:jc w:val="right"/>
              <w:spacing w:after="0"/>
              <w:rPr>
                <w:sz w:val="20"/>
                <w:szCs w:val="20"/>
                <w:color w:val="auto"/>
              </w:rPr>
            </w:pPr>
            <w:r>
              <w:rPr>
                <w:rFonts w:ascii="Arial" w:cs="Arial" w:eastAsia="Arial" w:hAnsi="Arial"/>
                <w:sz w:val="7"/>
                <w:szCs w:val="7"/>
                <w:color w:val="auto"/>
              </w:rPr>
              <w:t>$</w:t>
            </w:r>
          </w:p>
        </w:tc>
        <w:tc>
          <w:tcPr>
            <w:tcW w:w="480" w:type="dxa"/>
            <w:vAlign w:val="bottom"/>
          </w:tcPr>
          <w:p>
            <w:pPr>
              <w:jc w:val="right"/>
              <w:ind w:right="5"/>
              <w:spacing w:after="0"/>
              <w:rPr>
                <w:sz w:val="20"/>
                <w:szCs w:val="20"/>
                <w:color w:val="auto"/>
              </w:rPr>
            </w:pPr>
            <w:r>
              <w:rPr>
                <w:rFonts w:ascii="Arial" w:cs="Arial" w:eastAsia="Arial" w:hAnsi="Arial"/>
                <w:sz w:val="7"/>
                <w:szCs w:val="7"/>
                <w:color w:val="auto"/>
              </w:rPr>
              <w:t>16,668,010</w:t>
            </w:r>
          </w:p>
        </w:tc>
        <w:tc>
          <w:tcPr>
            <w:tcW w:w="140" w:type="dxa"/>
            <w:vAlign w:val="bottom"/>
          </w:tcPr>
          <w:p>
            <w:pPr>
              <w:jc w:val="right"/>
              <w:ind w:right="24"/>
              <w:spacing w:after="0"/>
              <w:rPr>
                <w:sz w:val="20"/>
                <w:szCs w:val="20"/>
                <w:color w:val="auto"/>
              </w:rPr>
            </w:pPr>
            <w:r>
              <w:rPr>
                <w:rFonts w:ascii="Arial" w:cs="Arial" w:eastAsia="Arial" w:hAnsi="Arial"/>
                <w:sz w:val="7"/>
                <w:szCs w:val="7"/>
                <w:color w:val="auto"/>
              </w:rPr>
              <w:t>$</w:t>
            </w: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6,508,847</w:t>
            </w:r>
          </w:p>
        </w:tc>
        <w:tc>
          <w:tcPr>
            <w:tcW w:w="480" w:type="dxa"/>
            <w:vAlign w:val="bottom"/>
          </w:tcPr>
          <w:p>
            <w:pPr>
              <w:jc w:val="center"/>
              <w:spacing w:after="0"/>
              <w:rPr>
                <w:sz w:val="20"/>
                <w:szCs w:val="20"/>
                <w:color w:val="auto"/>
              </w:rPr>
            </w:pPr>
            <w:r>
              <w:rPr>
                <w:rFonts w:ascii="Arial" w:cs="Arial" w:eastAsia="Arial" w:hAnsi="Arial"/>
                <w:sz w:val="7"/>
                <w:szCs w:val="7"/>
                <w:color w:val="auto"/>
                <w:w w:val="97"/>
              </w:rPr>
              <w:t>$ 9,964,919</w:t>
            </w:r>
          </w:p>
        </w:tc>
        <w:tc>
          <w:tcPr>
            <w:tcW w:w="440" w:type="dxa"/>
            <w:vAlign w:val="bottom"/>
          </w:tcPr>
          <w:p>
            <w:pPr>
              <w:jc w:val="center"/>
              <w:spacing w:after="0"/>
              <w:rPr>
                <w:sz w:val="20"/>
                <w:szCs w:val="20"/>
                <w:color w:val="auto"/>
              </w:rPr>
            </w:pPr>
            <w:r>
              <w:rPr>
                <w:rFonts w:ascii="Arial" w:cs="Arial" w:eastAsia="Arial" w:hAnsi="Arial"/>
                <w:sz w:val="7"/>
                <w:szCs w:val="7"/>
                <w:color w:val="auto"/>
                <w:w w:val="97"/>
              </w:rPr>
              <w:t>$ 7,610,559</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$ 91.07</w:t>
            </w:r>
          </w:p>
        </w:tc>
        <w:tc>
          <w:tcPr>
            <w:tcW w:w="80" w:type="dxa"/>
            <w:vAlign w:val="bottom"/>
          </w:tcPr>
          <w:p>
            <w:pPr>
              <w:jc w:val="right"/>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7"/>
                <w:szCs w:val="7"/>
                <w:color w:val="auto"/>
              </w:rPr>
              <w:t>138.64</w:t>
            </w:r>
          </w:p>
        </w:tc>
        <w:tc>
          <w:tcPr>
            <w:tcW w:w="540" w:type="dxa"/>
            <w:vAlign w:val="bottom"/>
          </w:tcPr>
          <w:p>
            <w:pPr>
              <w:jc w:val="center"/>
              <w:ind w:right="4"/>
              <w:spacing w:after="0"/>
              <w:rPr>
                <w:sz w:val="20"/>
                <w:szCs w:val="20"/>
                <w:color w:val="auto"/>
              </w:rPr>
            </w:pPr>
            <w:r>
              <w:rPr>
                <w:rFonts w:ascii="Arial" w:cs="Arial" w:eastAsia="Arial" w:hAnsi="Arial"/>
                <w:sz w:val="7"/>
                <w:szCs w:val="7"/>
                <w:color w:val="auto"/>
              </w:rPr>
              <w:t>$ 222,500,000</w:t>
            </w:r>
          </w:p>
        </w:tc>
        <w:tc>
          <w:tcPr>
            <w:tcW w:w="620" w:type="dxa"/>
            <w:vAlign w:val="bottom"/>
            <w:gridSpan w:val="3"/>
          </w:tcPr>
          <w:p>
            <w:pPr>
              <w:jc w:val="center"/>
              <w:ind w:left="4"/>
              <w:spacing w:after="0"/>
              <w:rPr>
                <w:sz w:val="20"/>
                <w:szCs w:val="20"/>
                <w:color w:val="auto"/>
              </w:rPr>
            </w:pPr>
            <w:r>
              <w:rPr>
                <w:rFonts w:ascii="Arial" w:cs="Arial" w:eastAsia="Arial" w:hAnsi="Arial"/>
                <w:sz w:val="7"/>
                <w:szCs w:val="7"/>
                <w:color w:val="auto"/>
                <w:w w:val="98"/>
              </w:rPr>
              <w:t>$ 5,465,400,000</w:t>
            </w:r>
          </w:p>
        </w:tc>
        <w:tc>
          <w:tcPr>
            <w:tcW w:w="0" w:type="dxa"/>
            <w:vAlign w:val="bottom"/>
          </w:tcPr>
          <w:p>
            <w:pPr>
              <w:spacing w:after="0"/>
              <w:rPr>
                <w:sz w:val="1"/>
                <w:szCs w:val="1"/>
                <w:color w:val="auto"/>
              </w:rPr>
            </w:pPr>
          </w:p>
        </w:tc>
      </w:tr>
      <w:tr>
        <w:trPr>
          <w:trHeight w:val="70"/>
        </w:trPr>
        <w:tc>
          <w:tcPr>
            <w:tcW w:w="6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740" w:type="dxa"/>
            <w:vAlign w:val="bottom"/>
            <w:tcBorders>
              <w:bottom w:val="single" w:sz="8" w:color="009BDE"/>
            </w:tcBorders>
          </w:tcPr>
          <w:p>
            <w:pPr>
              <w:spacing w:after="0"/>
              <w:rPr>
                <w:sz w:val="6"/>
                <w:szCs w:val="6"/>
                <w:color w:val="auto"/>
              </w:rPr>
            </w:pPr>
          </w:p>
        </w:tc>
        <w:tc>
          <w:tcPr>
            <w:tcW w:w="10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42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480" w:type="dxa"/>
            <w:vAlign w:val="bottom"/>
            <w:tcBorders>
              <w:bottom w:val="single" w:sz="8" w:color="009BDE"/>
            </w:tcBorders>
          </w:tcPr>
          <w:p>
            <w:pPr>
              <w:spacing w:after="0"/>
              <w:rPr>
                <w:sz w:val="6"/>
                <w:szCs w:val="6"/>
                <w:color w:val="auto"/>
              </w:rPr>
            </w:pPr>
          </w:p>
        </w:tc>
        <w:tc>
          <w:tcPr>
            <w:tcW w:w="14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48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28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42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4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53"/>
        </w:trPr>
        <w:tc>
          <w:tcPr>
            <w:tcW w:w="2080" w:type="dxa"/>
            <w:vAlign w:val="bottom"/>
            <w:tcBorders>
              <w:bottom w:val="single" w:sz="8" w:color="CCEBF8"/>
            </w:tcBorders>
            <w:shd w:val="clear" w:color="auto" w:fill="CCEBF8"/>
          </w:tcPr>
          <w:p>
            <w:pPr>
              <w:spacing w:after="0"/>
              <w:rPr>
                <w:sz w:val="13"/>
                <w:szCs w:val="13"/>
                <w:color w:val="auto"/>
              </w:rPr>
            </w:pPr>
          </w:p>
        </w:tc>
        <w:tc>
          <w:tcPr>
            <w:tcW w:w="140" w:type="dxa"/>
            <w:vAlign w:val="bottom"/>
            <w:tcBorders>
              <w:bottom w:val="single" w:sz="8" w:color="CCEBF8"/>
            </w:tcBorders>
            <w:shd w:val="clear" w:color="auto" w:fill="CCEBF8"/>
          </w:tcPr>
          <w:p>
            <w:pPr>
              <w:spacing w:after="0"/>
              <w:rPr>
                <w:sz w:val="13"/>
                <w:szCs w:val="13"/>
                <w:color w:val="auto"/>
              </w:rPr>
            </w:pPr>
          </w:p>
        </w:tc>
        <w:tc>
          <w:tcPr>
            <w:tcW w:w="80" w:type="dxa"/>
            <w:vAlign w:val="bottom"/>
            <w:tcBorders>
              <w:bottom w:val="single" w:sz="8" w:color="009BDE"/>
            </w:tcBorders>
            <w:shd w:val="clear" w:color="auto" w:fill="CCEBF8"/>
          </w:tcPr>
          <w:p>
            <w:pPr>
              <w:spacing w:after="0"/>
              <w:rPr>
                <w:sz w:val="13"/>
                <w:szCs w:val="13"/>
                <w:color w:val="auto"/>
              </w:rPr>
            </w:pPr>
          </w:p>
        </w:tc>
        <w:tc>
          <w:tcPr>
            <w:tcW w:w="480" w:type="dxa"/>
            <w:vAlign w:val="bottom"/>
            <w:tcBorders>
              <w:bottom w:val="single" w:sz="8" w:color="009BDE"/>
            </w:tcBorders>
            <w:shd w:val="clear" w:color="auto" w:fill="CCEBF8"/>
          </w:tcPr>
          <w:p>
            <w:pPr>
              <w:spacing w:after="0"/>
              <w:rPr>
                <w:sz w:val="13"/>
                <w:szCs w:val="13"/>
                <w:color w:val="auto"/>
              </w:rPr>
            </w:pPr>
          </w:p>
        </w:tc>
        <w:tc>
          <w:tcPr>
            <w:tcW w:w="140" w:type="dxa"/>
            <w:vAlign w:val="bottom"/>
            <w:tcBorders>
              <w:bottom w:val="single" w:sz="8" w:color="009BDE"/>
            </w:tcBorders>
            <w:shd w:val="clear" w:color="auto" w:fill="CCEBF8"/>
          </w:tcPr>
          <w:p>
            <w:pPr>
              <w:spacing w:after="0"/>
              <w:rPr>
                <w:sz w:val="13"/>
                <w:szCs w:val="13"/>
                <w:color w:val="auto"/>
              </w:rPr>
            </w:pPr>
          </w:p>
        </w:tc>
        <w:tc>
          <w:tcPr>
            <w:tcW w:w="440" w:type="dxa"/>
            <w:vAlign w:val="bottom"/>
            <w:tcBorders>
              <w:bottom w:val="single" w:sz="8" w:color="009BDE"/>
            </w:tcBorders>
            <w:shd w:val="clear" w:color="auto" w:fill="CCEBF8"/>
          </w:tcPr>
          <w:p>
            <w:pPr>
              <w:jc w:val="right"/>
              <w:ind w:right="138"/>
              <w:spacing w:after="0"/>
              <w:rPr>
                <w:sz w:val="20"/>
                <w:szCs w:val="20"/>
                <w:color w:val="auto"/>
              </w:rPr>
            </w:pPr>
            <w:r>
              <w:rPr>
                <w:rFonts w:ascii="Arial" w:cs="Arial" w:eastAsia="Arial" w:hAnsi="Arial"/>
                <w:sz w:val="8"/>
                <w:szCs w:val="8"/>
                <w:b w:val="1"/>
                <w:bCs w:val="1"/>
                <w:color w:val="009BDE"/>
                <w:w w:val="92"/>
              </w:rPr>
              <w:t>2022</w:t>
            </w:r>
            <w:r>
              <w:rPr>
                <w:rFonts w:ascii="Arial" w:cs="Arial" w:eastAsia="Arial" w:hAnsi="Arial"/>
                <w:sz w:val="10"/>
                <w:szCs w:val="10"/>
                <w:b w:val="1"/>
                <w:bCs w:val="1"/>
                <w:color w:val="009BDE"/>
                <w:w w:val="92"/>
                <w:vertAlign w:val="superscript"/>
              </w:rPr>
              <w:t>(3)</w:t>
            </w:r>
          </w:p>
        </w:tc>
        <w:tc>
          <w:tcPr>
            <w:tcW w:w="160" w:type="dxa"/>
            <w:vAlign w:val="bottom"/>
            <w:tcBorders>
              <w:bottom w:val="single" w:sz="8" w:color="009BDE"/>
            </w:tcBorders>
            <w:shd w:val="clear" w:color="auto" w:fill="CCEBF8"/>
          </w:tcPr>
          <w:p>
            <w:pPr>
              <w:spacing w:after="0"/>
              <w:rPr>
                <w:sz w:val="13"/>
                <w:szCs w:val="13"/>
                <w:color w:val="auto"/>
              </w:rPr>
            </w:pPr>
          </w:p>
        </w:tc>
        <w:tc>
          <w:tcPr>
            <w:tcW w:w="440" w:type="dxa"/>
            <w:vAlign w:val="bottom"/>
            <w:tcBorders>
              <w:bottom w:val="single" w:sz="8" w:color="009BDE"/>
            </w:tcBorders>
            <w:shd w:val="clear" w:color="auto" w:fill="CCEBF8"/>
          </w:tcPr>
          <w:p>
            <w:pPr>
              <w:spacing w:after="0"/>
              <w:rPr>
                <w:sz w:val="13"/>
                <w:szCs w:val="13"/>
                <w:color w:val="auto"/>
              </w:rPr>
            </w:pPr>
          </w:p>
        </w:tc>
        <w:tc>
          <w:tcPr>
            <w:tcW w:w="140" w:type="dxa"/>
            <w:vAlign w:val="bottom"/>
            <w:tcBorders>
              <w:bottom w:val="single" w:sz="8" w:color="CCEBF8"/>
            </w:tcBorders>
            <w:shd w:val="clear" w:color="auto" w:fill="CCEBF8"/>
          </w:tcPr>
          <w:p>
            <w:pPr>
              <w:spacing w:after="0"/>
              <w:rPr>
                <w:sz w:val="13"/>
                <w:szCs w:val="13"/>
                <w:color w:val="auto"/>
              </w:rPr>
            </w:pPr>
          </w:p>
        </w:tc>
        <w:tc>
          <w:tcPr>
            <w:tcW w:w="100" w:type="dxa"/>
            <w:vAlign w:val="bottom"/>
            <w:tcBorders>
              <w:bottom w:val="single" w:sz="8" w:color="009BDE"/>
            </w:tcBorders>
            <w:shd w:val="clear" w:color="auto" w:fill="CCEBF8"/>
          </w:tcPr>
          <w:p>
            <w:pPr>
              <w:spacing w:after="0"/>
              <w:rPr>
                <w:sz w:val="13"/>
                <w:szCs w:val="13"/>
                <w:color w:val="auto"/>
              </w:rPr>
            </w:pPr>
          </w:p>
        </w:tc>
        <w:tc>
          <w:tcPr>
            <w:tcW w:w="480" w:type="dxa"/>
            <w:vAlign w:val="bottom"/>
            <w:tcBorders>
              <w:bottom w:val="single" w:sz="8" w:color="009BDE"/>
            </w:tcBorders>
            <w:shd w:val="clear" w:color="auto" w:fill="CCEBF8"/>
          </w:tcPr>
          <w:p>
            <w:pPr>
              <w:spacing w:after="0"/>
              <w:rPr>
                <w:sz w:val="13"/>
                <w:szCs w:val="13"/>
                <w:color w:val="auto"/>
              </w:rPr>
            </w:pPr>
          </w:p>
        </w:tc>
        <w:tc>
          <w:tcPr>
            <w:tcW w:w="180" w:type="dxa"/>
            <w:vAlign w:val="bottom"/>
            <w:tcBorders>
              <w:bottom w:val="single" w:sz="8" w:color="009BDE"/>
            </w:tcBorders>
            <w:shd w:val="clear" w:color="auto" w:fill="CCEBF8"/>
          </w:tcPr>
          <w:p>
            <w:pPr>
              <w:spacing w:after="0"/>
              <w:rPr>
                <w:sz w:val="13"/>
                <w:szCs w:val="13"/>
                <w:color w:val="auto"/>
              </w:rPr>
            </w:pPr>
          </w:p>
        </w:tc>
        <w:tc>
          <w:tcPr>
            <w:tcW w:w="520" w:type="dxa"/>
            <w:vAlign w:val="bottom"/>
            <w:tcBorders>
              <w:bottom w:val="single" w:sz="8" w:color="009BDE"/>
            </w:tcBorders>
            <w:shd w:val="clear" w:color="auto" w:fill="CCEBF8"/>
          </w:tcPr>
          <w:p>
            <w:pPr>
              <w:jc w:val="center"/>
              <w:ind w:right="178"/>
              <w:spacing w:after="0"/>
              <w:rPr>
                <w:sz w:val="20"/>
                <w:szCs w:val="20"/>
                <w:color w:val="auto"/>
              </w:rPr>
            </w:pPr>
            <w:r>
              <w:rPr>
                <w:rFonts w:ascii="Arial" w:cs="Arial" w:eastAsia="Arial" w:hAnsi="Arial"/>
                <w:sz w:val="8"/>
                <w:szCs w:val="8"/>
                <w:b w:val="1"/>
                <w:bCs w:val="1"/>
                <w:color w:val="009BDE"/>
              </w:rPr>
              <w:t>2021</w:t>
            </w:r>
            <w:r>
              <w:rPr>
                <w:rFonts w:ascii="Arial" w:cs="Arial" w:eastAsia="Arial" w:hAnsi="Arial"/>
                <w:sz w:val="10"/>
                <w:szCs w:val="10"/>
                <w:b w:val="1"/>
                <w:bCs w:val="1"/>
                <w:color w:val="009BDE"/>
                <w:vertAlign w:val="superscript"/>
              </w:rPr>
              <w:t>(3)</w:t>
            </w:r>
          </w:p>
        </w:tc>
        <w:tc>
          <w:tcPr>
            <w:tcW w:w="160" w:type="dxa"/>
            <w:vAlign w:val="bottom"/>
            <w:tcBorders>
              <w:bottom w:val="single" w:sz="8" w:color="009BDE"/>
            </w:tcBorders>
            <w:shd w:val="clear" w:color="auto" w:fill="CCEBF8"/>
          </w:tcPr>
          <w:p>
            <w:pPr>
              <w:spacing w:after="0"/>
              <w:rPr>
                <w:sz w:val="13"/>
                <w:szCs w:val="13"/>
                <w:color w:val="auto"/>
              </w:rPr>
            </w:pPr>
          </w:p>
        </w:tc>
        <w:tc>
          <w:tcPr>
            <w:tcW w:w="440" w:type="dxa"/>
            <w:vAlign w:val="bottom"/>
            <w:tcBorders>
              <w:bottom w:val="single" w:sz="8" w:color="009BDE"/>
            </w:tcBorders>
            <w:shd w:val="clear" w:color="auto" w:fill="CCEBF8"/>
          </w:tcPr>
          <w:p>
            <w:pPr>
              <w:spacing w:after="0"/>
              <w:rPr>
                <w:sz w:val="13"/>
                <w:szCs w:val="13"/>
                <w:color w:val="auto"/>
              </w:rPr>
            </w:pPr>
          </w:p>
        </w:tc>
        <w:tc>
          <w:tcPr>
            <w:tcW w:w="140" w:type="dxa"/>
            <w:vAlign w:val="bottom"/>
            <w:tcBorders>
              <w:bottom w:val="single" w:sz="8" w:color="CCEBF8"/>
            </w:tcBorders>
            <w:shd w:val="clear" w:color="auto" w:fill="CCEBF8"/>
          </w:tcPr>
          <w:p>
            <w:pPr>
              <w:spacing w:after="0"/>
              <w:rPr>
                <w:sz w:val="13"/>
                <w:szCs w:val="13"/>
                <w:color w:val="auto"/>
              </w:rPr>
            </w:pPr>
          </w:p>
        </w:tc>
        <w:tc>
          <w:tcPr>
            <w:tcW w:w="100" w:type="dxa"/>
            <w:vAlign w:val="bottom"/>
            <w:tcBorders>
              <w:bottom w:val="single" w:sz="8" w:color="009BDE"/>
            </w:tcBorders>
            <w:shd w:val="clear" w:color="auto" w:fill="CCEBF8"/>
          </w:tcPr>
          <w:p>
            <w:pPr>
              <w:spacing w:after="0"/>
              <w:rPr>
                <w:sz w:val="13"/>
                <w:szCs w:val="13"/>
                <w:color w:val="auto"/>
              </w:rPr>
            </w:pPr>
          </w:p>
        </w:tc>
        <w:tc>
          <w:tcPr>
            <w:tcW w:w="680" w:type="dxa"/>
            <w:vAlign w:val="bottom"/>
            <w:tcBorders>
              <w:bottom w:val="single" w:sz="8" w:color="009BDE"/>
            </w:tcBorders>
            <w:gridSpan w:val="2"/>
            <w:shd w:val="clear" w:color="auto" w:fill="CCEBF8"/>
          </w:tcPr>
          <w:p>
            <w:pPr>
              <w:jc w:val="right"/>
              <w:ind w:right="38"/>
              <w:spacing w:after="0"/>
              <w:rPr>
                <w:sz w:val="20"/>
                <w:szCs w:val="20"/>
                <w:color w:val="auto"/>
              </w:rPr>
            </w:pPr>
            <w:r>
              <w:rPr>
                <w:rFonts w:ascii="Arial" w:cs="Arial" w:eastAsia="Arial" w:hAnsi="Arial"/>
                <w:sz w:val="8"/>
                <w:szCs w:val="8"/>
                <w:b w:val="1"/>
                <w:bCs w:val="1"/>
                <w:color w:val="009BDE"/>
              </w:rPr>
              <w:t>2020</w:t>
            </w:r>
            <w:r>
              <w:rPr>
                <w:rFonts w:ascii="Arial" w:cs="Arial" w:eastAsia="Arial" w:hAnsi="Arial"/>
                <w:sz w:val="10"/>
                <w:szCs w:val="10"/>
                <w:b w:val="1"/>
                <w:bCs w:val="1"/>
                <w:color w:val="009BDE"/>
                <w:vertAlign w:val="superscript"/>
              </w:rPr>
              <w:t>(3)</w:t>
            </w:r>
          </w:p>
        </w:tc>
        <w:tc>
          <w:tcPr>
            <w:tcW w:w="440" w:type="dxa"/>
            <w:vAlign w:val="bottom"/>
            <w:tcBorders>
              <w:bottom w:val="single" w:sz="8" w:color="009BDE"/>
            </w:tcBorders>
            <w:shd w:val="clear" w:color="auto" w:fill="CCEBF8"/>
          </w:tcPr>
          <w:p>
            <w:pPr>
              <w:spacing w:after="0"/>
              <w:rPr>
                <w:sz w:val="13"/>
                <w:szCs w:val="13"/>
                <w:color w:val="auto"/>
              </w:rPr>
            </w:pPr>
          </w:p>
        </w:tc>
      </w:tr>
      <w:tr>
        <w:trPr>
          <w:trHeight w:val="101"/>
        </w:trPr>
        <w:tc>
          <w:tcPr>
            <w:tcW w:w="2080" w:type="dxa"/>
            <w:vAlign w:val="bottom"/>
            <w:shd w:val="clear" w:color="auto" w:fill="CCEBF8"/>
          </w:tcPr>
          <w:p>
            <w:pPr>
              <w:spacing w:after="0"/>
              <w:rPr>
                <w:sz w:val="8"/>
                <w:szCs w:val="8"/>
                <w:color w:val="auto"/>
              </w:rPr>
            </w:pPr>
          </w:p>
        </w:tc>
        <w:tc>
          <w:tcPr>
            <w:tcW w:w="140" w:type="dxa"/>
            <w:vAlign w:val="bottom"/>
            <w:shd w:val="clear" w:color="auto" w:fill="CCEBF8"/>
          </w:tcPr>
          <w:p>
            <w:pPr>
              <w:spacing w:after="0"/>
              <w:rPr>
                <w:sz w:val="8"/>
                <w:szCs w:val="8"/>
                <w:color w:val="auto"/>
              </w:rPr>
            </w:pPr>
          </w:p>
        </w:tc>
        <w:tc>
          <w:tcPr>
            <w:tcW w:w="80" w:type="dxa"/>
            <w:vAlign w:val="bottom"/>
            <w:shd w:val="clear" w:color="auto" w:fill="CCEBF8"/>
          </w:tcPr>
          <w:p>
            <w:pPr>
              <w:spacing w:after="0"/>
              <w:rPr>
                <w:sz w:val="8"/>
                <w:szCs w:val="8"/>
                <w:color w:val="auto"/>
              </w:rPr>
            </w:pPr>
          </w:p>
        </w:tc>
        <w:tc>
          <w:tcPr>
            <w:tcW w:w="480" w:type="dxa"/>
            <w:vAlign w:val="bottom"/>
            <w:shd w:val="clear" w:color="auto" w:fill="CCEBF8"/>
          </w:tcPr>
          <w:p>
            <w:pPr>
              <w:jc w:val="right"/>
              <w:ind w:right="198"/>
              <w:spacing w:after="0"/>
              <w:rPr>
                <w:sz w:val="20"/>
                <w:szCs w:val="20"/>
                <w:color w:val="auto"/>
              </w:rPr>
            </w:pPr>
            <w:r>
              <w:rPr>
                <w:rFonts w:ascii="Arial" w:cs="Arial" w:eastAsia="Arial" w:hAnsi="Arial"/>
                <w:sz w:val="8"/>
                <w:szCs w:val="8"/>
                <w:b w:val="1"/>
                <w:bCs w:val="1"/>
                <w:color w:val="009BDE"/>
              </w:rPr>
              <w:t>CEO</w:t>
            </w:r>
          </w:p>
        </w:tc>
        <w:tc>
          <w:tcPr>
            <w:tcW w:w="140" w:type="dxa"/>
            <w:vAlign w:val="bottom"/>
            <w:shd w:val="clear" w:color="auto" w:fill="CCEBF8"/>
          </w:tcPr>
          <w:p>
            <w:pPr>
              <w:spacing w:after="0"/>
              <w:rPr>
                <w:sz w:val="8"/>
                <w:szCs w:val="8"/>
                <w:color w:val="auto"/>
              </w:rPr>
            </w:pPr>
          </w:p>
        </w:tc>
        <w:tc>
          <w:tcPr>
            <w:tcW w:w="440" w:type="dxa"/>
            <w:vAlign w:val="bottom"/>
            <w:shd w:val="clear" w:color="auto" w:fill="CCEBF8"/>
          </w:tcPr>
          <w:p>
            <w:pPr>
              <w:jc w:val="right"/>
              <w:ind w:right="158"/>
              <w:spacing w:after="0"/>
              <w:rPr>
                <w:sz w:val="20"/>
                <w:szCs w:val="20"/>
                <w:color w:val="auto"/>
              </w:rPr>
            </w:pPr>
            <w:r>
              <w:rPr>
                <w:rFonts w:ascii="Arial" w:cs="Arial" w:eastAsia="Arial" w:hAnsi="Arial"/>
                <w:sz w:val="8"/>
                <w:szCs w:val="8"/>
                <w:b w:val="1"/>
                <w:bCs w:val="1"/>
                <w:color w:val="009BDE"/>
              </w:rPr>
              <w:t>CEO</w:t>
            </w:r>
          </w:p>
        </w:tc>
        <w:tc>
          <w:tcPr>
            <w:tcW w:w="160" w:type="dxa"/>
            <w:vAlign w:val="bottom"/>
            <w:shd w:val="clear" w:color="auto" w:fill="CCEBF8"/>
          </w:tcPr>
          <w:p>
            <w:pPr>
              <w:spacing w:after="0"/>
              <w:rPr>
                <w:sz w:val="8"/>
                <w:szCs w:val="8"/>
                <w:color w:val="auto"/>
              </w:rPr>
            </w:pPr>
          </w:p>
        </w:tc>
        <w:tc>
          <w:tcPr>
            <w:tcW w:w="580" w:type="dxa"/>
            <w:vAlign w:val="bottom"/>
            <w:gridSpan w:val="2"/>
            <w:shd w:val="clear" w:color="auto" w:fill="CCEBF8"/>
          </w:tcPr>
          <w:p>
            <w:pPr>
              <w:jc w:val="center"/>
              <w:ind w:right="280"/>
              <w:spacing w:after="0"/>
              <w:rPr>
                <w:sz w:val="20"/>
                <w:szCs w:val="20"/>
                <w:color w:val="auto"/>
              </w:rPr>
            </w:pPr>
            <w:r>
              <w:rPr>
                <w:rFonts w:ascii="Arial" w:cs="Arial" w:eastAsia="Arial" w:hAnsi="Arial"/>
                <w:sz w:val="8"/>
                <w:szCs w:val="8"/>
                <w:b w:val="1"/>
                <w:bCs w:val="1"/>
                <w:color w:val="009BDE"/>
              </w:rPr>
              <w:t>Other</w:t>
            </w:r>
          </w:p>
        </w:tc>
        <w:tc>
          <w:tcPr>
            <w:tcW w:w="100" w:type="dxa"/>
            <w:vAlign w:val="bottom"/>
            <w:shd w:val="clear" w:color="auto" w:fill="CCEBF8"/>
          </w:tcPr>
          <w:p>
            <w:pPr>
              <w:spacing w:after="0"/>
              <w:rPr>
                <w:sz w:val="8"/>
                <w:szCs w:val="8"/>
                <w:color w:val="auto"/>
              </w:rPr>
            </w:pPr>
          </w:p>
        </w:tc>
        <w:tc>
          <w:tcPr>
            <w:tcW w:w="480" w:type="dxa"/>
            <w:vAlign w:val="bottom"/>
            <w:shd w:val="clear" w:color="auto" w:fill="CCEBF8"/>
          </w:tcPr>
          <w:p>
            <w:pPr>
              <w:jc w:val="right"/>
              <w:ind w:right="218"/>
              <w:spacing w:after="0"/>
              <w:rPr>
                <w:sz w:val="20"/>
                <w:szCs w:val="20"/>
                <w:color w:val="auto"/>
              </w:rPr>
            </w:pPr>
            <w:r>
              <w:rPr>
                <w:rFonts w:ascii="Arial" w:cs="Arial" w:eastAsia="Arial" w:hAnsi="Arial"/>
                <w:sz w:val="8"/>
                <w:szCs w:val="8"/>
                <w:b w:val="1"/>
                <w:bCs w:val="1"/>
                <w:color w:val="009BDE"/>
              </w:rPr>
              <w:t>CEO</w:t>
            </w:r>
          </w:p>
        </w:tc>
        <w:tc>
          <w:tcPr>
            <w:tcW w:w="180" w:type="dxa"/>
            <w:vAlign w:val="bottom"/>
            <w:shd w:val="clear" w:color="auto" w:fill="CCEBF8"/>
          </w:tcPr>
          <w:p>
            <w:pPr>
              <w:spacing w:after="0"/>
              <w:rPr>
                <w:sz w:val="8"/>
                <w:szCs w:val="8"/>
                <w:color w:val="auto"/>
              </w:rPr>
            </w:pPr>
          </w:p>
        </w:tc>
        <w:tc>
          <w:tcPr>
            <w:tcW w:w="520" w:type="dxa"/>
            <w:vAlign w:val="bottom"/>
            <w:shd w:val="clear" w:color="auto" w:fill="CCEBF8"/>
          </w:tcPr>
          <w:p>
            <w:pPr>
              <w:jc w:val="center"/>
              <w:ind w:right="178"/>
              <w:spacing w:after="0"/>
              <w:rPr>
                <w:sz w:val="20"/>
                <w:szCs w:val="20"/>
                <w:color w:val="auto"/>
              </w:rPr>
            </w:pPr>
            <w:r>
              <w:rPr>
                <w:rFonts w:ascii="Arial" w:cs="Arial" w:eastAsia="Arial" w:hAnsi="Arial"/>
                <w:sz w:val="8"/>
                <w:szCs w:val="8"/>
                <w:b w:val="1"/>
                <w:bCs w:val="1"/>
                <w:color w:val="009BDE"/>
              </w:rPr>
              <w:t>CEO</w:t>
            </w:r>
          </w:p>
        </w:tc>
        <w:tc>
          <w:tcPr>
            <w:tcW w:w="160" w:type="dxa"/>
            <w:vAlign w:val="bottom"/>
            <w:shd w:val="clear" w:color="auto" w:fill="CCEBF8"/>
          </w:tcPr>
          <w:p>
            <w:pPr>
              <w:spacing w:after="0"/>
              <w:rPr>
                <w:sz w:val="8"/>
                <w:szCs w:val="8"/>
                <w:color w:val="auto"/>
              </w:rPr>
            </w:pPr>
          </w:p>
        </w:tc>
        <w:tc>
          <w:tcPr>
            <w:tcW w:w="580" w:type="dxa"/>
            <w:vAlign w:val="bottom"/>
            <w:gridSpan w:val="2"/>
            <w:shd w:val="clear" w:color="auto" w:fill="CCEBF8"/>
          </w:tcPr>
          <w:p>
            <w:pPr>
              <w:jc w:val="center"/>
              <w:ind w:right="280"/>
              <w:spacing w:after="0"/>
              <w:rPr>
                <w:sz w:val="20"/>
                <w:szCs w:val="20"/>
                <w:color w:val="auto"/>
              </w:rPr>
            </w:pPr>
            <w:r>
              <w:rPr>
                <w:rFonts w:ascii="Arial" w:cs="Arial" w:eastAsia="Arial" w:hAnsi="Arial"/>
                <w:sz w:val="8"/>
                <w:szCs w:val="8"/>
                <w:b w:val="1"/>
                <w:bCs w:val="1"/>
                <w:color w:val="009BDE"/>
              </w:rPr>
              <w:t>Other</w:t>
            </w:r>
          </w:p>
        </w:tc>
        <w:tc>
          <w:tcPr>
            <w:tcW w:w="100" w:type="dxa"/>
            <w:vAlign w:val="bottom"/>
            <w:shd w:val="clear" w:color="auto" w:fill="CCEBF8"/>
          </w:tcPr>
          <w:p>
            <w:pPr>
              <w:spacing w:after="0"/>
              <w:rPr>
                <w:sz w:val="8"/>
                <w:szCs w:val="8"/>
                <w:color w:val="auto"/>
              </w:rPr>
            </w:pPr>
          </w:p>
        </w:tc>
        <w:tc>
          <w:tcPr>
            <w:tcW w:w="520" w:type="dxa"/>
            <w:vAlign w:val="bottom"/>
            <w:shd w:val="clear" w:color="auto" w:fill="CCEBF8"/>
          </w:tcPr>
          <w:p>
            <w:pPr>
              <w:jc w:val="right"/>
              <w:ind w:right="238"/>
              <w:spacing w:after="0"/>
              <w:rPr>
                <w:sz w:val="20"/>
                <w:szCs w:val="20"/>
                <w:color w:val="auto"/>
              </w:rPr>
            </w:pPr>
            <w:r>
              <w:rPr>
                <w:rFonts w:ascii="Arial" w:cs="Arial" w:eastAsia="Arial" w:hAnsi="Arial"/>
                <w:sz w:val="8"/>
                <w:szCs w:val="8"/>
                <w:b w:val="1"/>
                <w:bCs w:val="1"/>
                <w:color w:val="009BDE"/>
              </w:rPr>
              <w:t>CEO</w:t>
            </w:r>
          </w:p>
        </w:tc>
        <w:tc>
          <w:tcPr>
            <w:tcW w:w="160" w:type="dxa"/>
            <w:vAlign w:val="bottom"/>
            <w:shd w:val="clear" w:color="auto" w:fill="CCEBF8"/>
          </w:tcPr>
          <w:p>
            <w:pPr>
              <w:spacing w:after="0"/>
              <w:rPr>
                <w:sz w:val="8"/>
                <w:szCs w:val="8"/>
                <w:color w:val="auto"/>
              </w:rPr>
            </w:pPr>
          </w:p>
        </w:tc>
        <w:tc>
          <w:tcPr>
            <w:tcW w:w="440" w:type="dxa"/>
            <w:vAlign w:val="bottom"/>
            <w:shd w:val="clear" w:color="auto" w:fill="CCEBF8"/>
          </w:tcPr>
          <w:p>
            <w:pPr>
              <w:jc w:val="right"/>
              <w:ind w:right="138"/>
              <w:spacing w:after="0"/>
              <w:rPr>
                <w:sz w:val="20"/>
                <w:szCs w:val="20"/>
                <w:color w:val="auto"/>
              </w:rPr>
            </w:pPr>
            <w:r>
              <w:rPr>
                <w:rFonts w:ascii="Arial" w:cs="Arial" w:eastAsia="Arial" w:hAnsi="Arial"/>
                <w:sz w:val="8"/>
                <w:szCs w:val="8"/>
                <w:b w:val="1"/>
                <w:bCs w:val="1"/>
                <w:color w:val="009BDE"/>
              </w:rPr>
              <w:t>Other</w:t>
            </w:r>
          </w:p>
        </w:tc>
      </w:tr>
      <w:tr>
        <w:trPr>
          <w:trHeight w:val="199"/>
        </w:trPr>
        <w:tc>
          <w:tcPr>
            <w:tcW w:w="2080" w:type="dxa"/>
            <w:vAlign w:val="bottom"/>
            <w:tcBorders>
              <w:bottom w:val="single" w:sz="8" w:color="CCEBF8"/>
            </w:tcBorders>
            <w:shd w:val="clear" w:color="auto" w:fill="CCEBF8"/>
          </w:tcPr>
          <w:p>
            <w:pPr>
              <w:spacing w:after="0"/>
              <w:rPr>
                <w:sz w:val="20"/>
                <w:szCs w:val="20"/>
                <w:color w:val="auto"/>
              </w:rPr>
            </w:pPr>
            <w:r>
              <w:rPr>
                <w:rFonts w:ascii="Arial" w:cs="Arial" w:eastAsia="Arial" w:hAnsi="Arial"/>
                <w:sz w:val="8"/>
                <w:szCs w:val="8"/>
                <w:b w:val="1"/>
                <w:bCs w:val="1"/>
                <w:color w:val="009BDE"/>
              </w:rPr>
              <w:t>Adjustments</w:t>
            </w:r>
          </w:p>
        </w:tc>
        <w:tc>
          <w:tcPr>
            <w:tcW w:w="140" w:type="dxa"/>
            <w:vAlign w:val="bottom"/>
            <w:tcBorders>
              <w:bottom w:val="single" w:sz="8" w:color="CCEBF8"/>
            </w:tcBorders>
            <w:shd w:val="clear" w:color="auto" w:fill="CCEBF8"/>
          </w:tcPr>
          <w:p>
            <w:pPr>
              <w:spacing w:after="0"/>
              <w:rPr>
                <w:sz w:val="16"/>
                <w:szCs w:val="16"/>
                <w:color w:val="auto"/>
              </w:rPr>
            </w:pPr>
          </w:p>
        </w:tc>
        <w:tc>
          <w:tcPr>
            <w:tcW w:w="80" w:type="dxa"/>
            <w:vAlign w:val="bottom"/>
            <w:tcBorders>
              <w:bottom w:val="single" w:sz="8" w:color="CCEBF8"/>
            </w:tcBorders>
            <w:shd w:val="clear" w:color="auto" w:fill="CCEBF8"/>
          </w:tcPr>
          <w:p>
            <w:pPr>
              <w:spacing w:after="0"/>
              <w:rPr>
                <w:sz w:val="16"/>
                <w:szCs w:val="16"/>
                <w:color w:val="auto"/>
              </w:rPr>
            </w:pPr>
          </w:p>
        </w:tc>
        <w:tc>
          <w:tcPr>
            <w:tcW w:w="480" w:type="dxa"/>
            <w:vAlign w:val="bottom"/>
            <w:tcBorders>
              <w:bottom w:val="single" w:sz="8" w:color="CCEBF8"/>
            </w:tcBorders>
            <w:shd w:val="clear" w:color="auto" w:fill="CCEBF8"/>
          </w:tcPr>
          <w:p>
            <w:pPr>
              <w:jc w:val="right"/>
              <w:ind w:right="138"/>
              <w:spacing w:after="0"/>
              <w:rPr>
                <w:sz w:val="20"/>
                <w:szCs w:val="20"/>
                <w:color w:val="auto"/>
              </w:rPr>
            </w:pPr>
            <w:r>
              <w:rPr>
                <w:rFonts w:ascii="Arial" w:cs="Arial" w:eastAsia="Arial" w:hAnsi="Arial"/>
                <w:sz w:val="8"/>
                <w:szCs w:val="8"/>
                <w:b w:val="1"/>
                <w:bCs w:val="1"/>
                <w:color w:val="009BDE"/>
                <w:w w:val="95"/>
              </w:rPr>
              <w:t>(Cocks)</w:t>
            </w:r>
          </w:p>
        </w:tc>
        <w:tc>
          <w:tcPr>
            <w:tcW w:w="580" w:type="dxa"/>
            <w:vAlign w:val="bottom"/>
            <w:tcBorders>
              <w:bottom w:val="single" w:sz="8" w:color="CCEBF8"/>
            </w:tcBorders>
            <w:gridSpan w:val="2"/>
            <w:shd w:val="clear" w:color="auto" w:fill="CCEBF8"/>
          </w:tcPr>
          <w:p>
            <w:pPr>
              <w:ind w:left="100"/>
              <w:spacing w:after="0"/>
              <w:rPr>
                <w:sz w:val="20"/>
                <w:szCs w:val="20"/>
                <w:color w:val="auto"/>
              </w:rPr>
            </w:pPr>
            <w:r>
              <w:rPr>
                <w:rFonts w:ascii="Arial" w:cs="Arial" w:eastAsia="Arial" w:hAnsi="Arial"/>
                <w:sz w:val="8"/>
                <w:szCs w:val="8"/>
                <w:b w:val="1"/>
                <w:bCs w:val="1"/>
                <w:color w:val="009BDE"/>
              </w:rPr>
              <w:t>(Stoddart)</w:t>
            </w:r>
          </w:p>
        </w:tc>
        <w:tc>
          <w:tcPr>
            <w:tcW w:w="160" w:type="dxa"/>
            <w:vAlign w:val="bottom"/>
            <w:tcBorders>
              <w:bottom w:val="single" w:sz="8" w:color="CCEBF8"/>
            </w:tcBorders>
            <w:shd w:val="clear" w:color="auto" w:fill="CCEBF8"/>
          </w:tcPr>
          <w:p>
            <w:pPr>
              <w:spacing w:after="0"/>
              <w:rPr>
                <w:sz w:val="16"/>
                <w:szCs w:val="16"/>
                <w:color w:val="auto"/>
              </w:rPr>
            </w:pPr>
          </w:p>
        </w:tc>
        <w:tc>
          <w:tcPr>
            <w:tcW w:w="580" w:type="dxa"/>
            <w:vAlign w:val="bottom"/>
            <w:tcBorders>
              <w:bottom w:val="single" w:sz="8" w:color="CCEBF8"/>
            </w:tcBorders>
            <w:gridSpan w:val="2"/>
            <w:shd w:val="clear" w:color="auto" w:fill="CCEBF8"/>
          </w:tcPr>
          <w:p>
            <w:pPr>
              <w:jc w:val="center"/>
              <w:ind w:right="260"/>
              <w:spacing w:after="0"/>
              <w:rPr>
                <w:sz w:val="20"/>
                <w:szCs w:val="20"/>
                <w:color w:val="auto"/>
              </w:rPr>
            </w:pPr>
            <w:r>
              <w:rPr>
                <w:rFonts w:ascii="Arial" w:cs="Arial" w:eastAsia="Arial" w:hAnsi="Arial"/>
                <w:sz w:val="8"/>
                <w:szCs w:val="8"/>
                <w:b w:val="1"/>
                <w:bCs w:val="1"/>
                <w:color w:val="009BDE"/>
                <w:w w:val="93"/>
              </w:rPr>
              <w:t>NEOs</w:t>
            </w:r>
            <w:r>
              <w:rPr>
                <w:rFonts w:ascii="Arial" w:cs="Arial" w:eastAsia="Arial" w:hAnsi="Arial"/>
                <w:sz w:val="10"/>
                <w:szCs w:val="10"/>
                <w:b w:val="1"/>
                <w:bCs w:val="1"/>
                <w:color w:val="009BDE"/>
                <w:w w:val="93"/>
                <w:vertAlign w:val="superscript"/>
              </w:rPr>
              <w:t>(4)</w:t>
            </w:r>
          </w:p>
        </w:tc>
        <w:tc>
          <w:tcPr>
            <w:tcW w:w="580" w:type="dxa"/>
            <w:vAlign w:val="bottom"/>
            <w:tcBorders>
              <w:bottom w:val="single" w:sz="8" w:color="CCEBF8"/>
            </w:tcBorders>
            <w:gridSpan w:val="2"/>
            <w:shd w:val="clear" w:color="auto" w:fill="CCEBF8"/>
          </w:tcPr>
          <w:p>
            <w:pPr>
              <w:ind w:left="40"/>
              <w:spacing w:after="0"/>
              <w:rPr>
                <w:sz w:val="20"/>
                <w:szCs w:val="20"/>
                <w:color w:val="auto"/>
              </w:rPr>
            </w:pPr>
            <w:r>
              <w:rPr>
                <w:rFonts w:ascii="Arial" w:cs="Arial" w:eastAsia="Arial" w:hAnsi="Arial"/>
                <w:sz w:val="8"/>
                <w:szCs w:val="8"/>
                <w:b w:val="1"/>
                <w:bCs w:val="1"/>
                <w:color w:val="009BDE"/>
              </w:rPr>
              <w:t>(Stoddart)</w:t>
            </w:r>
          </w:p>
        </w:tc>
        <w:tc>
          <w:tcPr>
            <w:tcW w:w="700" w:type="dxa"/>
            <w:vAlign w:val="bottom"/>
            <w:tcBorders>
              <w:bottom w:val="single" w:sz="8" w:color="CCEBF8"/>
            </w:tcBorders>
            <w:gridSpan w:val="2"/>
            <w:shd w:val="clear" w:color="auto" w:fill="CCEBF8"/>
          </w:tcPr>
          <w:p>
            <w:pPr>
              <w:jc w:val="center"/>
              <w:spacing w:after="0"/>
              <w:rPr>
                <w:sz w:val="20"/>
                <w:szCs w:val="20"/>
                <w:color w:val="auto"/>
              </w:rPr>
            </w:pPr>
            <w:r>
              <w:rPr>
                <w:rFonts w:ascii="Arial" w:cs="Arial" w:eastAsia="Arial" w:hAnsi="Arial"/>
                <w:sz w:val="8"/>
                <w:szCs w:val="8"/>
                <w:b w:val="1"/>
                <w:bCs w:val="1"/>
                <w:color w:val="009BDE"/>
              </w:rPr>
              <w:t>(Goldner)</w:t>
            </w:r>
          </w:p>
        </w:tc>
        <w:tc>
          <w:tcPr>
            <w:tcW w:w="160" w:type="dxa"/>
            <w:vAlign w:val="bottom"/>
            <w:tcBorders>
              <w:bottom w:val="single" w:sz="8" w:color="CCEBF8"/>
            </w:tcBorders>
            <w:shd w:val="clear" w:color="auto" w:fill="CCEBF8"/>
          </w:tcPr>
          <w:p>
            <w:pPr>
              <w:spacing w:after="0"/>
              <w:rPr>
                <w:sz w:val="16"/>
                <w:szCs w:val="16"/>
                <w:color w:val="auto"/>
              </w:rPr>
            </w:pPr>
          </w:p>
        </w:tc>
        <w:tc>
          <w:tcPr>
            <w:tcW w:w="580" w:type="dxa"/>
            <w:vAlign w:val="bottom"/>
            <w:tcBorders>
              <w:bottom w:val="single" w:sz="8" w:color="CCEBF8"/>
            </w:tcBorders>
            <w:gridSpan w:val="2"/>
            <w:shd w:val="clear" w:color="auto" w:fill="CCEBF8"/>
          </w:tcPr>
          <w:p>
            <w:pPr>
              <w:jc w:val="center"/>
              <w:ind w:right="280"/>
              <w:spacing w:after="0"/>
              <w:rPr>
                <w:sz w:val="20"/>
                <w:szCs w:val="20"/>
                <w:color w:val="auto"/>
              </w:rPr>
            </w:pPr>
            <w:r>
              <w:rPr>
                <w:rFonts w:ascii="Arial" w:cs="Arial" w:eastAsia="Arial" w:hAnsi="Arial"/>
                <w:sz w:val="8"/>
                <w:szCs w:val="8"/>
                <w:b w:val="1"/>
                <w:bCs w:val="1"/>
                <w:color w:val="009BDE"/>
              </w:rPr>
              <w:t>NEOs</w:t>
            </w:r>
            <w:r>
              <w:rPr>
                <w:rFonts w:ascii="Arial" w:cs="Arial" w:eastAsia="Arial" w:hAnsi="Arial"/>
                <w:sz w:val="10"/>
                <w:szCs w:val="10"/>
                <w:b w:val="1"/>
                <w:bCs w:val="1"/>
                <w:color w:val="009BDE"/>
                <w:vertAlign w:val="superscript"/>
              </w:rPr>
              <w:t>(4)</w:t>
            </w:r>
          </w:p>
        </w:tc>
        <w:tc>
          <w:tcPr>
            <w:tcW w:w="620" w:type="dxa"/>
            <w:vAlign w:val="bottom"/>
            <w:tcBorders>
              <w:bottom w:val="single" w:sz="8" w:color="CCEBF8"/>
            </w:tcBorders>
            <w:gridSpan w:val="2"/>
            <w:shd w:val="clear" w:color="auto" w:fill="CCEBF8"/>
          </w:tcPr>
          <w:p>
            <w:pPr>
              <w:jc w:val="right"/>
              <w:ind w:right="138"/>
              <w:spacing w:after="0"/>
              <w:rPr>
                <w:sz w:val="20"/>
                <w:szCs w:val="20"/>
                <w:color w:val="auto"/>
              </w:rPr>
            </w:pPr>
            <w:r>
              <w:rPr>
                <w:rFonts w:ascii="Arial" w:cs="Arial" w:eastAsia="Arial" w:hAnsi="Arial"/>
                <w:sz w:val="8"/>
                <w:szCs w:val="8"/>
                <w:b w:val="1"/>
                <w:bCs w:val="1"/>
                <w:color w:val="009BDE"/>
              </w:rPr>
              <w:t>(Goldner)</w:t>
            </w:r>
          </w:p>
        </w:tc>
        <w:tc>
          <w:tcPr>
            <w:tcW w:w="160" w:type="dxa"/>
            <w:vAlign w:val="bottom"/>
            <w:tcBorders>
              <w:bottom w:val="single" w:sz="8" w:color="CCEBF8"/>
            </w:tcBorders>
            <w:shd w:val="clear" w:color="auto" w:fill="CCEBF8"/>
          </w:tcPr>
          <w:p>
            <w:pPr>
              <w:spacing w:after="0"/>
              <w:rPr>
                <w:sz w:val="16"/>
                <w:szCs w:val="16"/>
                <w:color w:val="auto"/>
              </w:rPr>
            </w:pPr>
          </w:p>
        </w:tc>
        <w:tc>
          <w:tcPr>
            <w:tcW w:w="440" w:type="dxa"/>
            <w:vAlign w:val="bottom"/>
            <w:tcBorders>
              <w:bottom w:val="single" w:sz="8" w:color="CCEBF8"/>
            </w:tcBorders>
            <w:shd w:val="clear" w:color="auto" w:fill="CCEBF8"/>
          </w:tcPr>
          <w:p>
            <w:pPr>
              <w:jc w:val="right"/>
              <w:ind w:right="98"/>
              <w:spacing w:after="0"/>
              <w:rPr>
                <w:sz w:val="20"/>
                <w:szCs w:val="20"/>
                <w:color w:val="auto"/>
              </w:rPr>
            </w:pPr>
            <w:r>
              <w:rPr>
                <w:rFonts w:ascii="Arial" w:cs="Arial" w:eastAsia="Arial" w:hAnsi="Arial"/>
                <w:sz w:val="8"/>
                <w:szCs w:val="8"/>
                <w:b w:val="1"/>
                <w:bCs w:val="1"/>
                <w:color w:val="009BDE"/>
                <w:w w:val="93"/>
              </w:rPr>
              <w:t>NEOs</w:t>
            </w:r>
            <w:r>
              <w:rPr>
                <w:rFonts w:ascii="Arial" w:cs="Arial" w:eastAsia="Arial" w:hAnsi="Arial"/>
                <w:sz w:val="10"/>
                <w:szCs w:val="10"/>
                <w:b w:val="1"/>
                <w:bCs w:val="1"/>
                <w:color w:val="009BDE"/>
                <w:w w:val="93"/>
                <w:vertAlign w:val="superscript"/>
              </w:rPr>
              <w:t>(4)</w:t>
            </w:r>
          </w:p>
        </w:tc>
      </w:tr>
      <w:tr>
        <w:trPr>
          <w:trHeight w:val="148"/>
        </w:trPr>
        <w:tc>
          <w:tcPr>
            <w:tcW w:w="2080" w:type="dxa"/>
            <w:vAlign w:val="bottom"/>
            <w:tcBorders>
              <w:top w:val="single" w:sz="8" w:color="009BDE"/>
            </w:tcBorders>
          </w:tcPr>
          <w:p>
            <w:pPr>
              <w:ind w:left="40"/>
              <w:spacing w:after="0"/>
              <w:rPr>
                <w:sz w:val="20"/>
                <w:szCs w:val="20"/>
                <w:color w:val="auto"/>
              </w:rPr>
            </w:pPr>
            <w:r>
              <w:rPr>
                <w:rFonts w:ascii="Arial" w:cs="Arial" w:eastAsia="Arial" w:hAnsi="Arial"/>
                <w:sz w:val="8"/>
                <w:szCs w:val="8"/>
                <w:b w:val="1"/>
                <w:bCs w:val="1"/>
                <w:color w:val="auto"/>
              </w:rPr>
              <w:t>Total from Summary Compensation Table</w:t>
            </w:r>
          </w:p>
        </w:tc>
        <w:tc>
          <w:tcPr>
            <w:tcW w:w="700" w:type="dxa"/>
            <w:vAlign w:val="bottom"/>
            <w:tcBorders>
              <w:top w:val="single" w:sz="8" w:color="009BDE"/>
            </w:tcBorders>
            <w:gridSpan w:val="3"/>
          </w:tcPr>
          <w:p>
            <w:pPr>
              <w:jc w:val="right"/>
              <w:ind w:right="58"/>
              <w:spacing w:after="0"/>
              <w:rPr>
                <w:sz w:val="20"/>
                <w:szCs w:val="20"/>
                <w:color w:val="auto"/>
              </w:rPr>
            </w:pPr>
            <w:r>
              <w:rPr>
                <w:rFonts w:ascii="Arial" w:cs="Arial" w:eastAsia="Arial" w:hAnsi="Arial"/>
                <w:sz w:val="8"/>
                <w:szCs w:val="8"/>
                <w:color w:val="auto"/>
              </w:rPr>
              <w:t>$ 9,443,047</w:t>
            </w:r>
          </w:p>
        </w:tc>
        <w:tc>
          <w:tcPr>
            <w:tcW w:w="140" w:type="dxa"/>
            <w:vAlign w:val="bottom"/>
            <w:tcBorders>
              <w:top w:val="single" w:sz="8" w:color="009BDE"/>
            </w:tcBorders>
          </w:tcPr>
          <w:p>
            <w:pPr>
              <w:ind w:left="100"/>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009BDE"/>
            </w:tcBorders>
          </w:tcPr>
          <w:p>
            <w:pPr>
              <w:jc w:val="right"/>
              <w:ind w:right="38"/>
              <w:spacing w:after="0"/>
              <w:rPr>
                <w:sz w:val="20"/>
                <w:szCs w:val="20"/>
                <w:color w:val="auto"/>
              </w:rPr>
            </w:pPr>
            <w:r>
              <w:rPr>
                <w:rFonts w:ascii="Arial" w:cs="Arial" w:eastAsia="Arial" w:hAnsi="Arial"/>
                <w:sz w:val="8"/>
                <w:szCs w:val="8"/>
                <w:color w:val="auto"/>
              </w:rPr>
              <w:t>270,000</w:t>
            </w:r>
          </w:p>
        </w:tc>
        <w:tc>
          <w:tcPr>
            <w:tcW w:w="600" w:type="dxa"/>
            <w:vAlign w:val="bottom"/>
            <w:tcBorders>
              <w:top w:val="single" w:sz="8" w:color="009BDE"/>
            </w:tcBorders>
            <w:gridSpan w:val="2"/>
          </w:tcPr>
          <w:p>
            <w:pPr>
              <w:jc w:val="right"/>
              <w:ind w:right="18"/>
              <w:spacing w:after="0"/>
              <w:rPr>
                <w:sz w:val="20"/>
                <w:szCs w:val="20"/>
                <w:color w:val="auto"/>
              </w:rPr>
            </w:pPr>
            <w:r>
              <w:rPr>
                <w:rFonts w:ascii="Arial" w:cs="Arial" w:eastAsia="Arial" w:hAnsi="Arial"/>
                <w:sz w:val="8"/>
                <w:szCs w:val="8"/>
                <w:color w:val="auto"/>
              </w:rPr>
              <w:t>$ 7,444,885</w:t>
            </w:r>
          </w:p>
        </w:tc>
        <w:tc>
          <w:tcPr>
            <w:tcW w:w="140" w:type="dxa"/>
            <w:vAlign w:val="bottom"/>
            <w:tcBorders>
              <w:top w:val="single" w:sz="8" w:color="009BDE"/>
            </w:tcBorders>
          </w:tcPr>
          <w:p>
            <w:pPr>
              <w:spacing w:after="0"/>
              <w:rPr>
                <w:sz w:val="12"/>
                <w:szCs w:val="12"/>
                <w:color w:val="auto"/>
              </w:rPr>
            </w:pPr>
          </w:p>
        </w:tc>
        <w:tc>
          <w:tcPr>
            <w:tcW w:w="580" w:type="dxa"/>
            <w:vAlign w:val="bottom"/>
            <w:tcBorders>
              <w:top w:val="single" w:sz="8" w:color="009BDE"/>
            </w:tcBorders>
            <w:gridSpan w:val="2"/>
          </w:tcPr>
          <w:p>
            <w:pPr>
              <w:spacing w:after="0"/>
              <w:rPr>
                <w:sz w:val="20"/>
                <w:szCs w:val="20"/>
                <w:color w:val="auto"/>
              </w:rPr>
            </w:pPr>
            <w:r>
              <w:rPr>
                <w:rFonts w:ascii="Arial" w:cs="Arial" w:eastAsia="Arial" w:hAnsi="Arial"/>
                <w:sz w:val="8"/>
                <w:szCs w:val="8"/>
                <w:color w:val="auto"/>
              </w:rPr>
              <w:t>$ 3,130,233</w:t>
            </w:r>
          </w:p>
        </w:tc>
        <w:tc>
          <w:tcPr>
            <w:tcW w:w="700" w:type="dxa"/>
            <w:vAlign w:val="bottom"/>
            <w:tcBorders>
              <w:top w:val="single" w:sz="8" w:color="009BDE"/>
            </w:tcBorders>
            <w:gridSpan w:val="2"/>
          </w:tcPr>
          <w:p>
            <w:pPr>
              <w:jc w:val="right"/>
              <w:ind w:right="78"/>
              <w:spacing w:after="0"/>
              <w:rPr>
                <w:sz w:val="20"/>
                <w:szCs w:val="20"/>
                <w:color w:val="auto"/>
              </w:rPr>
            </w:pPr>
            <w:r>
              <w:rPr>
                <w:rFonts w:ascii="Arial" w:cs="Arial" w:eastAsia="Arial" w:hAnsi="Arial"/>
                <w:sz w:val="8"/>
                <w:szCs w:val="8"/>
                <w:color w:val="auto"/>
              </w:rPr>
              <w:t>$ 23,714,681</w:t>
            </w:r>
          </w:p>
        </w:tc>
        <w:tc>
          <w:tcPr>
            <w:tcW w:w="600" w:type="dxa"/>
            <w:vAlign w:val="bottom"/>
            <w:tcBorders>
              <w:top w:val="single" w:sz="8" w:color="009BDE"/>
            </w:tcBorders>
            <w:gridSpan w:val="2"/>
          </w:tcPr>
          <w:p>
            <w:pPr>
              <w:jc w:val="right"/>
              <w:ind w:right="18"/>
              <w:spacing w:after="0"/>
              <w:rPr>
                <w:sz w:val="20"/>
                <w:szCs w:val="20"/>
                <w:color w:val="auto"/>
              </w:rPr>
            </w:pPr>
            <w:r>
              <w:rPr>
                <w:rFonts w:ascii="Arial" w:cs="Arial" w:eastAsia="Arial" w:hAnsi="Arial"/>
                <w:sz w:val="8"/>
                <w:szCs w:val="8"/>
                <w:color w:val="auto"/>
              </w:rPr>
              <w:t>$ 6,265,507</w:t>
            </w:r>
          </w:p>
        </w:tc>
        <w:tc>
          <w:tcPr>
            <w:tcW w:w="140" w:type="dxa"/>
            <w:vAlign w:val="bottom"/>
            <w:tcBorders>
              <w:top w:val="single" w:sz="8" w:color="009BDE"/>
            </w:tcBorders>
          </w:tcPr>
          <w:p>
            <w:pPr>
              <w:spacing w:after="0"/>
              <w:rPr>
                <w:sz w:val="12"/>
                <w:szCs w:val="12"/>
                <w:color w:val="auto"/>
              </w:rPr>
            </w:pPr>
          </w:p>
        </w:tc>
        <w:tc>
          <w:tcPr>
            <w:tcW w:w="620" w:type="dxa"/>
            <w:vAlign w:val="bottom"/>
            <w:tcBorders>
              <w:top w:val="single" w:sz="8" w:color="009BDE"/>
            </w:tcBorders>
            <w:gridSpan w:val="2"/>
          </w:tcPr>
          <w:p>
            <w:pPr>
              <w:jc w:val="right"/>
              <w:ind w:right="78"/>
              <w:spacing w:after="0"/>
              <w:rPr>
                <w:sz w:val="20"/>
                <w:szCs w:val="20"/>
                <w:color w:val="auto"/>
              </w:rPr>
            </w:pPr>
            <w:r>
              <w:rPr>
                <w:rFonts w:ascii="Arial" w:cs="Arial" w:eastAsia="Arial" w:hAnsi="Arial"/>
                <w:sz w:val="8"/>
                <w:szCs w:val="8"/>
                <w:color w:val="auto"/>
              </w:rPr>
              <w:t>$ 16,668,010</w:t>
            </w:r>
          </w:p>
        </w:tc>
        <w:tc>
          <w:tcPr>
            <w:tcW w:w="600" w:type="dxa"/>
            <w:vAlign w:val="bottom"/>
            <w:tcBorders>
              <w:top w:val="single" w:sz="8" w:color="009BDE"/>
            </w:tcBorders>
            <w:gridSpan w:val="2"/>
          </w:tcPr>
          <w:p>
            <w:pPr>
              <w:jc w:val="right"/>
              <w:ind w:right="18"/>
              <w:spacing w:after="0"/>
              <w:rPr>
                <w:sz w:val="20"/>
                <w:szCs w:val="20"/>
                <w:color w:val="auto"/>
              </w:rPr>
            </w:pPr>
            <w:r>
              <w:rPr>
                <w:rFonts w:ascii="Arial" w:cs="Arial" w:eastAsia="Arial" w:hAnsi="Arial"/>
                <w:sz w:val="8"/>
                <w:szCs w:val="8"/>
                <w:color w:val="auto"/>
              </w:rPr>
              <w:t>$ 9,964,919</w:t>
            </w:r>
          </w:p>
        </w:tc>
      </w:tr>
      <w:tr>
        <w:trPr>
          <w:trHeight w:val="66"/>
        </w:trPr>
        <w:tc>
          <w:tcPr>
            <w:tcW w:w="208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r>
      <w:tr>
        <w:trPr>
          <w:trHeight w:val="128"/>
        </w:trPr>
        <w:tc>
          <w:tcPr>
            <w:tcW w:w="2080" w:type="dxa"/>
            <w:vAlign w:val="bottom"/>
          </w:tcPr>
          <w:p>
            <w:pPr>
              <w:ind w:left="40"/>
              <w:spacing w:after="0"/>
              <w:rPr>
                <w:sz w:val="20"/>
                <w:szCs w:val="20"/>
                <w:color w:val="auto"/>
              </w:rPr>
            </w:pPr>
            <w:r>
              <w:rPr>
                <w:rFonts w:ascii="Arial" w:cs="Arial" w:eastAsia="Arial" w:hAnsi="Arial"/>
                <w:sz w:val="8"/>
                <w:szCs w:val="8"/>
                <w:b w:val="1"/>
                <w:bCs w:val="1"/>
                <w:color w:val="auto"/>
              </w:rPr>
              <w:t>Adjustments for defined benefit and actuarial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10"/>
        </w:trPr>
        <w:tc>
          <w:tcPr>
            <w:tcW w:w="2080" w:type="dxa"/>
            <w:vAlign w:val="bottom"/>
          </w:tcPr>
          <w:p>
            <w:pPr>
              <w:ind w:left="40"/>
              <w:spacing w:after="0"/>
              <w:rPr>
                <w:sz w:val="20"/>
                <w:szCs w:val="20"/>
                <w:color w:val="auto"/>
              </w:rPr>
            </w:pPr>
            <w:r>
              <w:rPr>
                <w:rFonts w:ascii="Arial" w:cs="Arial" w:eastAsia="Arial" w:hAnsi="Arial"/>
                <w:sz w:val="8"/>
                <w:szCs w:val="8"/>
                <w:b w:val="1"/>
                <w:bCs w:val="1"/>
                <w:color w:val="auto"/>
              </w:rPr>
              <w:t>plans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66"/>
        </w:trPr>
        <w:tc>
          <w:tcPr>
            <w:tcW w:w="208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r>
      <w:tr>
        <w:trPr>
          <w:trHeight w:val="148"/>
        </w:trPr>
        <w:tc>
          <w:tcPr>
            <w:tcW w:w="2080" w:type="dxa"/>
            <w:vAlign w:val="bottom"/>
          </w:tcPr>
          <w:p>
            <w:pPr>
              <w:ind w:left="40"/>
              <w:spacing w:after="0"/>
              <w:rPr>
                <w:sz w:val="20"/>
                <w:szCs w:val="20"/>
                <w:color w:val="auto"/>
              </w:rPr>
            </w:pPr>
            <w:r>
              <w:rPr>
                <w:rFonts w:ascii="Arial" w:cs="Arial" w:eastAsia="Arial" w:hAnsi="Arial"/>
                <w:sz w:val="8"/>
                <w:szCs w:val="8"/>
                <w:color w:val="auto"/>
              </w:rPr>
              <w:t>Subtract: Pension Value Reported in SCT</w:t>
            </w:r>
          </w:p>
        </w:tc>
        <w:tc>
          <w:tcPr>
            <w:tcW w:w="220" w:type="dxa"/>
            <w:vAlign w:val="bottom"/>
            <w:gridSpan w:val="2"/>
          </w:tcPr>
          <w:p>
            <w:pPr>
              <w:ind w:left="140"/>
              <w:spacing w:after="0"/>
              <w:rPr>
                <w:sz w:val="20"/>
                <w:szCs w:val="20"/>
                <w:color w:val="auto"/>
              </w:rPr>
            </w:pPr>
            <w:r>
              <w:rPr>
                <w:rFonts w:ascii="Arial" w:cs="Arial" w:eastAsia="Arial" w:hAnsi="Arial"/>
                <w:sz w:val="8"/>
                <w:szCs w:val="8"/>
                <w:color w:val="auto"/>
                <w:w w:val="83"/>
              </w:rPr>
              <w:t>($</w:t>
            </w:r>
          </w:p>
        </w:tc>
        <w:tc>
          <w:tcPr>
            <w:tcW w:w="480" w:type="dxa"/>
            <w:vAlign w:val="bottom"/>
          </w:tcPr>
          <w:p>
            <w:pPr>
              <w:jc w:val="right"/>
              <w:ind w:right="38"/>
              <w:spacing w:after="0"/>
              <w:rPr>
                <w:sz w:val="20"/>
                <w:szCs w:val="20"/>
                <w:color w:val="auto"/>
              </w:rPr>
            </w:pPr>
            <w:r>
              <w:rPr>
                <w:rFonts w:ascii="Arial" w:cs="Arial" w:eastAsia="Arial" w:hAnsi="Arial"/>
                <w:sz w:val="8"/>
                <w:szCs w:val="8"/>
                <w:color w:val="auto"/>
              </w:rPr>
              <w:t>1,121)</w:t>
            </w:r>
          </w:p>
        </w:tc>
        <w:tc>
          <w:tcPr>
            <w:tcW w:w="140" w:type="dxa"/>
            <w:vAlign w:val="bottom"/>
          </w:tcPr>
          <w:p>
            <w:pPr>
              <w:ind w:left="10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ind w:right="38"/>
              <w:spacing w:after="0"/>
              <w:rPr>
                <w:sz w:val="20"/>
                <w:szCs w:val="20"/>
                <w:color w:val="auto"/>
              </w:rPr>
            </w:pPr>
            <w:r>
              <w:rPr>
                <w:rFonts w:ascii="Arial" w:cs="Arial" w:eastAsia="Arial" w:hAnsi="Arial"/>
                <w:sz w:val="8"/>
                <w:szCs w:val="8"/>
                <w:color w:val="auto"/>
              </w:rPr>
              <w:t>0</w:t>
            </w:r>
          </w:p>
        </w:tc>
        <w:tc>
          <w:tcPr>
            <w:tcW w:w="160" w:type="dxa"/>
            <w:vAlign w:val="bottom"/>
          </w:tcPr>
          <w:p>
            <w:pPr>
              <w:ind w:left="80"/>
              <w:spacing w:after="0"/>
              <w:rPr>
                <w:sz w:val="20"/>
                <w:szCs w:val="20"/>
                <w:color w:val="auto"/>
              </w:rPr>
            </w:pPr>
            <w:r>
              <w:rPr>
                <w:rFonts w:ascii="Arial" w:cs="Arial" w:eastAsia="Arial" w:hAnsi="Arial"/>
                <w:sz w:val="8"/>
                <w:szCs w:val="8"/>
                <w:color w:val="auto"/>
                <w:w w:val="83"/>
              </w:rPr>
              <w:t>($</w:t>
            </w:r>
          </w:p>
        </w:tc>
        <w:tc>
          <w:tcPr>
            <w:tcW w:w="440" w:type="dxa"/>
            <w:vAlign w:val="bottom"/>
          </w:tcPr>
          <w:p>
            <w:pPr>
              <w:jc w:val="right"/>
              <w:spacing w:after="0"/>
              <w:rPr>
                <w:sz w:val="20"/>
                <w:szCs w:val="20"/>
                <w:color w:val="auto"/>
              </w:rPr>
            </w:pPr>
            <w:r>
              <w:rPr>
                <w:rFonts w:ascii="Arial" w:cs="Arial" w:eastAsia="Arial" w:hAnsi="Arial"/>
                <w:sz w:val="8"/>
                <w:szCs w:val="8"/>
                <w:color w:val="auto"/>
              </w:rPr>
              <w:t>2,394)</w:t>
            </w:r>
          </w:p>
        </w:tc>
        <w:tc>
          <w:tcPr>
            <w:tcW w:w="1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8"/>
                <w:szCs w:val="8"/>
                <w:color w:val="auto"/>
              </w:rPr>
              <w:t>$</w:t>
            </w:r>
          </w:p>
        </w:tc>
        <w:tc>
          <w:tcPr>
            <w:tcW w:w="480" w:type="dxa"/>
            <w:vAlign w:val="bottom"/>
          </w:tcPr>
          <w:p>
            <w:pPr>
              <w:jc w:val="right"/>
              <w:ind w:right="78"/>
              <w:spacing w:after="0"/>
              <w:rPr>
                <w:sz w:val="20"/>
                <w:szCs w:val="20"/>
                <w:color w:val="auto"/>
              </w:rPr>
            </w:pPr>
            <w:r>
              <w:rPr>
                <w:rFonts w:ascii="Arial" w:cs="Arial" w:eastAsia="Arial" w:hAnsi="Arial"/>
                <w:sz w:val="8"/>
                <w:szCs w:val="8"/>
                <w:color w:val="auto"/>
              </w:rPr>
              <w:t>0</w:t>
            </w:r>
          </w:p>
        </w:tc>
        <w:tc>
          <w:tcPr>
            <w:tcW w:w="180" w:type="dxa"/>
            <w:vAlign w:val="bottom"/>
          </w:tcPr>
          <w:p>
            <w:pPr>
              <w:ind w:left="80"/>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38"/>
              <w:spacing w:after="0"/>
              <w:rPr>
                <w:sz w:val="20"/>
                <w:szCs w:val="20"/>
                <w:color w:val="auto"/>
              </w:rPr>
            </w:pPr>
            <w:r>
              <w:rPr>
                <w:rFonts w:ascii="Arial" w:cs="Arial" w:eastAsia="Arial" w:hAnsi="Arial"/>
                <w:sz w:val="8"/>
                <w:szCs w:val="8"/>
                <w:color w:val="auto"/>
              </w:rPr>
              <w:t>140,367)</w:t>
            </w:r>
          </w:p>
        </w:tc>
        <w:tc>
          <w:tcPr>
            <w:tcW w:w="160" w:type="dxa"/>
            <w:vAlign w:val="bottom"/>
          </w:tcPr>
          <w:p>
            <w:pPr>
              <w:ind w:left="80"/>
              <w:spacing w:after="0"/>
              <w:rPr>
                <w:sz w:val="20"/>
                <w:szCs w:val="20"/>
                <w:color w:val="auto"/>
              </w:rPr>
            </w:pPr>
            <w:r>
              <w:rPr>
                <w:rFonts w:ascii="Arial" w:cs="Arial" w:eastAsia="Arial" w:hAnsi="Arial"/>
                <w:sz w:val="8"/>
                <w:szCs w:val="8"/>
                <w:color w:val="auto"/>
                <w:w w:val="83"/>
              </w:rPr>
              <w:t>($</w:t>
            </w:r>
          </w:p>
        </w:tc>
        <w:tc>
          <w:tcPr>
            <w:tcW w:w="440" w:type="dxa"/>
            <w:vAlign w:val="bottom"/>
          </w:tcPr>
          <w:p>
            <w:pPr>
              <w:jc w:val="right"/>
              <w:spacing w:after="0"/>
              <w:rPr>
                <w:sz w:val="20"/>
                <w:szCs w:val="20"/>
                <w:color w:val="auto"/>
              </w:rPr>
            </w:pPr>
            <w:r>
              <w:rPr>
                <w:rFonts w:ascii="Arial" w:cs="Arial" w:eastAsia="Arial" w:hAnsi="Arial"/>
                <w:sz w:val="8"/>
                <w:szCs w:val="8"/>
                <w:color w:val="auto"/>
              </w:rPr>
              <w:t>19,737)</w:t>
            </w:r>
          </w:p>
        </w:tc>
        <w:tc>
          <w:tcPr>
            <w:tcW w:w="1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38"/>
              <w:spacing w:after="0"/>
              <w:rPr>
                <w:sz w:val="20"/>
                <w:szCs w:val="20"/>
                <w:color w:val="auto"/>
              </w:rPr>
            </w:pPr>
            <w:r>
              <w:rPr>
                <w:rFonts w:ascii="Arial" w:cs="Arial" w:eastAsia="Arial" w:hAnsi="Arial"/>
                <w:sz w:val="8"/>
                <w:szCs w:val="8"/>
                <w:color w:val="auto"/>
              </w:rPr>
              <w:t>354,447)</w:t>
            </w:r>
          </w:p>
        </w:tc>
        <w:tc>
          <w:tcPr>
            <w:tcW w:w="160" w:type="dxa"/>
            <w:vAlign w:val="bottom"/>
          </w:tcPr>
          <w:p>
            <w:pPr>
              <w:ind w:left="80"/>
              <w:spacing w:after="0"/>
              <w:rPr>
                <w:sz w:val="20"/>
                <w:szCs w:val="20"/>
                <w:color w:val="auto"/>
              </w:rPr>
            </w:pPr>
            <w:r>
              <w:rPr>
                <w:rFonts w:ascii="Arial" w:cs="Arial" w:eastAsia="Arial" w:hAnsi="Arial"/>
                <w:sz w:val="8"/>
                <w:szCs w:val="8"/>
                <w:color w:val="auto"/>
                <w:w w:val="83"/>
              </w:rPr>
              <w:t>($</w:t>
            </w:r>
          </w:p>
        </w:tc>
        <w:tc>
          <w:tcPr>
            <w:tcW w:w="440" w:type="dxa"/>
            <w:vAlign w:val="bottom"/>
          </w:tcPr>
          <w:p>
            <w:pPr>
              <w:jc w:val="right"/>
              <w:spacing w:after="0"/>
              <w:rPr>
                <w:sz w:val="20"/>
                <w:szCs w:val="20"/>
                <w:color w:val="auto"/>
              </w:rPr>
            </w:pPr>
            <w:r>
              <w:rPr>
                <w:rFonts w:ascii="Arial" w:cs="Arial" w:eastAsia="Arial" w:hAnsi="Arial"/>
                <w:sz w:val="8"/>
                <w:szCs w:val="8"/>
                <w:color w:val="auto"/>
              </w:rPr>
              <w:t>36,909)</w:t>
            </w:r>
          </w:p>
        </w:tc>
      </w:tr>
      <w:tr>
        <w:trPr>
          <w:trHeight w:val="66"/>
        </w:trPr>
        <w:tc>
          <w:tcPr>
            <w:tcW w:w="208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r>
      <w:tr>
        <w:trPr>
          <w:trHeight w:val="138"/>
        </w:trPr>
        <w:tc>
          <w:tcPr>
            <w:tcW w:w="2080" w:type="dxa"/>
            <w:vAlign w:val="bottom"/>
          </w:tcPr>
          <w:p>
            <w:pPr>
              <w:ind w:left="40"/>
              <w:spacing w:after="0"/>
              <w:rPr>
                <w:sz w:val="20"/>
                <w:szCs w:val="20"/>
                <w:color w:val="auto"/>
              </w:rPr>
            </w:pPr>
            <w:r>
              <w:rPr>
                <w:rFonts w:ascii="Arial" w:cs="Arial" w:eastAsia="Arial" w:hAnsi="Arial"/>
                <w:sz w:val="8"/>
                <w:szCs w:val="8"/>
                <w:color w:val="auto"/>
              </w:rPr>
              <w:t>Add: Pension value attributable to current year’s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90"/>
        </w:trPr>
        <w:tc>
          <w:tcPr>
            <w:tcW w:w="2080" w:type="dxa"/>
            <w:vAlign w:val="bottom"/>
          </w:tcPr>
          <w:p>
            <w:pPr>
              <w:ind w:left="40"/>
              <w:spacing w:after="0" w:line="90" w:lineRule="exact"/>
              <w:rPr>
                <w:sz w:val="20"/>
                <w:szCs w:val="20"/>
                <w:color w:val="auto"/>
              </w:rPr>
            </w:pPr>
            <w:r>
              <w:rPr>
                <w:rFonts w:ascii="Arial" w:cs="Arial" w:eastAsia="Arial" w:hAnsi="Arial"/>
                <w:sz w:val="8"/>
                <w:szCs w:val="8"/>
                <w:color w:val="auto"/>
              </w:rPr>
              <w:t>service and any change in pension value attributable</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100"/>
        </w:trPr>
        <w:tc>
          <w:tcPr>
            <w:tcW w:w="2080" w:type="dxa"/>
            <w:vAlign w:val="bottom"/>
          </w:tcPr>
          <w:p>
            <w:pPr>
              <w:ind w:left="40"/>
              <w:spacing w:after="0"/>
              <w:rPr>
                <w:sz w:val="20"/>
                <w:szCs w:val="20"/>
                <w:color w:val="auto"/>
              </w:rPr>
            </w:pPr>
            <w:r>
              <w:rPr>
                <w:rFonts w:ascii="Arial" w:cs="Arial" w:eastAsia="Arial" w:hAnsi="Arial"/>
                <w:sz w:val="8"/>
                <w:szCs w:val="8"/>
                <w:color w:val="auto"/>
              </w:rPr>
              <w:t>to plan amendments made in the current year</w:t>
            </w:r>
          </w:p>
        </w:tc>
        <w:tc>
          <w:tcPr>
            <w:tcW w:w="220" w:type="dxa"/>
            <w:vAlign w:val="bottom"/>
            <w:gridSpan w:val="2"/>
          </w:tcPr>
          <w:p>
            <w:pPr>
              <w:ind w:left="140"/>
              <w:spacing w:after="0"/>
              <w:rPr>
                <w:sz w:val="20"/>
                <w:szCs w:val="20"/>
                <w:color w:val="auto"/>
              </w:rPr>
            </w:pPr>
            <w:r>
              <w:rPr>
                <w:rFonts w:ascii="Arial" w:cs="Arial" w:eastAsia="Arial" w:hAnsi="Arial"/>
                <w:sz w:val="8"/>
                <w:szCs w:val="8"/>
                <w:color w:val="auto"/>
              </w:rPr>
              <w:t>$</w:t>
            </w:r>
          </w:p>
        </w:tc>
        <w:tc>
          <w:tcPr>
            <w:tcW w:w="480" w:type="dxa"/>
            <w:vAlign w:val="bottom"/>
          </w:tcPr>
          <w:p>
            <w:pPr>
              <w:jc w:val="right"/>
              <w:ind w:right="58"/>
              <w:spacing w:after="0"/>
              <w:rPr>
                <w:sz w:val="20"/>
                <w:szCs w:val="20"/>
                <w:color w:val="auto"/>
              </w:rPr>
            </w:pPr>
            <w:r>
              <w:rPr>
                <w:rFonts w:ascii="Arial" w:cs="Arial" w:eastAsia="Arial" w:hAnsi="Arial"/>
                <w:sz w:val="8"/>
                <w:szCs w:val="8"/>
                <w:color w:val="auto"/>
              </w:rPr>
              <w:t>0</w:t>
            </w:r>
          </w:p>
        </w:tc>
        <w:tc>
          <w:tcPr>
            <w:tcW w:w="140" w:type="dxa"/>
            <w:vAlign w:val="bottom"/>
          </w:tcPr>
          <w:p>
            <w:pPr>
              <w:ind w:left="10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ind w:right="38"/>
              <w:spacing w:after="0"/>
              <w:rPr>
                <w:sz w:val="20"/>
                <w:szCs w:val="20"/>
                <w:color w:val="auto"/>
              </w:rPr>
            </w:pPr>
            <w:r>
              <w:rPr>
                <w:rFonts w:ascii="Arial" w:cs="Arial" w:eastAsia="Arial" w:hAnsi="Arial"/>
                <w:sz w:val="8"/>
                <w:szCs w:val="8"/>
                <w:color w:val="auto"/>
              </w:rPr>
              <w:t>0</w:t>
            </w:r>
          </w:p>
        </w:tc>
        <w:tc>
          <w:tcPr>
            <w:tcW w:w="160" w:type="dxa"/>
            <w:vAlign w:val="bottom"/>
          </w:tcPr>
          <w:p>
            <w:pPr>
              <w:ind w:left="80"/>
              <w:spacing w:after="0"/>
              <w:rPr>
                <w:sz w:val="20"/>
                <w:szCs w:val="20"/>
                <w:color w:val="auto"/>
              </w:rPr>
            </w:pPr>
            <w:r>
              <w:rPr>
                <w:rFonts w:ascii="Arial" w:cs="Arial" w:eastAsia="Arial" w:hAnsi="Arial"/>
                <w:sz w:val="8"/>
                <w:szCs w:val="8"/>
                <w:color w:val="auto"/>
              </w:rPr>
              <w:t>$</w:t>
            </w:r>
          </w:p>
        </w:tc>
        <w:tc>
          <w:tcPr>
            <w:tcW w:w="440" w:type="dxa"/>
            <w:vAlign w:val="bottom"/>
          </w:tcPr>
          <w:p>
            <w:pPr>
              <w:jc w:val="right"/>
              <w:ind w:right="18"/>
              <w:spacing w:after="0"/>
              <w:rPr>
                <w:sz w:val="20"/>
                <w:szCs w:val="20"/>
                <w:color w:val="auto"/>
              </w:rPr>
            </w:pPr>
            <w:r>
              <w:rPr>
                <w:rFonts w:ascii="Arial" w:cs="Arial" w:eastAsia="Arial" w:hAnsi="Arial"/>
                <w:sz w:val="8"/>
                <w:szCs w:val="8"/>
                <w:color w:val="auto"/>
              </w:rPr>
              <w:t>0</w:t>
            </w:r>
          </w:p>
        </w:tc>
        <w:tc>
          <w:tcPr>
            <w:tcW w:w="140" w:type="dxa"/>
            <w:vAlign w:val="bottom"/>
          </w:tcPr>
          <w:p>
            <w:pPr>
              <w:spacing w:after="0"/>
              <w:rPr>
                <w:sz w:val="8"/>
                <w:szCs w:val="8"/>
                <w:color w:val="auto"/>
              </w:rPr>
            </w:pPr>
          </w:p>
        </w:tc>
        <w:tc>
          <w:tcPr>
            <w:tcW w:w="100" w:type="dxa"/>
            <w:vAlign w:val="bottom"/>
          </w:tcPr>
          <w:p>
            <w:pPr>
              <w:spacing w:after="0"/>
              <w:rPr>
                <w:sz w:val="20"/>
                <w:szCs w:val="20"/>
                <w:color w:val="auto"/>
              </w:rPr>
            </w:pPr>
            <w:r>
              <w:rPr>
                <w:rFonts w:ascii="Arial" w:cs="Arial" w:eastAsia="Arial" w:hAnsi="Arial"/>
                <w:sz w:val="8"/>
                <w:szCs w:val="8"/>
                <w:color w:val="auto"/>
              </w:rPr>
              <w:t>$</w:t>
            </w:r>
          </w:p>
        </w:tc>
        <w:tc>
          <w:tcPr>
            <w:tcW w:w="480" w:type="dxa"/>
            <w:vAlign w:val="bottom"/>
          </w:tcPr>
          <w:p>
            <w:pPr>
              <w:jc w:val="right"/>
              <w:ind w:right="78"/>
              <w:spacing w:after="0"/>
              <w:rPr>
                <w:sz w:val="20"/>
                <w:szCs w:val="20"/>
                <w:color w:val="auto"/>
              </w:rPr>
            </w:pPr>
            <w:r>
              <w:rPr>
                <w:rFonts w:ascii="Arial" w:cs="Arial" w:eastAsia="Arial" w:hAnsi="Arial"/>
                <w:sz w:val="8"/>
                <w:szCs w:val="8"/>
                <w:color w:val="auto"/>
              </w:rPr>
              <w:t>0</w:t>
            </w:r>
          </w:p>
        </w:tc>
        <w:tc>
          <w:tcPr>
            <w:tcW w:w="180" w:type="dxa"/>
            <w:vAlign w:val="bottom"/>
          </w:tcPr>
          <w:p>
            <w:pPr>
              <w:ind w:left="80"/>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78"/>
              <w:spacing w:after="0"/>
              <w:rPr>
                <w:sz w:val="20"/>
                <w:szCs w:val="20"/>
                <w:color w:val="auto"/>
              </w:rPr>
            </w:pPr>
            <w:r>
              <w:rPr>
                <w:rFonts w:ascii="Arial" w:cs="Arial" w:eastAsia="Arial" w:hAnsi="Arial"/>
                <w:sz w:val="8"/>
                <w:szCs w:val="8"/>
                <w:color w:val="auto"/>
              </w:rPr>
              <w:t>0</w:t>
            </w:r>
          </w:p>
        </w:tc>
        <w:tc>
          <w:tcPr>
            <w:tcW w:w="160" w:type="dxa"/>
            <w:vAlign w:val="bottom"/>
          </w:tcPr>
          <w:p>
            <w:pPr>
              <w:ind w:left="80"/>
              <w:spacing w:after="0"/>
              <w:rPr>
                <w:sz w:val="20"/>
                <w:szCs w:val="20"/>
                <w:color w:val="auto"/>
              </w:rPr>
            </w:pPr>
            <w:r>
              <w:rPr>
                <w:rFonts w:ascii="Arial" w:cs="Arial" w:eastAsia="Arial" w:hAnsi="Arial"/>
                <w:sz w:val="8"/>
                <w:szCs w:val="8"/>
                <w:color w:val="auto"/>
              </w:rPr>
              <w:t>$</w:t>
            </w:r>
          </w:p>
        </w:tc>
        <w:tc>
          <w:tcPr>
            <w:tcW w:w="440" w:type="dxa"/>
            <w:vAlign w:val="bottom"/>
          </w:tcPr>
          <w:p>
            <w:pPr>
              <w:jc w:val="right"/>
              <w:ind w:right="18"/>
              <w:spacing w:after="0"/>
              <w:rPr>
                <w:sz w:val="20"/>
                <w:szCs w:val="20"/>
                <w:color w:val="auto"/>
              </w:rPr>
            </w:pPr>
            <w:r>
              <w:rPr>
                <w:rFonts w:ascii="Arial" w:cs="Arial" w:eastAsia="Arial" w:hAnsi="Arial"/>
                <w:sz w:val="8"/>
                <w:szCs w:val="8"/>
                <w:color w:val="auto"/>
              </w:rPr>
              <w:t>0</w:t>
            </w:r>
          </w:p>
        </w:tc>
        <w:tc>
          <w:tcPr>
            <w:tcW w:w="140" w:type="dxa"/>
            <w:vAlign w:val="bottom"/>
          </w:tcPr>
          <w:p>
            <w:pPr>
              <w:spacing w:after="0"/>
              <w:rPr>
                <w:sz w:val="8"/>
                <w:szCs w:val="8"/>
                <w:color w:val="auto"/>
              </w:rPr>
            </w:pPr>
          </w:p>
        </w:tc>
        <w:tc>
          <w:tcPr>
            <w:tcW w:w="100" w:type="dxa"/>
            <w:vAlign w:val="bottom"/>
          </w:tcPr>
          <w:p>
            <w:pPr>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78"/>
              <w:spacing w:after="0"/>
              <w:rPr>
                <w:sz w:val="20"/>
                <w:szCs w:val="20"/>
                <w:color w:val="auto"/>
              </w:rPr>
            </w:pPr>
            <w:r>
              <w:rPr>
                <w:rFonts w:ascii="Arial" w:cs="Arial" w:eastAsia="Arial" w:hAnsi="Arial"/>
                <w:sz w:val="8"/>
                <w:szCs w:val="8"/>
                <w:color w:val="auto"/>
              </w:rPr>
              <w:t>0</w:t>
            </w:r>
          </w:p>
        </w:tc>
        <w:tc>
          <w:tcPr>
            <w:tcW w:w="160" w:type="dxa"/>
            <w:vAlign w:val="bottom"/>
          </w:tcPr>
          <w:p>
            <w:pPr>
              <w:ind w:left="80"/>
              <w:spacing w:after="0"/>
              <w:rPr>
                <w:sz w:val="20"/>
                <w:szCs w:val="20"/>
                <w:color w:val="auto"/>
              </w:rPr>
            </w:pPr>
            <w:r>
              <w:rPr>
                <w:rFonts w:ascii="Arial" w:cs="Arial" w:eastAsia="Arial" w:hAnsi="Arial"/>
                <w:sz w:val="8"/>
                <w:szCs w:val="8"/>
                <w:color w:val="auto"/>
              </w:rPr>
              <w:t>$</w:t>
            </w:r>
          </w:p>
        </w:tc>
        <w:tc>
          <w:tcPr>
            <w:tcW w:w="440" w:type="dxa"/>
            <w:vAlign w:val="bottom"/>
          </w:tcPr>
          <w:p>
            <w:pPr>
              <w:jc w:val="right"/>
              <w:ind w:right="18"/>
              <w:spacing w:after="0"/>
              <w:rPr>
                <w:sz w:val="20"/>
                <w:szCs w:val="20"/>
                <w:color w:val="auto"/>
              </w:rPr>
            </w:pPr>
            <w:r>
              <w:rPr>
                <w:rFonts w:ascii="Arial" w:cs="Arial" w:eastAsia="Arial" w:hAnsi="Arial"/>
                <w:sz w:val="8"/>
                <w:szCs w:val="8"/>
                <w:color w:val="auto"/>
              </w:rPr>
              <w:t>0</w:t>
            </w:r>
          </w:p>
        </w:tc>
      </w:tr>
      <w:tr>
        <w:trPr>
          <w:trHeight w:val="66"/>
        </w:trPr>
        <w:tc>
          <w:tcPr>
            <w:tcW w:w="208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r>
      <w:tr>
        <w:trPr>
          <w:trHeight w:val="128"/>
        </w:trPr>
        <w:tc>
          <w:tcPr>
            <w:tcW w:w="2080" w:type="dxa"/>
            <w:vAlign w:val="bottom"/>
          </w:tcPr>
          <w:p>
            <w:pPr>
              <w:ind w:left="40"/>
              <w:spacing w:after="0"/>
              <w:rPr>
                <w:sz w:val="20"/>
                <w:szCs w:val="20"/>
                <w:color w:val="auto"/>
              </w:rPr>
            </w:pPr>
            <w:r>
              <w:rPr>
                <w:rFonts w:ascii="Arial" w:cs="Arial" w:eastAsia="Arial" w:hAnsi="Arial"/>
                <w:sz w:val="8"/>
                <w:szCs w:val="8"/>
                <w:b w:val="1"/>
                <w:bCs w:val="1"/>
                <w:color w:val="auto"/>
              </w:rPr>
              <w:t>Total Impact: Adjustments for defined benefit and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10"/>
        </w:trPr>
        <w:tc>
          <w:tcPr>
            <w:tcW w:w="2080" w:type="dxa"/>
            <w:vAlign w:val="bottom"/>
          </w:tcPr>
          <w:p>
            <w:pPr>
              <w:ind w:left="40"/>
              <w:spacing w:after="0"/>
              <w:rPr>
                <w:sz w:val="20"/>
                <w:szCs w:val="20"/>
                <w:color w:val="auto"/>
              </w:rPr>
            </w:pPr>
            <w:r>
              <w:rPr>
                <w:rFonts w:ascii="Arial" w:cs="Arial" w:eastAsia="Arial" w:hAnsi="Arial"/>
                <w:sz w:val="8"/>
                <w:szCs w:val="8"/>
                <w:b w:val="1"/>
                <w:bCs w:val="1"/>
                <w:color w:val="auto"/>
              </w:rPr>
              <w:t>actuarial plans</w:t>
            </w:r>
          </w:p>
        </w:tc>
        <w:tc>
          <w:tcPr>
            <w:tcW w:w="220" w:type="dxa"/>
            <w:vAlign w:val="bottom"/>
            <w:gridSpan w:val="2"/>
          </w:tcPr>
          <w:p>
            <w:pPr>
              <w:ind w:left="140"/>
              <w:spacing w:after="0"/>
              <w:rPr>
                <w:sz w:val="20"/>
                <w:szCs w:val="20"/>
                <w:color w:val="auto"/>
              </w:rPr>
            </w:pPr>
            <w:r>
              <w:rPr>
                <w:rFonts w:ascii="Arial" w:cs="Arial" w:eastAsia="Arial" w:hAnsi="Arial"/>
                <w:sz w:val="8"/>
                <w:szCs w:val="8"/>
                <w:color w:val="auto"/>
                <w:w w:val="83"/>
              </w:rPr>
              <w:t>($</w:t>
            </w:r>
          </w:p>
        </w:tc>
        <w:tc>
          <w:tcPr>
            <w:tcW w:w="480" w:type="dxa"/>
            <w:vAlign w:val="bottom"/>
          </w:tcPr>
          <w:p>
            <w:pPr>
              <w:jc w:val="right"/>
              <w:ind w:right="38"/>
              <w:spacing w:after="0"/>
              <w:rPr>
                <w:sz w:val="20"/>
                <w:szCs w:val="20"/>
                <w:color w:val="auto"/>
              </w:rPr>
            </w:pPr>
            <w:r>
              <w:rPr>
                <w:rFonts w:ascii="Arial" w:cs="Arial" w:eastAsia="Arial" w:hAnsi="Arial"/>
                <w:sz w:val="8"/>
                <w:szCs w:val="8"/>
                <w:color w:val="auto"/>
              </w:rPr>
              <w:t>1,121)</w:t>
            </w:r>
          </w:p>
        </w:tc>
        <w:tc>
          <w:tcPr>
            <w:tcW w:w="140" w:type="dxa"/>
            <w:vAlign w:val="bottom"/>
          </w:tcPr>
          <w:p>
            <w:pPr>
              <w:ind w:left="10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ind w:right="38"/>
              <w:spacing w:after="0"/>
              <w:rPr>
                <w:sz w:val="20"/>
                <w:szCs w:val="20"/>
                <w:color w:val="auto"/>
              </w:rPr>
            </w:pPr>
            <w:r>
              <w:rPr>
                <w:rFonts w:ascii="Arial" w:cs="Arial" w:eastAsia="Arial" w:hAnsi="Arial"/>
                <w:sz w:val="8"/>
                <w:szCs w:val="8"/>
                <w:color w:val="auto"/>
              </w:rPr>
              <w:t>0</w:t>
            </w:r>
          </w:p>
        </w:tc>
        <w:tc>
          <w:tcPr>
            <w:tcW w:w="160" w:type="dxa"/>
            <w:vAlign w:val="bottom"/>
          </w:tcPr>
          <w:p>
            <w:pPr>
              <w:ind w:left="80"/>
              <w:spacing w:after="0"/>
              <w:rPr>
                <w:sz w:val="20"/>
                <w:szCs w:val="20"/>
                <w:color w:val="auto"/>
              </w:rPr>
            </w:pPr>
            <w:r>
              <w:rPr>
                <w:rFonts w:ascii="Arial" w:cs="Arial" w:eastAsia="Arial" w:hAnsi="Arial"/>
                <w:sz w:val="8"/>
                <w:szCs w:val="8"/>
                <w:color w:val="auto"/>
                <w:w w:val="83"/>
              </w:rPr>
              <w:t>($</w:t>
            </w:r>
          </w:p>
        </w:tc>
        <w:tc>
          <w:tcPr>
            <w:tcW w:w="440" w:type="dxa"/>
            <w:vAlign w:val="bottom"/>
          </w:tcPr>
          <w:p>
            <w:pPr>
              <w:jc w:val="right"/>
              <w:spacing w:after="0"/>
              <w:rPr>
                <w:sz w:val="20"/>
                <w:szCs w:val="20"/>
                <w:color w:val="auto"/>
              </w:rPr>
            </w:pPr>
            <w:r>
              <w:rPr>
                <w:rFonts w:ascii="Arial" w:cs="Arial" w:eastAsia="Arial" w:hAnsi="Arial"/>
                <w:sz w:val="8"/>
                <w:szCs w:val="8"/>
                <w:color w:val="auto"/>
              </w:rPr>
              <w:t>2,394)</w:t>
            </w:r>
          </w:p>
        </w:tc>
        <w:tc>
          <w:tcPr>
            <w:tcW w:w="140" w:type="dxa"/>
            <w:vAlign w:val="bottom"/>
          </w:tcPr>
          <w:p>
            <w:pPr>
              <w:spacing w:after="0"/>
              <w:rPr>
                <w:sz w:val="9"/>
                <w:szCs w:val="9"/>
                <w:color w:val="auto"/>
              </w:rPr>
            </w:pPr>
          </w:p>
        </w:tc>
        <w:tc>
          <w:tcPr>
            <w:tcW w:w="100" w:type="dxa"/>
            <w:vAlign w:val="bottom"/>
          </w:tcPr>
          <w:p>
            <w:pPr>
              <w:spacing w:after="0"/>
              <w:rPr>
                <w:sz w:val="20"/>
                <w:szCs w:val="20"/>
                <w:color w:val="auto"/>
              </w:rPr>
            </w:pPr>
            <w:r>
              <w:rPr>
                <w:rFonts w:ascii="Arial" w:cs="Arial" w:eastAsia="Arial" w:hAnsi="Arial"/>
                <w:sz w:val="8"/>
                <w:szCs w:val="8"/>
                <w:color w:val="auto"/>
              </w:rPr>
              <w:t>$</w:t>
            </w:r>
          </w:p>
        </w:tc>
        <w:tc>
          <w:tcPr>
            <w:tcW w:w="480" w:type="dxa"/>
            <w:vAlign w:val="bottom"/>
          </w:tcPr>
          <w:p>
            <w:pPr>
              <w:jc w:val="right"/>
              <w:ind w:right="78"/>
              <w:spacing w:after="0"/>
              <w:rPr>
                <w:sz w:val="20"/>
                <w:szCs w:val="20"/>
                <w:color w:val="auto"/>
              </w:rPr>
            </w:pPr>
            <w:r>
              <w:rPr>
                <w:rFonts w:ascii="Arial" w:cs="Arial" w:eastAsia="Arial" w:hAnsi="Arial"/>
                <w:sz w:val="8"/>
                <w:szCs w:val="8"/>
                <w:color w:val="auto"/>
              </w:rPr>
              <w:t>0</w:t>
            </w:r>
          </w:p>
        </w:tc>
        <w:tc>
          <w:tcPr>
            <w:tcW w:w="180" w:type="dxa"/>
            <w:vAlign w:val="bottom"/>
          </w:tcPr>
          <w:p>
            <w:pPr>
              <w:ind w:left="80"/>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38"/>
              <w:spacing w:after="0"/>
              <w:rPr>
                <w:sz w:val="20"/>
                <w:szCs w:val="20"/>
                <w:color w:val="auto"/>
              </w:rPr>
            </w:pPr>
            <w:r>
              <w:rPr>
                <w:rFonts w:ascii="Arial" w:cs="Arial" w:eastAsia="Arial" w:hAnsi="Arial"/>
                <w:sz w:val="8"/>
                <w:szCs w:val="8"/>
                <w:color w:val="auto"/>
              </w:rPr>
              <w:t>140,367)</w:t>
            </w:r>
          </w:p>
        </w:tc>
        <w:tc>
          <w:tcPr>
            <w:tcW w:w="160" w:type="dxa"/>
            <w:vAlign w:val="bottom"/>
          </w:tcPr>
          <w:p>
            <w:pPr>
              <w:ind w:left="80"/>
              <w:spacing w:after="0"/>
              <w:rPr>
                <w:sz w:val="20"/>
                <w:szCs w:val="20"/>
                <w:color w:val="auto"/>
              </w:rPr>
            </w:pPr>
            <w:r>
              <w:rPr>
                <w:rFonts w:ascii="Arial" w:cs="Arial" w:eastAsia="Arial" w:hAnsi="Arial"/>
                <w:sz w:val="8"/>
                <w:szCs w:val="8"/>
                <w:color w:val="auto"/>
                <w:w w:val="83"/>
              </w:rPr>
              <w:t>($</w:t>
            </w:r>
          </w:p>
        </w:tc>
        <w:tc>
          <w:tcPr>
            <w:tcW w:w="440" w:type="dxa"/>
            <w:vAlign w:val="bottom"/>
          </w:tcPr>
          <w:p>
            <w:pPr>
              <w:jc w:val="right"/>
              <w:spacing w:after="0"/>
              <w:rPr>
                <w:sz w:val="20"/>
                <w:szCs w:val="20"/>
                <w:color w:val="auto"/>
              </w:rPr>
            </w:pPr>
            <w:r>
              <w:rPr>
                <w:rFonts w:ascii="Arial" w:cs="Arial" w:eastAsia="Arial" w:hAnsi="Arial"/>
                <w:sz w:val="8"/>
                <w:szCs w:val="8"/>
                <w:color w:val="auto"/>
              </w:rPr>
              <w:t>19,737)</w:t>
            </w:r>
          </w:p>
        </w:tc>
        <w:tc>
          <w:tcPr>
            <w:tcW w:w="140" w:type="dxa"/>
            <w:vAlign w:val="bottom"/>
          </w:tcPr>
          <w:p>
            <w:pPr>
              <w:spacing w:after="0"/>
              <w:rPr>
                <w:sz w:val="9"/>
                <w:szCs w:val="9"/>
                <w:color w:val="auto"/>
              </w:rPr>
            </w:pPr>
          </w:p>
        </w:tc>
        <w:tc>
          <w:tcPr>
            <w:tcW w:w="100" w:type="dxa"/>
            <w:vAlign w:val="bottom"/>
          </w:tcPr>
          <w:p>
            <w:pPr>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38"/>
              <w:spacing w:after="0"/>
              <w:rPr>
                <w:sz w:val="20"/>
                <w:szCs w:val="20"/>
                <w:color w:val="auto"/>
              </w:rPr>
            </w:pPr>
            <w:r>
              <w:rPr>
                <w:rFonts w:ascii="Arial" w:cs="Arial" w:eastAsia="Arial" w:hAnsi="Arial"/>
                <w:sz w:val="8"/>
                <w:szCs w:val="8"/>
                <w:color w:val="auto"/>
              </w:rPr>
              <w:t>354,447)</w:t>
            </w:r>
          </w:p>
        </w:tc>
        <w:tc>
          <w:tcPr>
            <w:tcW w:w="160" w:type="dxa"/>
            <w:vAlign w:val="bottom"/>
          </w:tcPr>
          <w:p>
            <w:pPr>
              <w:ind w:left="80"/>
              <w:spacing w:after="0"/>
              <w:rPr>
                <w:sz w:val="20"/>
                <w:szCs w:val="20"/>
                <w:color w:val="auto"/>
              </w:rPr>
            </w:pPr>
            <w:r>
              <w:rPr>
                <w:rFonts w:ascii="Arial" w:cs="Arial" w:eastAsia="Arial" w:hAnsi="Arial"/>
                <w:sz w:val="8"/>
                <w:szCs w:val="8"/>
                <w:color w:val="auto"/>
                <w:w w:val="83"/>
              </w:rPr>
              <w:t>($</w:t>
            </w:r>
          </w:p>
        </w:tc>
        <w:tc>
          <w:tcPr>
            <w:tcW w:w="440" w:type="dxa"/>
            <w:vAlign w:val="bottom"/>
          </w:tcPr>
          <w:p>
            <w:pPr>
              <w:jc w:val="right"/>
              <w:spacing w:after="0"/>
              <w:rPr>
                <w:sz w:val="20"/>
                <w:szCs w:val="20"/>
                <w:color w:val="auto"/>
              </w:rPr>
            </w:pPr>
            <w:r>
              <w:rPr>
                <w:rFonts w:ascii="Arial" w:cs="Arial" w:eastAsia="Arial" w:hAnsi="Arial"/>
                <w:sz w:val="8"/>
                <w:szCs w:val="8"/>
                <w:color w:val="auto"/>
              </w:rPr>
              <w:t>36,909)</w:t>
            </w:r>
          </w:p>
        </w:tc>
      </w:tr>
      <w:tr>
        <w:trPr>
          <w:trHeight w:val="66"/>
        </w:trPr>
        <w:tc>
          <w:tcPr>
            <w:tcW w:w="208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r>
      <w:tr>
        <w:trPr>
          <w:trHeight w:val="148"/>
        </w:trPr>
        <w:tc>
          <w:tcPr>
            <w:tcW w:w="2080" w:type="dxa"/>
            <w:vAlign w:val="bottom"/>
          </w:tcPr>
          <w:p>
            <w:pPr>
              <w:ind w:left="40"/>
              <w:spacing w:after="0"/>
              <w:rPr>
                <w:sz w:val="20"/>
                <w:szCs w:val="20"/>
                <w:color w:val="auto"/>
              </w:rPr>
            </w:pPr>
            <w:r>
              <w:rPr>
                <w:rFonts w:ascii="Arial" w:cs="Arial" w:eastAsia="Arial" w:hAnsi="Arial"/>
                <w:sz w:val="8"/>
                <w:szCs w:val="8"/>
                <w:b w:val="1"/>
                <w:bCs w:val="1"/>
                <w:color w:val="auto"/>
              </w:rPr>
              <w:t>Adjustments for stock and options awards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66"/>
        </w:trPr>
        <w:tc>
          <w:tcPr>
            <w:tcW w:w="208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60" w:type="dxa"/>
            <w:vAlign w:val="bottom"/>
            <w:tcBorders>
              <w:bottom w:val="single" w:sz="8" w:color="009BDE"/>
            </w:tcBorders>
            <w:gridSpan w:val="2"/>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gridSpan w:val="2"/>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gridSpan w:val="2"/>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gridSpan w:val="2"/>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gridSpan w:val="2"/>
          </w:tcPr>
          <w:p>
            <w:pPr>
              <w:spacing w:after="0"/>
              <w:rPr>
                <w:sz w:val="5"/>
                <w:szCs w:val="5"/>
                <w:color w:val="auto"/>
              </w:rPr>
            </w:pPr>
          </w:p>
        </w:tc>
        <w:tc>
          <w:tcPr>
            <w:tcW w:w="600" w:type="dxa"/>
            <w:vAlign w:val="bottom"/>
            <w:tcBorders>
              <w:bottom w:val="single" w:sz="8" w:color="009BDE"/>
            </w:tcBorders>
            <w:gridSpan w:val="2"/>
          </w:tcPr>
          <w:p>
            <w:pPr>
              <w:spacing w:after="0"/>
              <w:rPr>
                <w:sz w:val="5"/>
                <w:szCs w:val="5"/>
                <w:color w:val="auto"/>
              </w:rPr>
            </w:pPr>
          </w:p>
        </w:tc>
      </w:tr>
      <w:tr>
        <w:trPr>
          <w:trHeight w:val="148"/>
        </w:trPr>
        <w:tc>
          <w:tcPr>
            <w:tcW w:w="2080" w:type="dxa"/>
            <w:vAlign w:val="bottom"/>
          </w:tcPr>
          <w:p>
            <w:pPr>
              <w:ind w:left="40"/>
              <w:spacing w:after="0"/>
              <w:rPr>
                <w:sz w:val="20"/>
                <w:szCs w:val="20"/>
                <w:color w:val="auto"/>
              </w:rPr>
            </w:pPr>
            <w:r>
              <w:rPr>
                <w:rFonts w:ascii="Arial" w:cs="Arial" w:eastAsia="Arial" w:hAnsi="Arial"/>
                <w:sz w:val="8"/>
                <w:szCs w:val="8"/>
                <w:color w:val="auto"/>
              </w:rPr>
              <w:t>Subtract: SCT Amounts</w:t>
            </w:r>
          </w:p>
        </w:tc>
        <w:tc>
          <w:tcPr>
            <w:tcW w:w="700" w:type="dxa"/>
            <w:vAlign w:val="bottom"/>
            <w:gridSpan w:val="3"/>
          </w:tcPr>
          <w:p>
            <w:pPr>
              <w:jc w:val="right"/>
              <w:ind w:right="38"/>
              <w:spacing w:after="0"/>
              <w:rPr>
                <w:sz w:val="20"/>
                <w:szCs w:val="20"/>
                <w:color w:val="auto"/>
              </w:rPr>
            </w:pPr>
            <w:r>
              <w:rPr>
                <w:rFonts w:ascii="Arial" w:cs="Arial" w:eastAsia="Arial" w:hAnsi="Arial"/>
                <w:sz w:val="8"/>
                <w:szCs w:val="8"/>
                <w:color w:val="auto"/>
              </w:rPr>
              <w:t>($ 7,871,541)</w:t>
            </w:r>
          </w:p>
        </w:tc>
        <w:tc>
          <w:tcPr>
            <w:tcW w:w="140" w:type="dxa"/>
            <w:vAlign w:val="bottom"/>
          </w:tcPr>
          <w:p>
            <w:pPr>
              <w:ind w:left="10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ind w:right="38"/>
              <w:spacing w:after="0"/>
              <w:rPr>
                <w:sz w:val="20"/>
                <w:szCs w:val="20"/>
                <w:color w:val="auto"/>
              </w:rPr>
            </w:pPr>
            <w:r>
              <w:rPr>
                <w:rFonts w:ascii="Arial" w:cs="Arial" w:eastAsia="Arial" w:hAnsi="Arial"/>
                <w:sz w:val="8"/>
                <w:szCs w:val="8"/>
                <w:color w:val="auto"/>
              </w:rPr>
              <w:t>0</w:t>
            </w:r>
          </w:p>
        </w:tc>
        <w:tc>
          <w:tcPr>
            <w:tcW w:w="600" w:type="dxa"/>
            <w:vAlign w:val="bottom"/>
            <w:gridSpan w:val="2"/>
          </w:tcPr>
          <w:p>
            <w:pPr>
              <w:jc w:val="right"/>
              <w:spacing w:after="0"/>
              <w:rPr>
                <w:sz w:val="20"/>
                <w:szCs w:val="20"/>
                <w:color w:val="auto"/>
              </w:rPr>
            </w:pPr>
            <w:r>
              <w:rPr>
                <w:rFonts w:ascii="Arial" w:cs="Arial" w:eastAsia="Arial" w:hAnsi="Arial"/>
                <w:sz w:val="8"/>
                <w:szCs w:val="8"/>
                <w:color w:val="auto"/>
              </w:rPr>
              <w:t>($ 5,413,134)</w:t>
            </w:r>
          </w:p>
        </w:tc>
        <w:tc>
          <w:tcPr>
            <w:tcW w:w="14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8"/>
                <w:szCs w:val="8"/>
                <w:color w:val="auto"/>
              </w:rPr>
              <w:t>($ 2,660,077)</w:t>
            </w:r>
          </w:p>
        </w:tc>
        <w:tc>
          <w:tcPr>
            <w:tcW w:w="180" w:type="dxa"/>
            <w:vAlign w:val="bottom"/>
          </w:tcPr>
          <w:p>
            <w:pPr>
              <w:ind w:left="80"/>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38"/>
              <w:spacing w:after="0"/>
              <w:rPr>
                <w:sz w:val="20"/>
                <w:szCs w:val="20"/>
                <w:color w:val="auto"/>
              </w:rPr>
            </w:pPr>
            <w:r>
              <w:rPr>
                <w:rFonts w:ascii="Arial" w:cs="Arial" w:eastAsia="Arial" w:hAnsi="Arial"/>
                <w:sz w:val="8"/>
                <w:szCs w:val="8"/>
                <w:color w:val="auto"/>
              </w:rPr>
              <w:t>6,872,319)</w:t>
            </w:r>
          </w:p>
        </w:tc>
        <w:tc>
          <w:tcPr>
            <w:tcW w:w="600" w:type="dxa"/>
            <w:vAlign w:val="bottom"/>
            <w:gridSpan w:val="2"/>
          </w:tcPr>
          <w:p>
            <w:pPr>
              <w:jc w:val="right"/>
              <w:spacing w:after="0"/>
              <w:rPr>
                <w:sz w:val="20"/>
                <w:szCs w:val="20"/>
                <w:color w:val="auto"/>
              </w:rPr>
            </w:pPr>
            <w:r>
              <w:rPr>
                <w:rFonts w:ascii="Arial" w:cs="Arial" w:eastAsia="Arial" w:hAnsi="Arial"/>
                <w:sz w:val="8"/>
                <w:szCs w:val="8"/>
                <w:color w:val="auto"/>
              </w:rPr>
              <w:t>($ 3,419,074)</w:t>
            </w:r>
          </w:p>
        </w:tc>
        <w:tc>
          <w:tcPr>
            <w:tcW w:w="140" w:type="dxa"/>
            <w:vAlign w:val="bottom"/>
          </w:tcPr>
          <w:p>
            <w:pPr>
              <w:spacing w:after="0"/>
              <w:rPr>
                <w:sz w:val="12"/>
                <w:szCs w:val="12"/>
                <w:color w:val="auto"/>
              </w:rPr>
            </w:pPr>
          </w:p>
        </w:tc>
        <w:tc>
          <w:tcPr>
            <w:tcW w:w="620" w:type="dxa"/>
            <w:vAlign w:val="bottom"/>
            <w:gridSpan w:val="2"/>
          </w:tcPr>
          <w:p>
            <w:pPr>
              <w:jc w:val="right"/>
              <w:ind w:right="38"/>
              <w:spacing w:after="0"/>
              <w:rPr>
                <w:sz w:val="20"/>
                <w:szCs w:val="20"/>
                <w:color w:val="auto"/>
              </w:rPr>
            </w:pPr>
            <w:r>
              <w:rPr>
                <w:rFonts w:ascii="Arial" w:cs="Arial" w:eastAsia="Arial" w:hAnsi="Arial"/>
                <w:sz w:val="8"/>
                <w:szCs w:val="8"/>
                <w:color w:val="auto"/>
                <w:w w:val="99"/>
              </w:rPr>
              <w:t>($ 10,030,160)</w:t>
            </w:r>
          </w:p>
        </w:tc>
        <w:tc>
          <w:tcPr>
            <w:tcW w:w="600" w:type="dxa"/>
            <w:vAlign w:val="bottom"/>
            <w:gridSpan w:val="2"/>
          </w:tcPr>
          <w:p>
            <w:pPr>
              <w:jc w:val="right"/>
              <w:spacing w:after="0"/>
              <w:rPr>
                <w:sz w:val="20"/>
                <w:szCs w:val="20"/>
                <w:color w:val="auto"/>
              </w:rPr>
            </w:pPr>
            <w:r>
              <w:rPr>
                <w:rFonts w:ascii="Arial" w:cs="Arial" w:eastAsia="Arial" w:hAnsi="Arial"/>
                <w:sz w:val="8"/>
                <w:szCs w:val="8"/>
                <w:color w:val="auto"/>
              </w:rPr>
              <w:t>($ 6,432,778)</w:t>
            </w:r>
          </w:p>
        </w:tc>
      </w:tr>
      <w:tr>
        <w:trPr>
          <w:trHeight w:val="66"/>
        </w:trPr>
        <w:tc>
          <w:tcPr>
            <w:tcW w:w="208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r>
      <w:tr>
        <w:trPr>
          <w:trHeight w:val="138"/>
        </w:trPr>
        <w:tc>
          <w:tcPr>
            <w:tcW w:w="2080" w:type="dxa"/>
            <w:vAlign w:val="bottom"/>
          </w:tcPr>
          <w:p>
            <w:pPr>
              <w:ind w:left="40"/>
              <w:spacing w:after="0"/>
              <w:rPr>
                <w:sz w:val="20"/>
                <w:szCs w:val="20"/>
                <w:color w:val="auto"/>
              </w:rPr>
            </w:pPr>
            <w:r>
              <w:rPr>
                <w:rFonts w:ascii="Arial" w:cs="Arial" w:eastAsia="Arial" w:hAnsi="Arial"/>
                <w:sz w:val="8"/>
                <w:szCs w:val="8"/>
                <w:color w:val="auto"/>
              </w:rPr>
              <w:t>Add: Fair value at year-end of any equity awards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90"/>
        </w:trPr>
        <w:tc>
          <w:tcPr>
            <w:tcW w:w="2080" w:type="dxa"/>
            <w:vAlign w:val="bottom"/>
          </w:tcPr>
          <w:p>
            <w:pPr>
              <w:ind w:left="40"/>
              <w:spacing w:after="0" w:line="90" w:lineRule="exact"/>
              <w:rPr>
                <w:sz w:val="20"/>
                <w:szCs w:val="20"/>
                <w:color w:val="auto"/>
              </w:rPr>
            </w:pPr>
            <w:r>
              <w:rPr>
                <w:rFonts w:ascii="Arial" w:cs="Arial" w:eastAsia="Arial" w:hAnsi="Arial"/>
                <w:sz w:val="8"/>
                <w:szCs w:val="8"/>
                <w:color w:val="auto"/>
              </w:rPr>
              <w:t>granted in the covered FY that are outstanding and</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100"/>
        </w:trPr>
        <w:tc>
          <w:tcPr>
            <w:tcW w:w="2080" w:type="dxa"/>
            <w:vAlign w:val="bottom"/>
          </w:tcPr>
          <w:p>
            <w:pPr>
              <w:ind w:left="40"/>
              <w:spacing w:after="0"/>
              <w:rPr>
                <w:sz w:val="20"/>
                <w:szCs w:val="20"/>
                <w:color w:val="auto"/>
              </w:rPr>
            </w:pPr>
            <w:r>
              <w:rPr>
                <w:rFonts w:ascii="Arial" w:cs="Arial" w:eastAsia="Arial" w:hAnsi="Arial"/>
                <w:sz w:val="8"/>
                <w:szCs w:val="8"/>
                <w:color w:val="auto"/>
              </w:rPr>
              <w:t>unvested as of the end of the covered FY</w:t>
            </w:r>
          </w:p>
        </w:tc>
        <w:tc>
          <w:tcPr>
            <w:tcW w:w="700" w:type="dxa"/>
            <w:vAlign w:val="bottom"/>
            <w:gridSpan w:val="3"/>
          </w:tcPr>
          <w:p>
            <w:pPr>
              <w:jc w:val="right"/>
              <w:ind w:right="58"/>
              <w:spacing w:after="0"/>
              <w:rPr>
                <w:sz w:val="20"/>
                <w:szCs w:val="20"/>
                <w:color w:val="auto"/>
              </w:rPr>
            </w:pPr>
            <w:r>
              <w:rPr>
                <w:rFonts w:ascii="Arial" w:cs="Arial" w:eastAsia="Arial" w:hAnsi="Arial"/>
                <w:sz w:val="8"/>
                <w:szCs w:val="8"/>
                <w:color w:val="auto"/>
              </w:rPr>
              <w:t>$ 4,216,348</w:t>
            </w:r>
          </w:p>
        </w:tc>
        <w:tc>
          <w:tcPr>
            <w:tcW w:w="140" w:type="dxa"/>
            <w:vAlign w:val="bottom"/>
          </w:tcPr>
          <w:p>
            <w:pPr>
              <w:ind w:left="10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ind w:right="38"/>
              <w:spacing w:after="0"/>
              <w:rPr>
                <w:sz w:val="20"/>
                <w:szCs w:val="20"/>
                <w:color w:val="auto"/>
              </w:rPr>
            </w:pPr>
            <w:r>
              <w:rPr>
                <w:rFonts w:ascii="Arial" w:cs="Arial" w:eastAsia="Arial" w:hAnsi="Arial"/>
                <w:sz w:val="8"/>
                <w:szCs w:val="8"/>
                <w:color w:val="auto"/>
              </w:rPr>
              <w:t>0</w:t>
            </w:r>
          </w:p>
        </w:tc>
        <w:tc>
          <w:tcPr>
            <w:tcW w:w="600" w:type="dxa"/>
            <w:vAlign w:val="bottom"/>
            <w:gridSpan w:val="2"/>
          </w:tcPr>
          <w:p>
            <w:pPr>
              <w:jc w:val="right"/>
              <w:ind w:right="18"/>
              <w:spacing w:after="0"/>
              <w:rPr>
                <w:sz w:val="20"/>
                <w:szCs w:val="20"/>
                <w:color w:val="auto"/>
              </w:rPr>
            </w:pPr>
            <w:r>
              <w:rPr>
                <w:rFonts w:ascii="Arial" w:cs="Arial" w:eastAsia="Arial" w:hAnsi="Arial"/>
                <w:sz w:val="8"/>
                <w:szCs w:val="8"/>
                <w:color w:val="auto"/>
              </w:rPr>
              <w:t>$ 2,804,299</w:t>
            </w:r>
          </w:p>
        </w:tc>
        <w:tc>
          <w:tcPr>
            <w:tcW w:w="140" w:type="dxa"/>
            <w:vAlign w:val="bottom"/>
          </w:tcPr>
          <w:p>
            <w:pPr>
              <w:spacing w:after="0"/>
              <w:rPr>
                <w:sz w:val="8"/>
                <w:szCs w:val="8"/>
                <w:color w:val="auto"/>
              </w:rPr>
            </w:pPr>
          </w:p>
        </w:tc>
        <w:tc>
          <w:tcPr>
            <w:tcW w:w="580" w:type="dxa"/>
            <w:vAlign w:val="bottom"/>
            <w:gridSpan w:val="2"/>
          </w:tcPr>
          <w:p>
            <w:pPr>
              <w:spacing w:after="0"/>
              <w:rPr>
                <w:sz w:val="20"/>
                <w:szCs w:val="20"/>
                <w:color w:val="auto"/>
              </w:rPr>
            </w:pPr>
            <w:r>
              <w:rPr>
                <w:rFonts w:ascii="Arial" w:cs="Arial" w:eastAsia="Arial" w:hAnsi="Arial"/>
                <w:sz w:val="8"/>
                <w:szCs w:val="8"/>
                <w:color w:val="auto"/>
              </w:rPr>
              <w:t>$ 2,567,462</w:t>
            </w:r>
          </w:p>
        </w:tc>
        <w:tc>
          <w:tcPr>
            <w:tcW w:w="180" w:type="dxa"/>
            <w:vAlign w:val="bottom"/>
          </w:tcPr>
          <w:p>
            <w:pPr>
              <w:ind w:left="80"/>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78"/>
              <w:spacing w:after="0"/>
              <w:rPr>
                <w:sz w:val="20"/>
                <w:szCs w:val="20"/>
                <w:color w:val="auto"/>
              </w:rPr>
            </w:pPr>
            <w:r>
              <w:rPr>
                <w:rFonts w:ascii="Arial" w:cs="Arial" w:eastAsia="Arial" w:hAnsi="Arial"/>
                <w:sz w:val="8"/>
                <w:szCs w:val="8"/>
                <w:color w:val="auto"/>
              </w:rPr>
              <w:t>764,559</w:t>
            </w:r>
          </w:p>
        </w:tc>
        <w:tc>
          <w:tcPr>
            <w:tcW w:w="600" w:type="dxa"/>
            <w:vAlign w:val="bottom"/>
            <w:gridSpan w:val="2"/>
          </w:tcPr>
          <w:p>
            <w:pPr>
              <w:jc w:val="right"/>
              <w:ind w:right="18"/>
              <w:spacing w:after="0"/>
              <w:rPr>
                <w:sz w:val="20"/>
                <w:szCs w:val="20"/>
                <w:color w:val="auto"/>
              </w:rPr>
            </w:pPr>
            <w:r>
              <w:rPr>
                <w:rFonts w:ascii="Arial" w:cs="Arial" w:eastAsia="Arial" w:hAnsi="Arial"/>
                <w:sz w:val="8"/>
                <w:szCs w:val="8"/>
                <w:color w:val="auto"/>
              </w:rPr>
              <w:t>$ 3,946,937</w:t>
            </w:r>
          </w:p>
        </w:tc>
        <w:tc>
          <w:tcPr>
            <w:tcW w:w="140" w:type="dxa"/>
            <w:vAlign w:val="bottom"/>
          </w:tcPr>
          <w:p>
            <w:pPr>
              <w:spacing w:after="0"/>
              <w:rPr>
                <w:sz w:val="8"/>
                <w:szCs w:val="8"/>
                <w:color w:val="auto"/>
              </w:rPr>
            </w:pPr>
          </w:p>
        </w:tc>
        <w:tc>
          <w:tcPr>
            <w:tcW w:w="100" w:type="dxa"/>
            <w:vAlign w:val="bottom"/>
          </w:tcPr>
          <w:p>
            <w:pPr>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78"/>
              <w:spacing w:after="0"/>
              <w:rPr>
                <w:sz w:val="20"/>
                <w:szCs w:val="20"/>
                <w:color w:val="auto"/>
              </w:rPr>
            </w:pPr>
            <w:r>
              <w:rPr>
                <w:rFonts w:ascii="Arial" w:cs="Arial" w:eastAsia="Arial" w:hAnsi="Arial"/>
                <w:sz w:val="8"/>
                <w:szCs w:val="8"/>
                <w:color w:val="auto"/>
              </w:rPr>
              <w:t>6,769,907</w:t>
            </w:r>
          </w:p>
        </w:tc>
        <w:tc>
          <w:tcPr>
            <w:tcW w:w="600" w:type="dxa"/>
            <w:vAlign w:val="bottom"/>
            <w:gridSpan w:val="2"/>
          </w:tcPr>
          <w:p>
            <w:pPr>
              <w:jc w:val="right"/>
              <w:ind w:right="18"/>
              <w:spacing w:after="0"/>
              <w:rPr>
                <w:sz w:val="20"/>
                <w:szCs w:val="20"/>
                <w:color w:val="auto"/>
              </w:rPr>
            </w:pPr>
            <w:r>
              <w:rPr>
                <w:rFonts w:ascii="Arial" w:cs="Arial" w:eastAsia="Arial" w:hAnsi="Arial"/>
                <w:sz w:val="8"/>
                <w:szCs w:val="8"/>
                <w:color w:val="auto"/>
              </w:rPr>
              <w:t>$ 6,896,721</w:t>
            </w:r>
          </w:p>
        </w:tc>
      </w:tr>
      <w:tr>
        <w:trPr>
          <w:trHeight w:val="66"/>
        </w:trPr>
        <w:tc>
          <w:tcPr>
            <w:tcW w:w="208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r>
      <w:tr>
        <w:trPr>
          <w:trHeight w:val="138"/>
        </w:trPr>
        <w:tc>
          <w:tcPr>
            <w:tcW w:w="2080" w:type="dxa"/>
            <w:vAlign w:val="bottom"/>
          </w:tcPr>
          <w:p>
            <w:pPr>
              <w:ind w:left="40"/>
              <w:spacing w:after="0"/>
              <w:rPr>
                <w:sz w:val="20"/>
                <w:szCs w:val="20"/>
                <w:color w:val="auto"/>
              </w:rPr>
            </w:pPr>
            <w:r>
              <w:rPr>
                <w:rFonts w:ascii="Arial" w:cs="Arial" w:eastAsia="Arial" w:hAnsi="Arial"/>
                <w:sz w:val="8"/>
                <w:szCs w:val="8"/>
                <w:color w:val="auto"/>
              </w:rPr>
              <w:t>+/-: Year-over-year change in fair value of awards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90"/>
        </w:trPr>
        <w:tc>
          <w:tcPr>
            <w:tcW w:w="2080" w:type="dxa"/>
            <w:vAlign w:val="bottom"/>
          </w:tcPr>
          <w:p>
            <w:pPr>
              <w:ind w:left="40"/>
              <w:spacing w:after="0" w:line="90" w:lineRule="exact"/>
              <w:rPr>
                <w:sz w:val="20"/>
                <w:szCs w:val="20"/>
                <w:color w:val="auto"/>
              </w:rPr>
            </w:pPr>
            <w:r>
              <w:rPr>
                <w:rFonts w:ascii="Arial" w:cs="Arial" w:eastAsia="Arial" w:hAnsi="Arial"/>
                <w:sz w:val="8"/>
                <w:szCs w:val="8"/>
                <w:color w:val="auto"/>
              </w:rPr>
              <w:t>granted in any prior fiscal year that are outstanding</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100"/>
        </w:trPr>
        <w:tc>
          <w:tcPr>
            <w:tcW w:w="2080" w:type="dxa"/>
            <w:vAlign w:val="bottom"/>
          </w:tcPr>
          <w:p>
            <w:pPr>
              <w:ind w:left="40"/>
              <w:spacing w:after="0"/>
              <w:rPr>
                <w:sz w:val="20"/>
                <w:szCs w:val="20"/>
                <w:color w:val="auto"/>
              </w:rPr>
            </w:pPr>
            <w:r>
              <w:rPr>
                <w:rFonts w:ascii="Arial" w:cs="Arial" w:eastAsia="Arial" w:hAnsi="Arial"/>
                <w:sz w:val="8"/>
                <w:szCs w:val="8"/>
                <w:color w:val="auto"/>
              </w:rPr>
              <w:t>and unvested at year end</w:t>
            </w:r>
          </w:p>
        </w:tc>
        <w:tc>
          <w:tcPr>
            <w:tcW w:w="700" w:type="dxa"/>
            <w:vAlign w:val="bottom"/>
            <w:gridSpan w:val="3"/>
          </w:tcPr>
          <w:p>
            <w:pPr>
              <w:jc w:val="right"/>
              <w:ind w:right="38"/>
              <w:spacing w:after="0"/>
              <w:rPr>
                <w:sz w:val="20"/>
                <w:szCs w:val="20"/>
                <w:color w:val="auto"/>
              </w:rPr>
            </w:pPr>
            <w:r>
              <w:rPr>
                <w:rFonts w:ascii="Arial" w:cs="Arial" w:eastAsia="Arial" w:hAnsi="Arial"/>
                <w:sz w:val="8"/>
                <w:szCs w:val="8"/>
                <w:color w:val="auto"/>
              </w:rPr>
              <w:t>($ 2,088,044)</w:t>
            </w:r>
          </w:p>
        </w:tc>
        <w:tc>
          <w:tcPr>
            <w:tcW w:w="140" w:type="dxa"/>
            <w:vAlign w:val="bottom"/>
          </w:tcPr>
          <w:p>
            <w:pPr>
              <w:ind w:left="10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ind w:right="38"/>
              <w:spacing w:after="0"/>
              <w:rPr>
                <w:sz w:val="20"/>
                <w:szCs w:val="20"/>
                <w:color w:val="auto"/>
              </w:rPr>
            </w:pPr>
            <w:r>
              <w:rPr>
                <w:rFonts w:ascii="Arial" w:cs="Arial" w:eastAsia="Arial" w:hAnsi="Arial"/>
                <w:sz w:val="8"/>
                <w:szCs w:val="8"/>
                <w:color w:val="auto"/>
              </w:rPr>
              <w:t>0</w:t>
            </w:r>
          </w:p>
        </w:tc>
        <w:tc>
          <w:tcPr>
            <w:tcW w:w="600" w:type="dxa"/>
            <w:vAlign w:val="bottom"/>
            <w:gridSpan w:val="2"/>
          </w:tcPr>
          <w:p>
            <w:pPr>
              <w:jc w:val="right"/>
              <w:spacing w:after="0"/>
              <w:rPr>
                <w:sz w:val="20"/>
                <w:szCs w:val="20"/>
                <w:color w:val="auto"/>
              </w:rPr>
            </w:pPr>
            <w:r>
              <w:rPr>
                <w:rFonts w:ascii="Arial" w:cs="Arial" w:eastAsia="Arial" w:hAnsi="Arial"/>
                <w:sz w:val="8"/>
                <w:szCs w:val="8"/>
                <w:color w:val="auto"/>
              </w:rPr>
              <w:t>($ 2,829,032)</w:t>
            </w:r>
          </w:p>
        </w:tc>
        <w:tc>
          <w:tcPr>
            <w:tcW w:w="140" w:type="dxa"/>
            <w:vAlign w:val="bottom"/>
          </w:tcPr>
          <w:p>
            <w:pPr>
              <w:spacing w:after="0"/>
              <w:rPr>
                <w:sz w:val="8"/>
                <w:szCs w:val="8"/>
                <w:color w:val="auto"/>
              </w:rPr>
            </w:pPr>
          </w:p>
        </w:tc>
        <w:tc>
          <w:tcPr>
            <w:tcW w:w="100" w:type="dxa"/>
            <w:vAlign w:val="bottom"/>
          </w:tcPr>
          <w:p>
            <w:pPr>
              <w:spacing w:after="0"/>
              <w:rPr>
                <w:sz w:val="20"/>
                <w:szCs w:val="20"/>
                <w:color w:val="auto"/>
              </w:rPr>
            </w:pPr>
            <w:r>
              <w:rPr>
                <w:rFonts w:ascii="Arial" w:cs="Arial" w:eastAsia="Arial" w:hAnsi="Arial"/>
                <w:sz w:val="8"/>
                <w:szCs w:val="8"/>
                <w:color w:val="auto"/>
              </w:rPr>
              <w:t>$</w:t>
            </w:r>
          </w:p>
        </w:tc>
        <w:tc>
          <w:tcPr>
            <w:tcW w:w="480" w:type="dxa"/>
            <w:vAlign w:val="bottom"/>
          </w:tcPr>
          <w:p>
            <w:pPr>
              <w:jc w:val="right"/>
              <w:ind w:right="78"/>
              <w:spacing w:after="0"/>
              <w:rPr>
                <w:sz w:val="20"/>
                <w:szCs w:val="20"/>
                <w:color w:val="auto"/>
              </w:rPr>
            </w:pPr>
            <w:r>
              <w:rPr>
                <w:rFonts w:ascii="Arial" w:cs="Arial" w:eastAsia="Arial" w:hAnsi="Arial"/>
                <w:sz w:val="8"/>
                <w:szCs w:val="8"/>
                <w:color w:val="auto"/>
              </w:rPr>
              <w:t>0</w:t>
            </w:r>
          </w:p>
        </w:tc>
        <w:tc>
          <w:tcPr>
            <w:tcW w:w="180" w:type="dxa"/>
            <w:vAlign w:val="bottom"/>
          </w:tcPr>
          <w:p>
            <w:pPr>
              <w:ind w:left="80"/>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78"/>
              <w:spacing w:after="0"/>
              <w:rPr>
                <w:sz w:val="20"/>
                <w:szCs w:val="20"/>
                <w:color w:val="auto"/>
              </w:rPr>
            </w:pPr>
            <w:r>
              <w:rPr>
                <w:rFonts w:ascii="Arial" w:cs="Arial" w:eastAsia="Arial" w:hAnsi="Arial"/>
                <w:sz w:val="8"/>
                <w:szCs w:val="8"/>
                <w:color w:val="auto"/>
              </w:rPr>
              <w:t>1,325,727</w:t>
            </w:r>
          </w:p>
        </w:tc>
        <w:tc>
          <w:tcPr>
            <w:tcW w:w="600" w:type="dxa"/>
            <w:vAlign w:val="bottom"/>
            <w:gridSpan w:val="2"/>
          </w:tcPr>
          <w:p>
            <w:pPr>
              <w:jc w:val="right"/>
              <w:ind w:right="18"/>
              <w:spacing w:after="0"/>
              <w:rPr>
                <w:sz w:val="20"/>
                <w:szCs w:val="20"/>
                <w:color w:val="auto"/>
              </w:rPr>
            </w:pPr>
            <w:r>
              <w:rPr>
                <w:rFonts w:ascii="Arial" w:cs="Arial" w:eastAsia="Arial" w:hAnsi="Arial"/>
                <w:sz w:val="8"/>
                <w:szCs w:val="8"/>
                <w:color w:val="auto"/>
              </w:rPr>
              <w:t>$ 1,016,013</w:t>
            </w:r>
          </w:p>
        </w:tc>
        <w:tc>
          <w:tcPr>
            <w:tcW w:w="140" w:type="dxa"/>
            <w:vAlign w:val="bottom"/>
          </w:tcPr>
          <w:p>
            <w:pPr>
              <w:spacing w:after="0"/>
              <w:rPr>
                <w:sz w:val="8"/>
                <w:szCs w:val="8"/>
                <w:color w:val="auto"/>
              </w:rPr>
            </w:pPr>
          </w:p>
        </w:tc>
        <w:tc>
          <w:tcPr>
            <w:tcW w:w="100" w:type="dxa"/>
            <w:vAlign w:val="bottom"/>
          </w:tcPr>
          <w:p>
            <w:pPr>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38"/>
              <w:spacing w:after="0"/>
              <w:rPr>
                <w:sz w:val="20"/>
                <w:szCs w:val="20"/>
                <w:color w:val="auto"/>
              </w:rPr>
            </w:pPr>
            <w:r>
              <w:rPr>
                <w:rFonts w:ascii="Arial" w:cs="Arial" w:eastAsia="Arial" w:hAnsi="Arial"/>
                <w:sz w:val="8"/>
                <w:szCs w:val="8"/>
                <w:color w:val="auto"/>
              </w:rPr>
              <w:t>5,058,029)</w:t>
            </w:r>
          </w:p>
        </w:tc>
        <w:tc>
          <w:tcPr>
            <w:tcW w:w="600" w:type="dxa"/>
            <w:vAlign w:val="bottom"/>
            <w:gridSpan w:val="2"/>
          </w:tcPr>
          <w:p>
            <w:pPr>
              <w:jc w:val="right"/>
              <w:spacing w:after="0"/>
              <w:rPr>
                <w:sz w:val="20"/>
                <w:szCs w:val="20"/>
                <w:color w:val="auto"/>
              </w:rPr>
            </w:pPr>
            <w:r>
              <w:rPr>
                <w:rFonts w:ascii="Arial" w:cs="Arial" w:eastAsia="Arial" w:hAnsi="Arial"/>
                <w:sz w:val="8"/>
                <w:szCs w:val="8"/>
                <w:color w:val="auto"/>
              </w:rPr>
              <w:t>($ 2,494,125)</w:t>
            </w:r>
          </w:p>
        </w:tc>
      </w:tr>
      <w:tr>
        <w:trPr>
          <w:trHeight w:val="66"/>
        </w:trPr>
        <w:tc>
          <w:tcPr>
            <w:tcW w:w="208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10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3971925" cy="21717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63"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70</w:t>
      </w:r>
    </w:p>
    <w:p>
      <w:pPr>
        <w:sectPr>
          <w:pgSz w:w="11900" w:h="16838" w:orient="portrait"/>
          <w:cols w:equalWidth="0" w:num="1">
            <w:col w:w="10159"/>
          </w:cols>
          <w:pgMar w:left="300" w:top="372" w:right="1440" w:bottom="1440" w:gutter="0" w:footer="0" w:header="0"/>
        </w:sectPr>
      </w:pPr>
    </w:p>
    <w:bookmarkStart w:id="92" w:name="page93"/>
    <w:bookmarkEnd w:id="9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tbl>
      <w:tblPr>
        <w:tblLayout w:type="fixed"/>
        <w:tblInd w:w="1980" w:type="dxa"/>
        <w:tblCellMar>
          <w:top w:w="0" w:type="dxa"/>
          <w:left w:w="0" w:type="dxa"/>
          <w:bottom w:w="0" w:type="dxa"/>
          <w:right w:w="0" w:type="dxa"/>
        </w:tblCellMar>
      </w:tblPr>
      <w:tr>
        <w:trPr>
          <w:trHeight w:val="153"/>
        </w:trPr>
        <w:tc>
          <w:tcPr>
            <w:tcW w:w="2140" w:type="dxa"/>
            <w:vAlign w:val="bottom"/>
            <w:tcBorders>
              <w:bottom w:val="single" w:sz="8" w:color="CCEBF8"/>
            </w:tcBorders>
            <w:shd w:val="clear" w:color="auto" w:fill="CCEBF8"/>
          </w:tcPr>
          <w:p>
            <w:pPr>
              <w:spacing w:after="0"/>
              <w:rPr>
                <w:sz w:val="13"/>
                <w:szCs w:val="13"/>
                <w:color w:val="auto"/>
              </w:rPr>
            </w:pPr>
          </w:p>
        </w:tc>
        <w:tc>
          <w:tcPr>
            <w:tcW w:w="140" w:type="dxa"/>
            <w:vAlign w:val="bottom"/>
            <w:tcBorders>
              <w:bottom w:val="single" w:sz="8" w:color="CCEBF8"/>
            </w:tcBorders>
            <w:shd w:val="clear" w:color="auto" w:fill="CCEBF8"/>
          </w:tcPr>
          <w:p>
            <w:pPr>
              <w:spacing w:after="0"/>
              <w:rPr>
                <w:sz w:val="13"/>
                <w:szCs w:val="13"/>
                <w:color w:val="auto"/>
              </w:rPr>
            </w:pPr>
          </w:p>
        </w:tc>
        <w:tc>
          <w:tcPr>
            <w:tcW w:w="80" w:type="dxa"/>
            <w:vAlign w:val="bottom"/>
            <w:tcBorders>
              <w:bottom w:val="single" w:sz="8" w:color="009BDE"/>
            </w:tcBorders>
            <w:shd w:val="clear" w:color="auto" w:fill="CCEBF8"/>
          </w:tcPr>
          <w:p>
            <w:pPr>
              <w:spacing w:after="0"/>
              <w:rPr>
                <w:sz w:val="13"/>
                <w:szCs w:val="13"/>
                <w:color w:val="auto"/>
              </w:rPr>
            </w:pPr>
          </w:p>
        </w:tc>
        <w:tc>
          <w:tcPr>
            <w:tcW w:w="500" w:type="dxa"/>
            <w:vAlign w:val="bottom"/>
            <w:tcBorders>
              <w:bottom w:val="single" w:sz="8" w:color="009BDE"/>
            </w:tcBorders>
            <w:shd w:val="clear" w:color="auto" w:fill="CCEBF8"/>
          </w:tcPr>
          <w:p>
            <w:pPr>
              <w:spacing w:after="0"/>
              <w:rPr>
                <w:sz w:val="13"/>
                <w:szCs w:val="13"/>
                <w:color w:val="auto"/>
              </w:rPr>
            </w:pPr>
          </w:p>
        </w:tc>
        <w:tc>
          <w:tcPr>
            <w:tcW w:w="140" w:type="dxa"/>
            <w:vAlign w:val="bottom"/>
            <w:tcBorders>
              <w:bottom w:val="single" w:sz="8" w:color="009BDE"/>
            </w:tcBorders>
            <w:shd w:val="clear" w:color="auto" w:fill="CCEBF8"/>
          </w:tcPr>
          <w:p>
            <w:pPr>
              <w:spacing w:after="0"/>
              <w:rPr>
                <w:sz w:val="13"/>
                <w:szCs w:val="13"/>
                <w:color w:val="auto"/>
              </w:rPr>
            </w:pPr>
          </w:p>
        </w:tc>
        <w:tc>
          <w:tcPr>
            <w:tcW w:w="460" w:type="dxa"/>
            <w:vAlign w:val="bottom"/>
            <w:tcBorders>
              <w:bottom w:val="single" w:sz="8" w:color="009BDE"/>
            </w:tcBorders>
            <w:shd w:val="clear" w:color="auto" w:fill="CCEBF8"/>
          </w:tcPr>
          <w:p>
            <w:pPr>
              <w:jc w:val="center"/>
              <w:ind w:right="118"/>
              <w:spacing w:after="0"/>
              <w:rPr>
                <w:sz w:val="20"/>
                <w:szCs w:val="20"/>
                <w:color w:val="auto"/>
              </w:rPr>
            </w:pPr>
            <w:r>
              <w:rPr>
                <w:rFonts w:ascii="Arial" w:cs="Arial" w:eastAsia="Arial" w:hAnsi="Arial"/>
                <w:sz w:val="8"/>
                <w:szCs w:val="8"/>
                <w:b w:val="1"/>
                <w:bCs w:val="1"/>
                <w:color w:val="009BDE"/>
              </w:rPr>
              <w:t>2022</w:t>
            </w:r>
            <w:r>
              <w:rPr>
                <w:rFonts w:ascii="Arial" w:cs="Arial" w:eastAsia="Arial" w:hAnsi="Arial"/>
                <w:sz w:val="10"/>
                <w:szCs w:val="10"/>
                <w:b w:val="1"/>
                <w:bCs w:val="1"/>
                <w:color w:val="009BDE"/>
                <w:vertAlign w:val="superscript"/>
              </w:rPr>
              <w:t>(3)</w:t>
            </w:r>
          </w:p>
        </w:tc>
        <w:tc>
          <w:tcPr>
            <w:tcW w:w="160" w:type="dxa"/>
            <w:vAlign w:val="bottom"/>
            <w:tcBorders>
              <w:bottom w:val="single" w:sz="8" w:color="009BDE"/>
            </w:tcBorders>
            <w:shd w:val="clear" w:color="auto" w:fill="CCEBF8"/>
          </w:tcPr>
          <w:p>
            <w:pPr>
              <w:spacing w:after="0"/>
              <w:rPr>
                <w:sz w:val="13"/>
                <w:szCs w:val="13"/>
                <w:color w:val="auto"/>
              </w:rPr>
            </w:pPr>
          </w:p>
        </w:tc>
        <w:tc>
          <w:tcPr>
            <w:tcW w:w="440" w:type="dxa"/>
            <w:vAlign w:val="bottom"/>
            <w:tcBorders>
              <w:bottom w:val="single" w:sz="8" w:color="009BDE"/>
            </w:tcBorders>
            <w:shd w:val="clear" w:color="auto" w:fill="CCEBF8"/>
          </w:tcPr>
          <w:p>
            <w:pPr>
              <w:spacing w:after="0"/>
              <w:rPr>
                <w:sz w:val="13"/>
                <w:szCs w:val="13"/>
                <w:color w:val="auto"/>
              </w:rPr>
            </w:pPr>
          </w:p>
        </w:tc>
        <w:tc>
          <w:tcPr>
            <w:tcW w:w="140" w:type="dxa"/>
            <w:vAlign w:val="bottom"/>
            <w:tcBorders>
              <w:bottom w:val="single" w:sz="8" w:color="CCEBF8"/>
            </w:tcBorders>
            <w:shd w:val="clear" w:color="auto" w:fill="CCEBF8"/>
          </w:tcPr>
          <w:p>
            <w:pPr>
              <w:spacing w:after="0"/>
              <w:rPr>
                <w:sz w:val="13"/>
                <w:szCs w:val="13"/>
                <w:color w:val="auto"/>
              </w:rPr>
            </w:pPr>
          </w:p>
        </w:tc>
        <w:tc>
          <w:tcPr>
            <w:tcW w:w="60" w:type="dxa"/>
            <w:vAlign w:val="bottom"/>
            <w:tcBorders>
              <w:bottom w:val="single" w:sz="8" w:color="009BDE"/>
            </w:tcBorders>
            <w:shd w:val="clear" w:color="auto" w:fill="CCEBF8"/>
          </w:tcPr>
          <w:p>
            <w:pPr>
              <w:spacing w:after="0"/>
              <w:rPr>
                <w:sz w:val="13"/>
                <w:szCs w:val="13"/>
                <w:color w:val="auto"/>
              </w:rPr>
            </w:pPr>
          </w:p>
        </w:tc>
        <w:tc>
          <w:tcPr>
            <w:tcW w:w="460" w:type="dxa"/>
            <w:vAlign w:val="bottom"/>
            <w:tcBorders>
              <w:bottom w:val="single" w:sz="8" w:color="009BDE"/>
            </w:tcBorders>
            <w:shd w:val="clear" w:color="auto" w:fill="CCEBF8"/>
          </w:tcPr>
          <w:p>
            <w:pPr>
              <w:spacing w:after="0"/>
              <w:rPr>
                <w:sz w:val="13"/>
                <w:szCs w:val="13"/>
                <w:color w:val="auto"/>
              </w:rPr>
            </w:pPr>
          </w:p>
        </w:tc>
        <w:tc>
          <w:tcPr>
            <w:tcW w:w="180" w:type="dxa"/>
            <w:vAlign w:val="bottom"/>
            <w:tcBorders>
              <w:bottom w:val="single" w:sz="8" w:color="009BDE"/>
            </w:tcBorders>
            <w:shd w:val="clear" w:color="auto" w:fill="CCEBF8"/>
          </w:tcPr>
          <w:p>
            <w:pPr>
              <w:spacing w:after="0"/>
              <w:rPr>
                <w:sz w:val="13"/>
                <w:szCs w:val="13"/>
                <w:color w:val="auto"/>
              </w:rPr>
            </w:pPr>
          </w:p>
        </w:tc>
        <w:tc>
          <w:tcPr>
            <w:tcW w:w="520" w:type="dxa"/>
            <w:vAlign w:val="bottom"/>
            <w:tcBorders>
              <w:bottom w:val="single" w:sz="8" w:color="009BDE"/>
            </w:tcBorders>
            <w:shd w:val="clear" w:color="auto" w:fill="CCEBF8"/>
          </w:tcPr>
          <w:p>
            <w:pPr>
              <w:jc w:val="right"/>
              <w:ind w:right="158"/>
              <w:spacing w:after="0"/>
              <w:rPr>
                <w:sz w:val="20"/>
                <w:szCs w:val="20"/>
                <w:color w:val="auto"/>
              </w:rPr>
            </w:pPr>
            <w:r>
              <w:rPr>
                <w:rFonts w:ascii="Arial" w:cs="Arial" w:eastAsia="Arial" w:hAnsi="Arial"/>
                <w:sz w:val="8"/>
                <w:szCs w:val="8"/>
                <w:b w:val="1"/>
                <w:bCs w:val="1"/>
                <w:color w:val="009BDE"/>
              </w:rPr>
              <w:t>2021</w:t>
            </w:r>
            <w:r>
              <w:rPr>
                <w:rFonts w:ascii="Arial" w:cs="Arial" w:eastAsia="Arial" w:hAnsi="Arial"/>
                <w:sz w:val="10"/>
                <w:szCs w:val="10"/>
                <w:b w:val="1"/>
                <w:bCs w:val="1"/>
                <w:color w:val="009BDE"/>
                <w:vertAlign w:val="superscript"/>
              </w:rPr>
              <w:t>(3)</w:t>
            </w:r>
          </w:p>
        </w:tc>
        <w:tc>
          <w:tcPr>
            <w:tcW w:w="160" w:type="dxa"/>
            <w:vAlign w:val="bottom"/>
            <w:tcBorders>
              <w:bottom w:val="single" w:sz="8" w:color="009BDE"/>
            </w:tcBorders>
            <w:shd w:val="clear" w:color="auto" w:fill="CCEBF8"/>
          </w:tcPr>
          <w:p>
            <w:pPr>
              <w:spacing w:after="0"/>
              <w:rPr>
                <w:sz w:val="13"/>
                <w:szCs w:val="13"/>
                <w:color w:val="auto"/>
              </w:rPr>
            </w:pPr>
          </w:p>
        </w:tc>
        <w:tc>
          <w:tcPr>
            <w:tcW w:w="440" w:type="dxa"/>
            <w:vAlign w:val="bottom"/>
            <w:tcBorders>
              <w:bottom w:val="single" w:sz="8" w:color="009BDE"/>
            </w:tcBorders>
            <w:shd w:val="clear" w:color="auto" w:fill="CCEBF8"/>
          </w:tcPr>
          <w:p>
            <w:pPr>
              <w:spacing w:after="0"/>
              <w:rPr>
                <w:sz w:val="13"/>
                <w:szCs w:val="13"/>
                <w:color w:val="auto"/>
              </w:rPr>
            </w:pPr>
          </w:p>
        </w:tc>
        <w:tc>
          <w:tcPr>
            <w:tcW w:w="140" w:type="dxa"/>
            <w:vAlign w:val="bottom"/>
            <w:tcBorders>
              <w:bottom w:val="single" w:sz="8" w:color="CCEBF8"/>
            </w:tcBorders>
            <w:shd w:val="clear" w:color="auto" w:fill="CCEBF8"/>
          </w:tcPr>
          <w:p>
            <w:pPr>
              <w:spacing w:after="0"/>
              <w:rPr>
                <w:sz w:val="13"/>
                <w:szCs w:val="13"/>
                <w:color w:val="auto"/>
              </w:rPr>
            </w:pPr>
          </w:p>
        </w:tc>
        <w:tc>
          <w:tcPr>
            <w:tcW w:w="80" w:type="dxa"/>
            <w:vAlign w:val="bottom"/>
            <w:tcBorders>
              <w:bottom w:val="single" w:sz="8" w:color="009BDE"/>
            </w:tcBorders>
            <w:shd w:val="clear" w:color="auto" w:fill="CCEBF8"/>
          </w:tcPr>
          <w:p>
            <w:pPr>
              <w:spacing w:after="0"/>
              <w:rPr>
                <w:sz w:val="13"/>
                <w:szCs w:val="13"/>
                <w:color w:val="auto"/>
              </w:rPr>
            </w:pPr>
          </w:p>
        </w:tc>
        <w:tc>
          <w:tcPr>
            <w:tcW w:w="660" w:type="dxa"/>
            <w:vAlign w:val="bottom"/>
            <w:tcBorders>
              <w:bottom w:val="single" w:sz="8" w:color="009BDE"/>
            </w:tcBorders>
            <w:gridSpan w:val="2"/>
            <w:shd w:val="clear" w:color="auto" w:fill="CCEBF8"/>
          </w:tcPr>
          <w:p>
            <w:pPr>
              <w:jc w:val="right"/>
              <w:ind w:right="18"/>
              <w:spacing w:after="0"/>
              <w:rPr>
                <w:sz w:val="20"/>
                <w:szCs w:val="20"/>
                <w:color w:val="auto"/>
              </w:rPr>
            </w:pPr>
            <w:r>
              <w:rPr>
                <w:rFonts w:ascii="Arial" w:cs="Arial" w:eastAsia="Arial" w:hAnsi="Arial"/>
                <w:sz w:val="8"/>
                <w:szCs w:val="8"/>
                <w:b w:val="1"/>
                <w:bCs w:val="1"/>
                <w:color w:val="009BDE"/>
              </w:rPr>
              <w:t>2020</w:t>
            </w:r>
            <w:r>
              <w:rPr>
                <w:rFonts w:ascii="Arial" w:cs="Arial" w:eastAsia="Arial" w:hAnsi="Arial"/>
                <w:sz w:val="10"/>
                <w:szCs w:val="10"/>
                <w:b w:val="1"/>
                <w:bCs w:val="1"/>
                <w:color w:val="009BDE"/>
                <w:vertAlign w:val="superscript"/>
              </w:rPr>
              <w:t>(3)</w:t>
            </w:r>
          </w:p>
        </w:tc>
        <w:tc>
          <w:tcPr>
            <w:tcW w:w="440" w:type="dxa"/>
            <w:vAlign w:val="bottom"/>
            <w:tcBorders>
              <w:bottom w:val="single" w:sz="8" w:color="009BDE"/>
            </w:tcBorders>
            <w:shd w:val="clear" w:color="auto" w:fill="CCEBF8"/>
          </w:tcPr>
          <w:p>
            <w:pPr>
              <w:spacing w:after="0"/>
              <w:rPr>
                <w:sz w:val="13"/>
                <w:szCs w:val="13"/>
                <w:color w:val="auto"/>
              </w:rPr>
            </w:pPr>
          </w:p>
        </w:tc>
      </w:tr>
      <w:tr>
        <w:trPr>
          <w:trHeight w:val="101"/>
        </w:trPr>
        <w:tc>
          <w:tcPr>
            <w:tcW w:w="2140" w:type="dxa"/>
            <w:vAlign w:val="bottom"/>
            <w:shd w:val="clear" w:color="auto" w:fill="CCEBF8"/>
          </w:tcPr>
          <w:p>
            <w:pPr>
              <w:spacing w:after="0"/>
              <w:rPr>
                <w:sz w:val="8"/>
                <w:szCs w:val="8"/>
                <w:color w:val="auto"/>
              </w:rPr>
            </w:pPr>
          </w:p>
        </w:tc>
        <w:tc>
          <w:tcPr>
            <w:tcW w:w="140" w:type="dxa"/>
            <w:vAlign w:val="bottom"/>
            <w:shd w:val="clear" w:color="auto" w:fill="CCEBF8"/>
          </w:tcPr>
          <w:p>
            <w:pPr>
              <w:spacing w:after="0"/>
              <w:rPr>
                <w:sz w:val="8"/>
                <w:szCs w:val="8"/>
                <w:color w:val="auto"/>
              </w:rPr>
            </w:pPr>
          </w:p>
        </w:tc>
        <w:tc>
          <w:tcPr>
            <w:tcW w:w="80" w:type="dxa"/>
            <w:vAlign w:val="bottom"/>
            <w:shd w:val="clear" w:color="auto" w:fill="CCEBF8"/>
          </w:tcPr>
          <w:p>
            <w:pPr>
              <w:spacing w:after="0"/>
              <w:rPr>
                <w:sz w:val="8"/>
                <w:szCs w:val="8"/>
                <w:color w:val="auto"/>
              </w:rPr>
            </w:pPr>
          </w:p>
        </w:tc>
        <w:tc>
          <w:tcPr>
            <w:tcW w:w="500" w:type="dxa"/>
            <w:vAlign w:val="bottom"/>
            <w:shd w:val="clear" w:color="auto" w:fill="CCEBF8"/>
          </w:tcPr>
          <w:p>
            <w:pPr>
              <w:jc w:val="right"/>
              <w:ind w:right="218"/>
              <w:spacing w:after="0"/>
              <w:rPr>
                <w:sz w:val="20"/>
                <w:szCs w:val="20"/>
                <w:color w:val="auto"/>
              </w:rPr>
            </w:pPr>
            <w:r>
              <w:rPr>
                <w:rFonts w:ascii="Arial" w:cs="Arial" w:eastAsia="Arial" w:hAnsi="Arial"/>
                <w:sz w:val="8"/>
                <w:szCs w:val="8"/>
                <w:b w:val="1"/>
                <w:bCs w:val="1"/>
                <w:color w:val="009BDE"/>
              </w:rPr>
              <w:t>CEO</w:t>
            </w:r>
          </w:p>
        </w:tc>
        <w:tc>
          <w:tcPr>
            <w:tcW w:w="140" w:type="dxa"/>
            <w:vAlign w:val="bottom"/>
            <w:shd w:val="clear" w:color="auto" w:fill="CCEBF8"/>
          </w:tcPr>
          <w:p>
            <w:pPr>
              <w:spacing w:after="0"/>
              <w:rPr>
                <w:sz w:val="8"/>
                <w:szCs w:val="8"/>
                <w:color w:val="auto"/>
              </w:rPr>
            </w:pPr>
          </w:p>
        </w:tc>
        <w:tc>
          <w:tcPr>
            <w:tcW w:w="460" w:type="dxa"/>
            <w:vAlign w:val="bottom"/>
            <w:shd w:val="clear" w:color="auto" w:fill="CCEBF8"/>
          </w:tcPr>
          <w:p>
            <w:pPr>
              <w:jc w:val="center"/>
              <w:ind w:right="118"/>
              <w:spacing w:after="0"/>
              <w:rPr>
                <w:sz w:val="20"/>
                <w:szCs w:val="20"/>
                <w:color w:val="auto"/>
              </w:rPr>
            </w:pPr>
            <w:r>
              <w:rPr>
                <w:rFonts w:ascii="Arial" w:cs="Arial" w:eastAsia="Arial" w:hAnsi="Arial"/>
                <w:sz w:val="8"/>
                <w:szCs w:val="8"/>
                <w:b w:val="1"/>
                <w:bCs w:val="1"/>
                <w:color w:val="009BDE"/>
              </w:rPr>
              <w:t>CEO</w:t>
            </w:r>
          </w:p>
        </w:tc>
        <w:tc>
          <w:tcPr>
            <w:tcW w:w="160" w:type="dxa"/>
            <w:vAlign w:val="bottom"/>
            <w:shd w:val="clear" w:color="auto" w:fill="CCEBF8"/>
          </w:tcPr>
          <w:p>
            <w:pPr>
              <w:spacing w:after="0"/>
              <w:rPr>
                <w:sz w:val="8"/>
                <w:szCs w:val="8"/>
                <w:color w:val="auto"/>
              </w:rPr>
            </w:pPr>
          </w:p>
        </w:tc>
        <w:tc>
          <w:tcPr>
            <w:tcW w:w="580" w:type="dxa"/>
            <w:vAlign w:val="bottom"/>
            <w:gridSpan w:val="2"/>
            <w:shd w:val="clear" w:color="auto" w:fill="CCEBF8"/>
          </w:tcPr>
          <w:p>
            <w:pPr>
              <w:jc w:val="center"/>
              <w:ind w:right="280"/>
              <w:spacing w:after="0"/>
              <w:rPr>
                <w:sz w:val="20"/>
                <w:szCs w:val="20"/>
                <w:color w:val="auto"/>
              </w:rPr>
            </w:pPr>
            <w:r>
              <w:rPr>
                <w:rFonts w:ascii="Arial" w:cs="Arial" w:eastAsia="Arial" w:hAnsi="Arial"/>
                <w:sz w:val="8"/>
                <w:szCs w:val="8"/>
                <w:b w:val="1"/>
                <w:bCs w:val="1"/>
                <w:color w:val="009BDE"/>
              </w:rPr>
              <w:t>Other</w:t>
            </w:r>
          </w:p>
        </w:tc>
        <w:tc>
          <w:tcPr>
            <w:tcW w:w="60" w:type="dxa"/>
            <w:vAlign w:val="bottom"/>
            <w:shd w:val="clear" w:color="auto" w:fill="CCEBF8"/>
          </w:tcPr>
          <w:p>
            <w:pPr>
              <w:spacing w:after="0"/>
              <w:rPr>
                <w:sz w:val="8"/>
                <w:szCs w:val="8"/>
                <w:color w:val="auto"/>
              </w:rPr>
            </w:pPr>
          </w:p>
        </w:tc>
        <w:tc>
          <w:tcPr>
            <w:tcW w:w="460" w:type="dxa"/>
            <w:vAlign w:val="bottom"/>
            <w:shd w:val="clear" w:color="auto" w:fill="CCEBF8"/>
          </w:tcPr>
          <w:p>
            <w:pPr>
              <w:jc w:val="right"/>
              <w:ind w:right="158"/>
              <w:spacing w:after="0"/>
              <w:rPr>
                <w:sz w:val="20"/>
                <w:szCs w:val="20"/>
                <w:color w:val="auto"/>
              </w:rPr>
            </w:pPr>
            <w:r>
              <w:rPr>
                <w:rFonts w:ascii="Arial" w:cs="Arial" w:eastAsia="Arial" w:hAnsi="Arial"/>
                <w:sz w:val="8"/>
                <w:szCs w:val="8"/>
                <w:b w:val="1"/>
                <w:bCs w:val="1"/>
                <w:color w:val="009BDE"/>
              </w:rPr>
              <w:t>CEO</w:t>
            </w:r>
          </w:p>
        </w:tc>
        <w:tc>
          <w:tcPr>
            <w:tcW w:w="180" w:type="dxa"/>
            <w:vAlign w:val="bottom"/>
            <w:shd w:val="clear" w:color="auto" w:fill="CCEBF8"/>
          </w:tcPr>
          <w:p>
            <w:pPr>
              <w:spacing w:after="0"/>
              <w:rPr>
                <w:sz w:val="8"/>
                <w:szCs w:val="8"/>
                <w:color w:val="auto"/>
              </w:rPr>
            </w:pPr>
          </w:p>
        </w:tc>
        <w:tc>
          <w:tcPr>
            <w:tcW w:w="520" w:type="dxa"/>
            <w:vAlign w:val="bottom"/>
            <w:shd w:val="clear" w:color="auto" w:fill="CCEBF8"/>
          </w:tcPr>
          <w:p>
            <w:pPr>
              <w:jc w:val="right"/>
              <w:ind w:right="218"/>
              <w:spacing w:after="0"/>
              <w:rPr>
                <w:sz w:val="20"/>
                <w:szCs w:val="20"/>
                <w:color w:val="auto"/>
              </w:rPr>
            </w:pPr>
            <w:r>
              <w:rPr>
                <w:rFonts w:ascii="Arial" w:cs="Arial" w:eastAsia="Arial" w:hAnsi="Arial"/>
                <w:sz w:val="8"/>
                <w:szCs w:val="8"/>
                <w:b w:val="1"/>
                <w:bCs w:val="1"/>
                <w:color w:val="009BDE"/>
              </w:rPr>
              <w:t>CEO</w:t>
            </w:r>
          </w:p>
        </w:tc>
        <w:tc>
          <w:tcPr>
            <w:tcW w:w="160" w:type="dxa"/>
            <w:vAlign w:val="bottom"/>
            <w:shd w:val="clear" w:color="auto" w:fill="CCEBF8"/>
          </w:tcPr>
          <w:p>
            <w:pPr>
              <w:spacing w:after="0"/>
              <w:rPr>
                <w:sz w:val="8"/>
                <w:szCs w:val="8"/>
                <w:color w:val="auto"/>
              </w:rPr>
            </w:pPr>
          </w:p>
        </w:tc>
        <w:tc>
          <w:tcPr>
            <w:tcW w:w="580" w:type="dxa"/>
            <w:vAlign w:val="bottom"/>
            <w:gridSpan w:val="2"/>
            <w:shd w:val="clear" w:color="auto" w:fill="CCEBF8"/>
          </w:tcPr>
          <w:p>
            <w:pPr>
              <w:jc w:val="center"/>
              <w:ind w:right="260"/>
              <w:spacing w:after="0"/>
              <w:rPr>
                <w:sz w:val="20"/>
                <w:szCs w:val="20"/>
                <w:color w:val="auto"/>
              </w:rPr>
            </w:pPr>
            <w:r>
              <w:rPr>
                <w:rFonts w:ascii="Arial" w:cs="Arial" w:eastAsia="Arial" w:hAnsi="Arial"/>
                <w:sz w:val="8"/>
                <w:szCs w:val="8"/>
                <w:b w:val="1"/>
                <w:bCs w:val="1"/>
                <w:color w:val="009BDE"/>
              </w:rPr>
              <w:t>Other</w:t>
            </w:r>
          </w:p>
        </w:tc>
        <w:tc>
          <w:tcPr>
            <w:tcW w:w="80" w:type="dxa"/>
            <w:vAlign w:val="bottom"/>
            <w:shd w:val="clear" w:color="auto" w:fill="CCEBF8"/>
          </w:tcPr>
          <w:p>
            <w:pPr>
              <w:spacing w:after="0"/>
              <w:rPr>
                <w:sz w:val="8"/>
                <w:szCs w:val="8"/>
                <w:color w:val="auto"/>
              </w:rPr>
            </w:pPr>
          </w:p>
        </w:tc>
        <w:tc>
          <w:tcPr>
            <w:tcW w:w="500" w:type="dxa"/>
            <w:vAlign w:val="bottom"/>
            <w:shd w:val="clear" w:color="auto" w:fill="CCEBF8"/>
          </w:tcPr>
          <w:p>
            <w:pPr>
              <w:jc w:val="right"/>
              <w:ind w:right="218"/>
              <w:spacing w:after="0"/>
              <w:rPr>
                <w:sz w:val="20"/>
                <w:szCs w:val="20"/>
                <w:color w:val="auto"/>
              </w:rPr>
            </w:pPr>
            <w:r>
              <w:rPr>
                <w:rFonts w:ascii="Arial" w:cs="Arial" w:eastAsia="Arial" w:hAnsi="Arial"/>
                <w:sz w:val="8"/>
                <w:szCs w:val="8"/>
                <w:b w:val="1"/>
                <w:bCs w:val="1"/>
                <w:color w:val="009BDE"/>
              </w:rPr>
              <w:t>CEO</w:t>
            </w:r>
          </w:p>
        </w:tc>
        <w:tc>
          <w:tcPr>
            <w:tcW w:w="160" w:type="dxa"/>
            <w:vAlign w:val="bottom"/>
            <w:shd w:val="clear" w:color="auto" w:fill="CCEBF8"/>
          </w:tcPr>
          <w:p>
            <w:pPr>
              <w:spacing w:after="0"/>
              <w:rPr>
                <w:sz w:val="8"/>
                <w:szCs w:val="8"/>
                <w:color w:val="auto"/>
              </w:rPr>
            </w:pPr>
          </w:p>
        </w:tc>
        <w:tc>
          <w:tcPr>
            <w:tcW w:w="440" w:type="dxa"/>
            <w:vAlign w:val="bottom"/>
            <w:shd w:val="clear" w:color="auto" w:fill="CCEBF8"/>
          </w:tcPr>
          <w:p>
            <w:pPr>
              <w:jc w:val="right"/>
              <w:ind w:right="138"/>
              <w:spacing w:after="0"/>
              <w:rPr>
                <w:sz w:val="20"/>
                <w:szCs w:val="20"/>
                <w:color w:val="auto"/>
              </w:rPr>
            </w:pPr>
            <w:r>
              <w:rPr>
                <w:rFonts w:ascii="Arial" w:cs="Arial" w:eastAsia="Arial" w:hAnsi="Arial"/>
                <w:sz w:val="8"/>
                <w:szCs w:val="8"/>
                <w:b w:val="1"/>
                <w:bCs w:val="1"/>
                <w:color w:val="009BDE"/>
              </w:rPr>
              <w:t>Other</w:t>
            </w:r>
          </w:p>
        </w:tc>
      </w:tr>
      <w:tr>
        <w:trPr>
          <w:trHeight w:val="199"/>
        </w:trPr>
        <w:tc>
          <w:tcPr>
            <w:tcW w:w="2140" w:type="dxa"/>
            <w:vAlign w:val="bottom"/>
            <w:tcBorders>
              <w:bottom w:val="single" w:sz="8" w:color="CCEBF8"/>
            </w:tcBorders>
            <w:shd w:val="clear" w:color="auto" w:fill="CCEBF8"/>
          </w:tcPr>
          <w:p>
            <w:pPr>
              <w:spacing w:after="0"/>
              <w:rPr>
                <w:sz w:val="20"/>
                <w:szCs w:val="20"/>
                <w:color w:val="auto"/>
              </w:rPr>
            </w:pPr>
            <w:r>
              <w:rPr>
                <w:rFonts w:ascii="Arial" w:cs="Arial" w:eastAsia="Arial" w:hAnsi="Arial"/>
                <w:sz w:val="8"/>
                <w:szCs w:val="8"/>
                <w:b w:val="1"/>
                <w:bCs w:val="1"/>
                <w:color w:val="009BDE"/>
              </w:rPr>
              <w:t>Adjustments</w:t>
            </w:r>
          </w:p>
        </w:tc>
        <w:tc>
          <w:tcPr>
            <w:tcW w:w="140" w:type="dxa"/>
            <w:vAlign w:val="bottom"/>
            <w:tcBorders>
              <w:bottom w:val="single" w:sz="8" w:color="CCEBF8"/>
            </w:tcBorders>
            <w:shd w:val="clear" w:color="auto" w:fill="CCEBF8"/>
          </w:tcPr>
          <w:p>
            <w:pPr>
              <w:spacing w:after="0"/>
              <w:rPr>
                <w:sz w:val="16"/>
                <w:szCs w:val="16"/>
                <w:color w:val="auto"/>
              </w:rPr>
            </w:pPr>
          </w:p>
        </w:tc>
        <w:tc>
          <w:tcPr>
            <w:tcW w:w="80" w:type="dxa"/>
            <w:vAlign w:val="bottom"/>
            <w:tcBorders>
              <w:bottom w:val="single" w:sz="8" w:color="CCEBF8"/>
            </w:tcBorders>
            <w:shd w:val="clear" w:color="auto" w:fill="CCEBF8"/>
          </w:tcPr>
          <w:p>
            <w:pPr>
              <w:spacing w:after="0"/>
              <w:rPr>
                <w:sz w:val="16"/>
                <w:szCs w:val="16"/>
                <w:color w:val="auto"/>
              </w:rPr>
            </w:pPr>
          </w:p>
        </w:tc>
        <w:tc>
          <w:tcPr>
            <w:tcW w:w="500" w:type="dxa"/>
            <w:vAlign w:val="bottom"/>
            <w:tcBorders>
              <w:bottom w:val="single" w:sz="8" w:color="CCEBF8"/>
            </w:tcBorders>
            <w:shd w:val="clear" w:color="auto" w:fill="CCEBF8"/>
          </w:tcPr>
          <w:p>
            <w:pPr>
              <w:jc w:val="right"/>
              <w:ind w:right="138"/>
              <w:spacing w:after="0"/>
              <w:rPr>
                <w:sz w:val="20"/>
                <w:szCs w:val="20"/>
                <w:color w:val="auto"/>
              </w:rPr>
            </w:pPr>
            <w:r>
              <w:rPr>
                <w:rFonts w:ascii="Arial" w:cs="Arial" w:eastAsia="Arial" w:hAnsi="Arial"/>
                <w:sz w:val="8"/>
                <w:szCs w:val="8"/>
                <w:b w:val="1"/>
                <w:bCs w:val="1"/>
                <w:color w:val="009BDE"/>
              </w:rPr>
              <w:t>(Cocks)</w:t>
            </w:r>
          </w:p>
        </w:tc>
        <w:tc>
          <w:tcPr>
            <w:tcW w:w="600" w:type="dxa"/>
            <w:vAlign w:val="bottom"/>
            <w:tcBorders>
              <w:bottom w:val="single" w:sz="8" w:color="CCEBF8"/>
            </w:tcBorders>
            <w:gridSpan w:val="2"/>
            <w:shd w:val="clear" w:color="auto" w:fill="CCEBF8"/>
          </w:tcPr>
          <w:p>
            <w:pPr>
              <w:jc w:val="center"/>
              <w:spacing w:after="0"/>
              <w:rPr>
                <w:sz w:val="20"/>
                <w:szCs w:val="20"/>
                <w:color w:val="auto"/>
              </w:rPr>
            </w:pPr>
            <w:r>
              <w:rPr>
                <w:rFonts w:ascii="Arial" w:cs="Arial" w:eastAsia="Arial" w:hAnsi="Arial"/>
                <w:sz w:val="8"/>
                <w:szCs w:val="8"/>
                <w:b w:val="1"/>
                <w:bCs w:val="1"/>
                <w:color w:val="009BDE"/>
              </w:rPr>
              <w:t>(Stoddart)</w:t>
            </w:r>
          </w:p>
        </w:tc>
        <w:tc>
          <w:tcPr>
            <w:tcW w:w="160" w:type="dxa"/>
            <w:vAlign w:val="bottom"/>
            <w:tcBorders>
              <w:bottom w:val="single" w:sz="8" w:color="CCEBF8"/>
            </w:tcBorders>
            <w:shd w:val="clear" w:color="auto" w:fill="CCEBF8"/>
          </w:tcPr>
          <w:p>
            <w:pPr>
              <w:spacing w:after="0"/>
              <w:rPr>
                <w:sz w:val="16"/>
                <w:szCs w:val="16"/>
                <w:color w:val="auto"/>
              </w:rPr>
            </w:pPr>
          </w:p>
        </w:tc>
        <w:tc>
          <w:tcPr>
            <w:tcW w:w="580" w:type="dxa"/>
            <w:vAlign w:val="bottom"/>
            <w:tcBorders>
              <w:bottom w:val="single" w:sz="8" w:color="CCEBF8"/>
            </w:tcBorders>
            <w:gridSpan w:val="2"/>
            <w:shd w:val="clear" w:color="auto" w:fill="CCEBF8"/>
          </w:tcPr>
          <w:p>
            <w:pPr>
              <w:jc w:val="center"/>
              <w:ind w:right="260"/>
              <w:spacing w:after="0"/>
              <w:rPr>
                <w:sz w:val="20"/>
                <w:szCs w:val="20"/>
                <w:color w:val="auto"/>
              </w:rPr>
            </w:pPr>
            <w:r>
              <w:rPr>
                <w:rFonts w:ascii="Arial" w:cs="Arial" w:eastAsia="Arial" w:hAnsi="Arial"/>
                <w:sz w:val="8"/>
                <w:szCs w:val="8"/>
                <w:b w:val="1"/>
                <w:bCs w:val="1"/>
                <w:color w:val="009BDE"/>
                <w:w w:val="93"/>
              </w:rPr>
              <w:t>NEOs</w:t>
            </w:r>
            <w:r>
              <w:rPr>
                <w:rFonts w:ascii="Arial" w:cs="Arial" w:eastAsia="Arial" w:hAnsi="Arial"/>
                <w:sz w:val="10"/>
                <w:szCs w:val="10"/>
                <w:b w:val="1"/>
                <w:bCs w:val="1"/>
                <w:color w:val="009BDE"/>
                <w:w w:val="93"/>
                <w:vertAlign w:val="superscript"/>
              </w:rPr>
              <w:t>(4)</w:t>
            </w:r>
          </w:p>
        </w:tc>
        <w:tc>
          <w:tcPr>
            <w:tcW w:w="520" w:type="dxa"/>
            <w:vAlign w:val="bottom"/>
            <w:tcBorders>
              <w:bottom w:val="single" w:sz="8" w:color="CCEBF8"/>
            </w:tcBorders>
            <w:gridSpan w:val="2"/>
            <w:shd w:val="clear" w:color="auto" w:fill="CCEBF8"/>
          </w:tcPr>
          <w:p>
            <w:pPr>
              <w:jc w:val="right"/>
              <w:ind w:right="58"/>
              <w:spacing w:after="0"/>
              <w:rPr>
                <w:sz w:val="20"/>
                <w:szCs w:val="20"/>
                <w:color w:val="auto"/>
              </w:rPr>
            </w:pPr>
            <w:r>
              <w:rPr>
                <w:rFonts w:ascii="Arial" w:cs="Arial" w:eastAsia="Arial" w:hAnsi="Arial"/>
                <w:sz w:val="8"/>
                <w:szCs w:val="8"/>
                <w:b w:val="1"/>
                <w:bCs w:val="1"/>
                <w:color w:val="009BDE"/>
              </w:rPr>
              <w:t>(Stoddart)</w:t>
            </w:r>
          </w:p>
        </w:tc>
        <w:tc>
          <w:tcPr>
            <w:tcW w:w="700" w:type="dxa"/>
            <w:vAlign w:val="bottom"/>
            <w:tcBorders>
              <w:bottom w:val="single" w:sz="8" w:color="CCEBF8"/>
            </w:tcBorders>
            <w:gridSpan w:val="2"/>
            <w:shd w:val="clear" w:color="auto" w:fill="CCEBF8"/>
          </w:tcPr>
          <w:p>
            <w:pPr>
              <w:jc w:val="right"/>
              <w:ind w:right="138"/>
              <w:spacing w:after="0"/>
              <w:rPr>
                <w:sz w:val="20"/>
                <w:szCs w:val="20"/>
                <w:color w:val="auto"/>
              </w:rPr>
            </w:pPr>
            <w:r>
              <w:rPr>
                <w:rFonts w:ascii="Arial" w:cs="Arial" w:eastAsia="Arial" w:hAnsi="Arial"/>
                <w:sz w:val="8"/>
                <w:szCs w:val="8"/>
                <w:b w:val="1"/>
                <w:bCs w:val="1"/>
                <w:color w:val="009BDE"/>
              </w:rPr>
              <w:t>(Goldner)</w:t>
            </w:r>
          </w:p>
        </w:tc>
        <w:tc>
          <w:tcPr>
            <w:tcW w:w="160" w:type="dxa"/>
            <w:vAlign w:val="bottom"/>
            <w:tcBorders>
              <w:bottom w:val="single" w:sz="8" w:color="CCEBF8"/>
            </w:tcBorders>
            <w:shd w:val="clear" w:color="auto" w:fill="CCEBF8"/>
          </w:tcPr>
          <w:p>
            <w:pPr>
              <w:spacing w:after="0"/>
              <w:rPr>
                <w:sz w:val="16"/>
                <w:szCs w:val="16"/>
                <w:color w:val="auto"/>
              </w:rPr>
            </w:pPr>
          </w:p>
        </w:tc>
        <w:tc>
          <w:tcPr>
            <w:tcW w:w="580" w:type="dxa"/>
            <w:vAlign w:val="bottom"/>
            <w:tcBorders>
              <w:bottom w:val="single" w:sz="8" w:color="CCEBF8"/>
            </w:tcBorders>
            <w:gridSpan w:val="2"/>
            <w:shd w:val="clear" w:color="auto" w:fill="CCEBF8"/>
          </w:tcPr>
          <w:p>
            <w:pPr>
              <w:jc w:val="center"/>
              <w:ind w:right="260"/>
              <w:spacing w:after="0"/>
              <w:rPr>
                <w:sz w:val="20"/>
                <w:szCs w:val="20"/>
                <w:color w:val="auto"/>
              </w:rPr>
            </w:pPr>
            <w:r>
              <w:rPr>
                <w:rFonts w:ascii="Arial" w:cs="Arial" w:eastAsia="Arial" w:hAnsi="Arial"/>
                <w:sz w:val="8"/>
                <w:szCs w:val="8"/>
                <w:b w:val="1"/>
                <w:bCs w:val="1"/>
                <w:color w:val="009BDE"/>
                <w:w w:val="93"/>
              </w:rPr>
              <w:t>NEOs</w:t>
            </w:r>
            <w:r>
              <w:rPr>
                <w:rFonts w:ascii="Arial" w:cs="Arial" w:eastAsia="Arial" w:hAnsi="Arial"/>
                <w:sz w:val="10"/>
                <w:szCs w:val="10"/>
                <w:b w:val="1"/>
                <w:bCs w:val="1"/>
                <w:color w:val="009BDE"/>
                <w:w w:val="93"/>
                <w:vertAlign w:val="superscript"/>
              </w:rPr>
              <w:t>(4)</w:t>
            </w:r>
          </w:p>
        </w:tc>
        <w:tc>
          <w:tcPr>
            <w:tcW w:w="580" w:type="dxa"/>
            <w:vAlign w:val="bottom"/>
            <w:tcBorders>
              <w:bottom w:val="single" w:sz="8" w:color="CCEBF8"/>
            </w:tcBorders>
            <w:gridSpan w:val="2"/>
            <w:shd w:val="clear" w:color="auto" w:fill="CCEBF8"/>
          </w:tcPr>
          <w:p>
            <w:pPr>
              <w:jc w:val="right"/>
              <w:ind w:right="118"/>
              <w:spacing w:after="0"/>
              <w:rPr>
                <w:sz w:val="20"/>
                <w:szCs w:val="20"/>
                <w:color w:val="auto"/>
              </w:rPr>
            </w:pPr>
            <w:r>
              <w:rPr>
                <w:rFonts w:ascii="Arial" w:cs="Arial" w:eastAsia="Arial" w:hAnsi="Arial"/>
                <w:sz w:val="8"/>
                <w:szCs w:val="8"/>
                <w:b w:val="1"/>
                <w:bCs w:val="1"/>
                <w:color w:val="009BDE"/>
              </w:rPr>
              <w:t>(Goldner)</w:t>
            </w:r>
          </w:p>
        </w:tc>
        <w:tc>
          <w:tcPr>
            <w:tcW w:w="160" w:type="dxa"/>
            <w:vAlign w:val="bottom"/>
            <w:tcBorders>
              <w:bottom w:val="single" w:sz="8" w:color="CCEBF8"/>
            </w:tcBorders>
            <w:shd w:val="clear" w:color="auto" w:fill="CCEBF8"/>
          </w:tcPr>
          <w:p>
            <w:pPr>
              <w:spacing w:after="0"/>
              <w:rPr>
                <w:sz w:val="16"/>
                <w:szCs w:val="16"/>
                <w:color w:val="auto"/>
              </w:rPr>
            </w:pPr>
          </w:p>
        </w:tc>
        <w:tc>
          <w:tcPr>
            <w:tcW w:w="440" w:type="dxa"/>
            <w:vAlign w:val="bottom"/>
            <w:tcBorders>
              <w:bottom w:val="single" w:sz="8" w:color="CCEBF8"/>
            </w:tcBorders>
            <w:shd w:val="clear" w:color="auto" w:fill="CCEBF8"/>
          </w:tcPr>
          <w:p>
            <w:pPr>
              <w:jc w:val="right"/>
              <w:ind w:right="98"/>
              <w:spacing w:after="0"/>
              <w:rPr>
                <w:sz w:val="20"/>
                <w:szCs w:val="20"/>
                <w:color w:val="auto"/>
              </w:rPr>
            </w:pPr>
            <w:r>
              <w:rPr>
                <w:rFonts w:ascii="Arial" w:cs="Arial" w:eastAsia="Arial" w:hAnsi="Arial"/>
                <w:sz w:val="8"/>
                <w:szCs w:val="8"/>
                <w:b w:val="1"/>
                <w:bCs w:val="1"/>
                <w:color w:val="009BDE"/>
                <w:w w:val="93"/>
              </w:rPr>
              <w:t>NEOs</w:t>
            </w:r>
            <w:r>
              <w:rPr>
                <w:rFonts w:ascii="Arial" w:cs="Arial" w:eastAsia="Arial" w:hAnsi="Arial"/>
                <w:sz w:val="10"/>
                <w:szCs w:val="10"/>
                <w:b w:val="1"/>
                <w:bCs w:val="1"/>
                <w:color w:val="009BDE"/>
                <w:w w:val="93"/>
                <w:vertAlign w:val="superscript"/>
              </w:rPr>
              <w:t>(4)</w:t>
            </w:r>
          </w:p>
        </w:tc>
      </w:tr>
      <w:tr>
        <w:trPr>
          <w:trHeight w:val="138"/>
        </w:trPr>
        <w:tc>
          <w:tcPr>
            <w:tcW w:w="2140" w:type="dxa"/>
            <w:vAlign w:val="bottom"/>
            <w:tcBorders>
              <w:top w:val="single" w:sz="8" w:color="009BDE"/>
            </w:tcBorders>
          </w:tcPr>
          <w:p>
            <w:pPr>
              <w:ind w:left="40"/>
              <w:spacing w:after="0"/>
              <w:rPr>
                <w:sz w:val="20"/>
                <w:szCs w:val="20"/>
                <w:color w:val="auto"/>
              </w:rPr>
            </w:pPr>
            <w:r>
              <w:rPr>
                <w:rFonts w:ascii="Arial" w:cs="Arial" w:eastAsia="Arial" w:hAnsi="Arial"/>
                <w:sz w:val="8"/>
                <w:szCs w:val="8"/>
                <w:color w:val="auto"/>
              </w:rPr>
              <w:t>Add: Vesting date fair value of awards granted and</w:t>
            </w:r>
          </w:p>
        </w:tc>
        <w:tc>
          <w:tcPr>
            <w:tcW w:w="140" w:type="dxa"/>
            <w:vAlign w:val="bottom"/>
            <w:tcBorders>
              <w:top w:val="single" w:sz="8" w:color="009BDE"/>
            </w:tcBorders>
          </w:tcPr>
          <w:p>
            <w:pPr>
              <w:spacing w:after="0"/>
              <w:rPr>
                <w:sz w:val="12"/>
                <w:szCs w:val="12"/>
                <w:color w:val="auto"/>
              </w:rPr>
            </w:pPr>
          </w:p>
        </w:tc>
        <w:tc>
          <w:tcPr>
            <w:tcW w:w="80" w:type="dxa"/>
            <w:vAlign w:val="bottom"/>
            <w:tcBorders>
              <w:top w:val="single" w:sz="8" w:color="009BDE"/>
            </w:tcBorders>
          </w:tcPr>
          <w:p>
            <w:pPr>
              <w:spacing w:after="0"/>
              <w:rPr>
                <w:sz w:val="12"/>
                <w:szCs w:val="12"/>
                <w:color w:val="auto"/>
              </w:rPr>
            </w:pPr>
          </w:p>
        </w:tc>
        <w:tc>
          <w:tcPr>
            <w:tcW w:w="500" w:type="dxa"/>
            <w:vAlign w:val="bottom"/>
            <w:tcBorders>
              <w:top w:val="single" w:sz="8" w:color="009BDE"/>
            </w:tcBorders>
          </w:tcPr>
          <w:p>
            <w:pPr>
              <w:spacing w:after="0"/>
              <w:rPr>
                <w:sz w:val="12"/>
                <w:szCs w:val="12"/>
                <w:color w:val="auto"/>
              </w:rPr>
            </w:pPr>
          </w:p>
        </w:tc>
        <w:tc>
          <w:tcPr>
            <w:tcW w:w="140" w:type="dxa"/>
            <w:vAlign w:val="bottom"/>
            <w:tcBorders>
              <w:top w:val="single" w:sz="8" w:color="009BDE"/>
            </w:tcBorders>
          </w:tcPr>
          <w:p>
            <w:pPr>
              <w:spacing w:after="0"/>
              <w:rPr>
                <w:sz w:val="12"/>
                <w:szCs w:val="12"/>
                <w:color w:val="auto"/>
              </w:rPr>
            </w:pPr>
          </w:p>
        </w:tc>
        <w:tc>
          <w:tcPr>
            <w:tcW w:w="460" w:type="dxa"/>
            <w:vAlign w:val="bottom"/>
            <w:tcBorders>
              <w:top w:val="single" w:sz="8" w:color="009BDE"/>
            </w:tcBorders>
          </w:tcPr>
          <w:p>
            <w:pPr>
              <w:spacing w:after="0"/>
              <w:rPr>
                <w:sz w:val="12"/>
                <w:szCs w:val="12"/>
                <w:color w:val="auto"/>
              </w:rPr>
            </w:pPr>
          </w:p>
        </w:tc>
        <w:tc>
          <w:tcPr>
            <w:tcW w:w="160" w:type="dxa"/>
            <w:vAlign w:val="bottom"/>
            <w:tcBorders>
              <w:top w:val="single" w:sz="8" w:color="009BDE"/>
            </w:tcBorders>
          </w:tcPr>
          <w:p>
            <w:pPr>
              <w:spacing w:after="0"/>
              <w:rPr>
                <w:sz w:val="12"/>
                <w:szCs w:val="12"/>
                <w:color w:val="auto"/>
              </w:rPr>
            </w:pPr>
          </w:p>
        </w:tc>
        <w:tc>
          <w:tcPr>
            <w:tcW w:w="440" w:type="dxa"/>
            <w:vAlign w:val="bottom"/>
            <w:tcBorders>
              <w:top w:val="single" w:sz="8" w:color="009BDE"/>
            </w:tcBorders>
          </w:tcPr>
          <w:p>
            <w:pPr>
              <w:spacing w:after="0"/>
              <w:rPr>
                <w:sz w:val="12"/>
                <w:szCs w:val="12"/>
                <w:color w:val="auto"/>
              </w:rPr>
            </w:pPr>
          </w:p>
        </w:tc>
        <w:tc>
          <w:tcPr>
            <w:tcW w:w="140" w:type="dxa"/>
            <w:vAlign w:val="bottom"/>
            <w:tcBorders>
              <w:top w:val="single" w:sz="8" w:color="009BDE"/>
            </w:tcBorders>
          </w:tcPr>
          <w:p>
            <w:pPr>
              <w:spacing w:after="0"/>
              <w:rPr>
                <w:sz w:val="12"/>
                <w:szCs w:val="12"/>
                <w:color w:val="auto"/>
              </w:rPr>
            </w:pPr>
          </w:p>
        </w:tc>
        <w:tc>
          <w:tcPr>
            <w:tcW w:w="60" w:type="dxa"/>
            <w:vAlign w:val="bottom"/>
            <w:tcBorders>
              <w:top w:val="single" w:sz="8" w:color="009BDE"/>
            </w:tcBorders>
          </w:tcPr>
          <w:p>
            <w:pPr>
              <w:spacing w:after="0"/>
              <w:rPr>
                <w:sz w:val="12"/>
                <w:szCs w:val="12"/>
                <w:color w:val="auto"/>
              </w:rPr>
            </w:pPr>
          </w:p>
        </w:tc>
        <w:tc>
          <w:tcPr>
            <w:tcW w:w="460" w:type="dxa"/>
            <w:vAlign w:val="bottom"/>
            <w:tcBorders>
              <w:top w:val="single" w:sz="8" w:color="009BDE"/>
            </w:tcBorders>
          </w:tcPr>
          <w:p>
            <w:pPr>
              <w:spacing w:after="0"/>
              <w:rPr>
                <w:sz w:val="12"/>
                <w:szCs w:val="12"/>
                <w:color w:val="auto"/>
              </w:rPr>
            </w:pPr>
          </w:p>
        </w:tc>
        <w:tc>
          <w:tcPr>
            <w:tcW w:w="180" w:type="dxa"/>
            <w:vAlign w:val="bottom"/>
            <w:tcBorders>
              <w:top w:val="single" w:sz="8" w:color="009BDE"/>
            </w:tcBorders>
          </w:tcPr>
          <w:p>
            <w:pPr>
              <w:spacing w:after="0"/>
              <w:rPr>
                <w:sz w:val="12"/>
                <w:szCs w:val="12"/>
                <w:color w:val="auto"/>
              </w:rPr>
            </w:pPr>
          </w:p>
        </w:tc>
        <w:tc>
          <w:tcPr>
            <w:tcW w:w="520" w:type="dxa"/>
            <w:vAlign w:val="bottom"/>
            <w:tcBorders>
              <w:top w:val="single" w:sz="8" w:color="009BDE"/>
            </w:tcBorders>
          </w:tcPr>
          <w:p>
            <w:pPr>
              <w:spacing w:after="0"/>
              <w:rPr>
                <w:sz w:val="12"/>
                <w:szCs w:val="12"/>
                <w:color w:val="auto"/>
              </w:rPr>
            </w:pPr>
          </w:p>
        </w:tc>
        <w:tc>
          <w:tcPr>
            <w:tcW w:w="160" w:type="dxa"/>
            <w:vAlign w:val="bottom"/>
            <w:tcBorders>
              <w:top w:val="single" w:sz="8" w:color="009BDE"/>
            </w:tcBorders>
          </w:tcPr>
          <w:p>
            <w:pPr>
              <w:spacing w:after="0"/>
              <w:rPr>
                <w:sz w:val="12"/>
                <w:szCs w:val="12"/>
                <w:color w:val="auto"/>
              </w:rPr>
            </w:pPr>
          </w:p>
        </w:tc>
        <w:tc>
          <w:tcPr>
            <w:tcW w:w="440" w:type="dxa"/>
            <w:vAlign w:val="bottom"/>
            <w:tcBorders>
              <w:top w:val="single" w:sz="8" w:color="009BDE"/>
            </w:tcBorders>
          </w:tcPr>
          <w:p>
            <w:pPr>
              <w:spacing w:after="0"/>
              <w:rPr>
                <w:sz w:val="12"/>
                <w:szCs w:val="12"/>
                <w:color w:val="auto"/>
              </w:rPr>
            </w:pPr>
          </w:p>
        </w:tc>
        <w:tc>
          <w:tcPr>
            <w:tcW w:w="140" w:type="dxa"/>
            <w:vAlign w:val="bottom"/>
            <w:tcBorders>
              <w:top w:val="single" w:sz="8" w:color="009BDE"/>
            </w:tcBorders>
          </w:tcPr>
          <w:p>
            <w:pPr>
              <w:spacing w:after="0"/>
              <w:rPr>
                <w:sz w:val="12"/>
                <w:szCs w:val="12"/>
                <w:color w:val="auto"/>
              </w:rPr>
            </w:pPr>
          </w:p>
        </w:tc>
        <w:tc>
          <w:tcPr>
            <w:tcW w:w="80" w:type="dxa"/>
            <w:vAlign w:val="bottom"/>
            <w:tcBorders>
              <w:top w:val="single" w:sz="8" w:color="009BDE"/>
            </w:tcBorders>
          </w:tcPr>
          <w:p>
            <w:pPr>
              <w:spacing w:after="0"/>
              <w:rPr>
                <w:sz w:val="12"/>
                <w:szCs w:val="12"/>
                <w:color w:val="auto"/>
              </w:rPr>
            </w:pPr>
          </w:p>
        </w:tc>
        <w:tc>
          <w:tcPr>
            <w:tcW w:w="500" w:type="dxa"/>
            <w:vAlign w:val="bottom"/>
            <w:tcBorders>
              <w:top w:val="single" w:sz="8" w:color="009BDE"/>
            </w:tcBorders>
          </w:tcPr>
          <w:p>
            <w:pPr>
              <w:spacing w:after="0"/>
              <w:rPr>
                <w:sz w:val="12"/>
                <w:szCs w:val="12"/>
                <w:color w:val="auto"/>
              </w:rPr>
            </w:pPr>
          </w:p>
        </w:tc>
        <w:tc>
          <w:tcPr>
            <w:tcW w:w="160" w:type="dxa"/>
            <w:vAlign w:val="bottom"/>
            <w:tcBorders>
              <w:top w:val="single" w:sz="8" w:color="009BDE"/>
            </w:tcBorders>
          </w:tcPr>
          <w:p>
            <w:pPr>
              <w:spacing w:after="0"/>
              <w:rPr>
                <w:sz w:val="12"/>
                <w:szCs w:val="12"/>
                <w:color w:val="auto"/>
              </w:rPr>
            </w:pPr>
          </w:p>
        </w:tc>
        <w:tc>
          <w:tcPr>
            <w:tcW w:w="440" w:type="dxa"/>
            <w:vAlign w:val="bottom"/>
            <w:tcBorders>
              <w:top w:val="single" w:sz="8" w:color="009BDE"/>
            </w:tcBorders>
          </w:tcPr>
          <w:p>
            <w:pPr>
              <w:spacing w:after="0"/>
              <w:rPr>
                <w:sz w:val="12"/>
                <w:szCs w:val="12"/>
                <w:color w:val="auto"/>
              </w:rPr>
            </w:pPr>
          </w:p>
        </w:tc>
      </w:tr>
      <w:tr>
        <w:trPr>
          <w:trHeight w:val="100"/>
        </w:trPr>
        <w:tc>
          <w:tcPr>
            <w:tcW w:w="2140" w:type="dxa"/>
            <w:vAlign w:val="bottom"/>
          </w:tcPr>
          <w:p>
            <w:pPr>
              <w:ind w:left="40"/>
              <w:spacing w:after="0"/>
              <w:rPr>
                <w:sz w:val="20"/>
                <w:szCs w:val="20"/>
                <w:color w:val="auto"/>
              </w:rPr>
            </w:pPr>
            <w:r>
              <w:rPr>
                <w:rFonts w:ascii="Arial" w:cs="Arial" w:eastAsia="Arial" w:hAnsi="Arial"/>
                <w:sz w:val="8"/>
                <w:szCs w:val="8"/>
                <w:color w:val="auto"/>
              </w:rPr>
              <w:t>vesting during such year</w:t>
            </w:r>
          </w:p>
        </w:tc>
        <w:tc>
          <w:tcPr>
            <w:tcW w:w="220" w:type="dxa"/>
            <w:vAlign w:val="bottom"/>
            <w:gridSpan w:val="2"/>
          </w:tcPr>
          <w:p>
            <w:pPr>
              <w:ind w:left="140"/>
              <w:spacing w:after="0"/>
              <w:rPr>
                <w:sz w:val="20"/>
                <w:szCs w:val="20"/>
                <w:color w:val="auto"/>
              </w:rPr>
            </w:pPr>
            <w:r>
              <w:rPr>
                <w:rFonts w:ascii="Arial" w:cs="Arial" w:eastAsia="Arial" w:hAnsi="Arial"/>
                <w:sz w:val="8"/>
                <w:szCs w:val="8"/>
                <w:color w:val="auto"/>
              </w:rPr>
              <w:t>$</w:t>
            </w:r>
          </w:p>
        </w:tc>
        <w:tc>
          <w:tcPr>
            <w:tcW w:w="500" w:type="dxa"/>
            <w:vAlign w:val="bottom"/>
          </w:tcPr>
          <w:p>
            <w:pPr>
              <w:jc w:val="right"/>
              <w:ind w:right="78"/>
              <w:spacing w:after="0"/>
              <w:rPr>
                <w:sz w:val="20"/>
                <w:szCs w:val="20"/>
                <w:color w:val="auto"/>
              </w:rPr>
            </w:pPr>
            <w:r>
              <w:rPr>
                <w:rFonts w:ascii="Arial" w:cs="Arial" w:eastAsia="Arial" w:hAnsi="Arial"/>
                <w:sz w:val="8"/>
                <w:szCs w:val="8"/>
                <w:color w:val="auto"/>
              </w:rPr>
              <w:t>0</w:t>
            </w:r>
          </w:p>
        </w:tc>
        <w:tc>
          <w:tcPr>
            <w:tcW w:w="140" w:type="dxa"/>
            <w:vAlign w:val="bottom"/>
          </w:tcPr>
          <w:p>
            <w:pPr>
              <w:ind w:left="80"/>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ind w:right="78"/>
              <w:spacing w:after="0"/>
              <w:rPr>
                <w:sz w:val="20"/>
                <w:szCs w:val="20"/>
                <w:color w:val="auto"/>
              </w:rPr>
            </w:pPr>
            <w:r>
              <w:rPr>
                <w:rFonts w:ascii="Arial" w:cs="Arial" w:eastAsia="Arial" w:hAnsi="Arial"/>
                <w:sz w:val="8"/>
                <w:szCs w:val="8"/>
                <w:color w:val="auto"/>
              </w:rPr>
              <w:t>0</w:t>
            </w:r>
          </w:p>
        </w:tc>
        <w:tc>
          <w:tcPr>
            <w:tcW w:w="160" w:type="dxa"/>
            <w:vAlign w:val="bottom"/>
          </w:tcPr>
          <w:p>
            <w:pPr>
              <w:ind w:left="80"/>
              <w:spacing w:after="0"/>
              <w:rPr>
                <w:sz w:val="20"/>
                <w:szCs w:val="20"/>
                <w:color w:val="auto"/>
              </w:rPr>
            </w:pPr>
            <w:r>
              <w:rPr>
                <w:rFonts w:ascii="Arial" w:cs="Arial" w:eastAsia="Arial" w:hAnsi="Arial"/>
                <w:sz w:val="8"/>
                <w:szCs w:val="8"/>
                <w:color w:val="auto"/>
              </w:rPr>
              <w:t>$</w:t>
            </w:r>
          </w:p>
        </w:tc>
        <w:tc>
          <w:tcPr>
            <w:tcW w:w="440" w:type="dxa"/>
            <w:vAlign w:val="bottom"/>
          </w:tcPr>
          <w:p>
            <w:pPr>
              <w:jc w:val="right"/>
              <w:ind w:right="18"/>
              <w:spacing w:after="0"/>
              <w:rPr>
                <w:sz w:val="20"/>
                <w:szCs w:val="20"/>
                <w:color w:val="auto"/>
              </w:rPr>
            </w:pPr>
            <w:r>
              <w:rPr>
                <w:rFonts w:ascii="Arial" w:cs="Arial" w:eastAsia="Arial" w:hAnsi="Arial"/>
                <w:sz w:val="8"/>
                <w:szCs w:val="8"/>
                <w:color w:val="auto"/>
              </w:rPr>
              <w:t>340,380</w:t>
            </w:r>
          </w:p>
        </w:tc>
        <w:tc>
          <w:tcPr>
            <w:tcW w:w="14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ind w:right="38"/>
              <w:spacing w:after="0"/>
              <w:rPr>
                <w:sz w:val="20"/>
                <w:szCs w:val="20"/>
                <w:color w:val="auto"/>
              </w:rPr>
            </w:pPr>
            <w:r>
              <w:rPr>
                <w:rFonts w:ascii="Arial" w:cs="Arial" w:eastAsia="Arial" w:hAnsi="Arial"/>
                <w:sz w:val="8"/>
                <w:szCs w:val="8"/>
                <w:color w:val="auto"/>
              </w:rPr>
              <w:t>161,160</w:t>
            </w:r>
          </w:p>
        </w:tc>
        <w:tc>
          <w:tcPr>
            <w:tcW w:w="700" w:type="dxa"/>
            <w:vAlign w:val="bottom"/>
            <w:gridSpan w:val="2"/>
          </w:tcPr>
          <w:p>
            <w:pPr>
              <w:jc w:val="right"/>
              <w:ind w:right="58"/>
              <w:spacing w:after="0"/>
              <w:rPr>
                <w:sz w:val="20"/>
                <w:szCs w:val="20"/>
                <w:color w:val="auto"/>
              </w:rPr>
            </w:pPr>
            <w:r>
              <w:rPr>
                <w:rFonts w:ascii="Arial" w:cs="Arial" w:eastAsia="Arial" w:hAnsi="Arial"/>
                <w:sz w:val="8"/>
                <w:szCs w:val="8"/>
                <w:color w:val="auto"/>
              </w:rPr>
              <w:t>$ 11,692,035</w:t>
            </w:r>
          </w:p>
        </w:tc>
        <w:tc>
          <w:tcPr>
            <w:tcW w:w="160" w:type="dxa"/>
            <w:vAlign w:val="bottom"/>
          </w:tcPr>
          <w:p>
            <w:pPr>
              <w:ind w:left="80"/>
              <w:spacing w:after="0"/>
              <w:rPr>
                <w:sz w:val="20"/>
                <w:szCs w:val="20"/>
                <w:color w:val="auto"/>
              </w:rPr>
            </w:pPr>
            <w:r>
              <w:rPr>
                <w:rFonts w:ascii="Arial" w:cs="Arial" w:eastAsia="Arial" w:hAnsi="Arial"/>
                <w:sz w:val="8"/>
                <w:szCs w:val="8"/>
                <w:color w:val="auto"/>
              </w:rPr>
              <w:t>$</w:t>
            </w:r>
          </w:p>
        </w:tc>
        <w:tc>
          <w:tcPr>
            <w:tcW w:w="440" w:type="dxa"/>
            <w:vAlign w:val="bottom"/>
          </w:tcPr>
          <w:p>
            <w:pPr>
              <w:jc w:val="right"/>
              <w:ind w:right="18"/>
              <w:spacing w:after="0"/>
              <w:rPr>
                <w:sz w:val="20"/>
                <w:szCs w:val="20"/>
                <w:color w:val="auto"/>
              </w:rPr>
            </w:pPr>
            <w:r>
              <w:rPr>
                <w:rFonts w:ascii="Arial" w:cs="Arial" w:eastAsia="Arial" w:hAnsi="Arial"/>
                <w:sz w:val="8"/>
                <w:szCs w:val="8"/>
                <w:color w:val="auto"/>
              </w:rPr>
              <w:t>0</w:t>
            </w:r>
          </w:p>
        </w:tc>
        <w:tc>
          <w:tcPr>
            <w:tcW w:w="140" w:type="dxa"/>
            <w:vAlign w:val="bottom"/>
          </w:tcPr>
          <w:p>
            <w:pPr>
              <w:spacing w:after="0"/>
              <w:rPr>
                <w:sz w:val="8"/>
                <w:szCs w:val="8"/>
                <w:color w:val="auto"/>
              </w:rPr>
            </w:pPr>
          </w:p>
        </w:tc>
        <w:tc>
          <w:tcPr>
            <w:tcW w:w="80" w:type="dxa"/>
            <w:vAlign w:val="bottom"/>
          </w:tcPr>
          <w:p>
            <w:pPr>
              <w:spacing w:after="0"/>
              <w:rPr>
                <w:sz w:val="20"/>
                <w:szCs w:val="20"/>
                <w:color w:val="auto"/>
              </w:rPr>
            </w:pPr>
            <w:r>
              <w:rPr>
                <w:rFonts w:ascii="Arial" w:cs="Arial" w:eastAsia="Arial" w:hAnsi="Arial"/>
                <w:sz w:val="8"/>
                <w:szCs w:val="8"/>
                <w:color w:val="auto"/>
              </w:rPr>
              <w:t>$</w:t>
            </w:r>
          </w:p>
        </w:tc>
        <w:tc>
          <w:tcPr>
            <w:tcW w:w="500" w:type="dxa"/>
            <w:vAlign w:val="bottom"/>
          </w:tcPr>
          <w:p>
            <w:pPr>
              <w:jc w:val="right"/>
              <w:ind w:right="78"/>
              <w:spacing w:after="0"/>
              <w:rPr>
                <w:sz w:val="20"/>
                <w:szCs w:val="20"/>
                <w:color w:val="auto"/>
              </w:rPr>
            </w:pPr>
            <w:r>
              <w:rPr>
                <w:rFonts w:ascii="Arial" w:cs="Arial" w:eastAsia="Arial" w:hAnsi="Arial"/>
                <w:sz w:val="8"/>
                <w:szCs w:val="8"/>
                <w:color w:val="auto"/>
              </w:rPr>
              <w:t>0</w:t>
            </w:r>
          </w:p>
        </w:tc>
        <w:tc>
          <w:tcPr>
            <w:tcW w:w="160" w:type="dxa"/>
            <w:vAlign w:val="bottom"/>
          </w:tcPr>
          <w:p>
            <w:pPr>
              <w:ind w:left="80"/>
              <w:spacing w:after="0"/>
              <w:rPr>
                <w:sz w:val="20"/>
                <w:szCs w:val="20"/>
                <w:color w:val="auto"/>
              </w:rPr>
            </w:pPr>
            <w:r>
              <w:rPr>
                <w:rFonts w:ascii="Arial" w:cs="Arial" w:eastAsia="Arial" w:hAnsi="Arial"/>
                <w:sz w:val="8"/>
                <w:szCs w:val="8"/>
                <w:color w:val="auto"/>
              </w:rPr>
              <w:t>$</w:t>
            </w:r>
          </w:p>
        </w:tc>
        <w:tc>
          <w:tcPr>
            <w:tcW w:w="440" w:type="dxa"/>
            <w:vAlign w:val="bottom"/>
          </w:tcPr>
          <w:p>
            <w:pPr>
              <w:jc w:val="right"/>
              <w:ind w:right="18"/>
              <w:spacing w:after="0"/>
              <w:rPr>
                <w:sz w:val="20"/>
                <w:szCs w:val="20"/>
                <w:color w:val="auto"/>
              </w:rPr>
            </w:pPr>
            <w:r>
              <w:rPr>
                <w:rFonts w:ascii="Arial" w:cs="Arial" w:eastAsia="Arial" w:hAnsi="Arial"/>
                <w:sz w:val="8"/>
                <w:szCs w:val="8"/>
                <w:color w:val="auto"/>
              </w:rPr>
              <w:t>0</w:t>
            </w:r>
          </w:p>
        </w:tc>
      </w:tr>
      <w:tr>
        <w:trPr>
          <w:trHeight w:val="66"/>
        </w:trPr>
        <w:tc>
          <w:tcPr>
            <w:tcW w:w="21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6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r>
      <w:tr>
        <w:trPr>
          <w:trHeight w:val="138"/>
        </w:trPr>
        <w:tc>
          <w:tcPr>
            <w:tcW w:w="2140" w:type="dxa"/>
            <w:vAlign w:val="bottom"/>
          </w:tcPr>
          <w:p>
            <w:pPr>
              <w:ind w:left="40"/>
              <w:spacing w:after="0"/>
              <w:rPr>
                <w:sz w:val="20"/>
                <w:szCs w:val="20"/>
                <w:color w:val="auto"/>
              </w:rPr>
            </w:pPr>
            <w:r>
              <w:rPr>
                <w:rFonts w:ascii="Arial" w:cs="Arial" w:eastAsia="Arial" w:hAnsi="Arial"/>
                <w:sz w:val="8"/>
                <w:szCs w:val="8"/>
                <w:color w:val="auto"/>
              </w:rPr>
              <w:t>+/-: Change as of the vesting date (from the end of the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90"/>
        </w:trPr>
        <w:tc>
          <w:tcPr>
            <w:tcW w:w="2140" w:type="dxa"/>
            <w:vAlign w:val="bottom"/>
          </w:tcPr>
          <w:p>
            <w:pPr>
              <w:ind w:left="40"/>
              <w:spacing w:after="0" w:line="90" w:lineRule="exact"/>
              <w:rPr>
                <w:sz w:val="20"/>
                <w:szCs w:val="20"/>
                <w:color w:val="auto"/>
              </w:rPr>
            </w:pPr>
            <w:r>
              <w:rPr>
                <w:rFonts w:ascii="Arial" w:cs="Arial" w:eastAsia="Arial" w:hAnsi="Arial"/>
                <w:sz w:val="8"/>
                <w:szCs w:val="8"/>
                <w:color w:val="auto"/>
              </w:rPr>
              <w:t>prior fiscal year) in fair value of awards granted in any</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90"/>
        </w:trPr>
        <w:tc>
          <w:tcPr>
            <w:tcW w:w="2140" w:type="dxa"/>
            <w:vAlign w:val="bottom"/>
          </w:tcPr>
          <w:p>
            <w:pPr>
              <w:ind w:left="40"/>
              <w:spacing w:after="0" w:line="90" w:lineRule="exact"/>
              <w:rPr>
                <w:sz w:val="20"/>
                <w:szCs w:val="20"/>
                <w:color w:val="auto"/>
              </w:rPr>
            </w:pPr>
            <w:r>
              <w:rPr>
                <w:rFonts w:ascii="Arial" w:cs="Arial" w:eastAsia="Arial" w:hAnsi="Arial"/>
                <w:sz w:val="8"/>
                <w:szCs w:val="8"/>
                <w:color w:val="auto"/>
              </w:rPr>
              <w:t>prior fiscal year for which vesting conditions were</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100"/>
        </w:trPr>
        <w:tc>
          <w:tcPr>
            <w:tcW w:w="2140" w:type="dxa"/>
            <w:vAlign w:val="bottom"/>
          </w:tcPr>
          <w:p>
            <w:pPr>
              <w:ind w:left="40"/>
              <w:spacing w:after="0"/>
              <w:rPr>
                <w:sz w:val="20"/>
                <w:szCs w:val="20"/>
                <w:color w:val="auto"/>
              </w:rPr>
            </w:pPr>
            <w:r>
              <w:rPr>
                <w:rFonts w:ascii="Arial" w:cs="Arial" w:eastAsia="Arial" w:hAnsi="Arial"/>
                <w:sz w:val="8"/>
                <w:szCs w:val="8"/>
                <w:color w:val="auto"/>
              </w:rPr>
              <w:t>satisfied during such year</w:t>
            </w:r>
          </w:p>
        </w:tc>
        <w:tc>
          <w:tcPr>
            <w:tcW w:w="220" w:type="dxa"/>
            <w:vAlign w:val="bottom"/>
            <w:gridSpan w:val="2"/>
          </w:tcPr>
          <w:p>
            <w:pPr>
              <w:ind w:left="140"/>
              <w:spacing w:after="0"/>
              <w:rPr>
                <w:sz w:val="20"/>
                <w:szCs w:val="20"/>
                <w:color w:val="auto"/>
              </w:rPr>
            </w:pPr>
            <w:r>
              <w:rPr>
                <w:rFonts w:ascii="Arial" w:cs="Arial" w:eastAsia="Arial" w:hAnsi="Arial"/>
                <w:sz w:val="8"/>
                <w:szCs w:val="8"/>
                <w:color w:val="auto"/>
                <w:w w:val="83"/>
              </w:rPr>
              <w:t>($</w:t>
            </w:r>
          </w:p>
        </w:tc>
        <w:tc>
          <w:tcPr>
            <w:tcW w:w="500" w:type="dxa"/>
            <w:vAlign w:val="bottom"/>
          </w:tcPr>
          <w:p>
            <w:pPr>
              <w:jc w:val="right"/>
              <w:ind w:right="38"/>
              <w:spacing w:after="0"/>
              <w:rPr>
                <w:sz w:val="20"/>
                <w:szCs w:val="20"/>
                <w:color w:val="auto"/>
              </w:rPr>
            </w:pPr>
            <w:r>
              <w:rPr>
                <w:rFonts w:ascii="Arial" w:cs="Arial" w:eastAsia="Arial" w:hAnsi="Arial"/>
                <w:sz w:val="8"/>
                <w:szCs w:val="8"/>
                <w:color w:val="auto"/>
              </w:rPr>
              <w:t>238,667)</w:t>
            </w:r>
          </w:p>
        </w:tc>
        <w:tc>
          <w:tcPr>
            <w:tcW w:w="600" w:type="dxa"/>
            <w:vAlign w:val="bottom"/>
            <w:gridSpan w:val="2"/>
          </w:tcPr>
          <w:p>
            <w:pPr>
              <w:ind w:left="80"/>
              <w:spacing w:after="0"/>
              <w:rPr>
                <w:sz w:val="20"/>
                <w:szCs w:val="20"/>
                <w:color w:val="auto"/>
              </w:rPr>
            </w:pPr>
            <w:r>
              <w:rPr>
                <w:rFonts w:ascii="Arial" w:cs="Arial" w:eastAsia="Arial" w:hAnsi="Arial"/>
                <w:sz w:val="8"/>
                <w:szCs w:val="8"/>
                <w:color w:val="auto"/>
              </w:rPr>
              <w:t>($ 844,022)</w:t>
            </w:r>
          </w:p>
        </w:tc>
        <w:tc>
          <w:tcPr>
            <w:tcW w:w="160" w:type="dxa"/>
            <w:vAlign w:val="bottom"/>
          </w:tcPr>
          <w:p>
            <w:pPr>
              <w:ind w:left="80"/>
              <w:spacing w:after="0"/>
              <w:rPr>
                <w:sz w:val="20"/>
                <w:szCs w:val="20"/>
                <w:color w:val="auto"/>
              </w:rPr>
            </w:pPr>
            <w:r>
              <w:rPr>
                <w:rFonts w:ascii="Arial" w:cs="Arial" w:eastAsia="Arial" w:hAnsi="Arial"/>
                <w:sz w:val="8"/>
                <w:szCs w:val="8"/>
                <w:color w:val="auto"/>
                <w:w w:val="83"/>
              </w:rPr>
              <w:t>($</w:t>
            </w:r>
          </w:p>
        </w:tc>
        <w:tc>
          <w:tcPr>
            <w:tcW w:w="440" w:type="dxa"/>
            <w:vAlign w:val="bottom"/>
          </w:tcPr>
          <w:p>
            <w:pPr>
              <w:jc w:val="right"/>
              <w:spacing w:after="0"/>
              <w:rPr>
                <w:sz w:val="20"/>
                <w:szCs w:val="20"/>
                <w:color w:val="auto"/>
              </w:rPr>
            </w:pPr>
            <w:r>
              <w:rPr>
                <w:rFonts w:ascii="Arial" w:cs="Arial" w:eastAsia="Arial" w:hAnsi="Arial"/>
                <w:sz w:val="8"/>
                <w:szCs w:val="8"/>
                <w:color w:val="auto"/>
              </w:rPr>
              <w:t>135,942)</w:t>
            </w:r>
          </w:p>
        </w:tc>
        <w:tc>
          <w:tcPr>
            <w:tcW w:w="14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ind w:right="38"/>
              <w:spacing w:after="0"/>
              <w:rPr>
                <w:sz w:val="20"/>
                <w:szCs w:val="20"/>
                <w:color w:val="auto"/>
              </w:rPr>
            </w:pPr>
            <w:r>
              <w:rPr>
                <w:rFonts w:ascii="Arial" w:cs="Arial" w:eastAsia="Arial" w:hAnsi="Arial"/>
                <w:sz w:val="8"/>
                <w:szCs w:val="8"/>
                <w:color w:val="auto"/>
              </w:rPr>
              <w:t>0</w:t>
            </w:r>
          </w:p>
        </w:tc>
        <w:tc>
          <w:tcPr>
            <w:tcW w:w="180" w:type="dxa"/>
            <w:vAlign w:val="bottom"/>
          </w:tcPr>
          <w:p>
            <w:pPr>
              <w:ind w:left="80"/>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38"/>
              <w:spacing w:after="0"/>
              <w:rPr>
                <w:sz w:val="20"/>
                <w:szCs w:val="20"/>
                <w:color w:val="auto"/>
              </w:rPr>
            </w:pPr>
            <w:r>
              <w:rPr>
                <w:rFonts w:ascii="Arial" w:cs="Arial" w:eastAsia="Arial" w:hAnsi="Arial"/>
                <w:sz w:val="8"/>
                <w:szCs w:val="8"/>
                <w:color w:val="auto"/>
              </w:rPr>
              <w:t>1,405,142)</w:t>
            </w:r>
          </w:p>
        </w:tc>
        <w:tc>
          <w:tcPr>
            <w:tcW w:w="160" w:type="dxa"/>
            <w:vAlign w:val="bottom"/>
          </w:tcPr>
          <w:p>
            <w:pPr>
              <w:ind w:left="80"/>
              <w:spacing w:after="0"/>
              <w:rPr>
                <w:sz w:val="20"/>
                <w:szCs w:val="20"/>
                <w:color w:val="auto"/>
              </w:rPr>
            </w:pPr>
            <w:r>
              <w:rPr>
                <w:rFonts w:ascii="Arial" w:cs="Arial" w:eastAsia="Arial" w:hAnsi="Arial"/>
                <w:sz w:val="8"/>
                <w:szCs w:val="8"/>
                <w:color w:val="auto"/>
                <w:w w:val="83"/>
              </w:rPr>
              <w:t>($</w:t>
            </w:r>
          </w:p>
        </w:tc>
        <w:tc>
          <w:tcPr>
            <w:tcW w:w="440" w:type="dxa"/>
            <w:vAlign w:val="bottom"/>
          </w:tcPr>
          <w:p>
            <w:pPr>
              <w:jc w:val="right"/>
              <w:spacing w:after="0"/>
              <w:rPr>
                <w:sz w:val="20"/>
                <w:szCs w:val="20"/>
                <w:color w:val="auto"/>
              </w:rPr>
            </w:pPr>
            <w:r>
              <w:rPr>
                <w:rFonts w:ascii="Arial" w:cs="Arial" w:eastAsia="Arial" w:hAnsi="Arial"/>
                <w:sz w:val="8"/>
                <w:szCs w:val="8"/>
                <w:color w:val="auto"/>
              </w:rPr>
              <w:t>65,617)</w:t>
            </w:r>
          </w:p>
        </w:tc>
        <w:tc>
          <w:tcPr>
            <w:tcW w:w="140" w:type="dxa"/>
            <w:vAlign w:val="bottom"/>
          </w:tcPr>
          <w:p>
            <w:pPr>
              <w:spacing w:after="0"/>
              <w:rPr>
                <w:sz w:val="8"/>
                <w:szCs w:val="8"/>
                <w:color w:val="auto"/>
              </w:rPr>
            </w:pPr>
          </w:p>
        </w:tc>
        <w:tc>
          <w:tcPr>
            <w:tcW w:w="80" w:type="dxa"/>
            <w:vAlign w:val="bottom"/>
          </w:tcPr>
          <w:p>
            <w:pPr>
              <w:spacing w:after="0"/>
              <w:rPr>
                <w:sz w:val="20"/>
                <w:szCs w:val="20"/>
                <w:color w:val="auto"/>
              </w:rPr>
            </w:pPr>
            <w:r>
              <w:rPr>
                <w:rFonts w:ascii="Arial" w:cs="Arial" w:eastAsia="Arial" w:hAnsi="Arial"/>
                <w:sz w:val="8"/>
                <w:szCs w:val="8"/>
                <w:color w:val="auto"/>
                <w:w w:val="83"/>
              </w:rPr>
              <w:t>($</w:t>
            </w:r>
          </w:p>
        </w:tc>
        <w:tc>
          <w:tcPr>
            <w:tcW w:w="500" w:type="dxa"/>
            <w:vAlign w:val="bottom"/>
          </w:tcPr>
          <w:p>
            <w:pPr>
              <w:jc w:val="right"/>
              <w:ind w:right="38"/>
              <w:spacing w:after="0"/>
              <w:rPr>
                <w:sz w:val="20"/>
                <w:szCs w:val="20"/>
                <w:color w:val="auto"/>
              </w:rPr>
            </w:pPr>
            <w:r>
              <w:rPr>
                <w:rFonts w:ascii="Arial" w:cs="Arial" w:eastAsia="Arial" w:hAnsi="Arial"/>
                <w:sz w:val="8"/>
                <w:szCs w:val="8"/>
                <w:color w:val="auto"/>
              </w:rPr>
              <w:t>1,486,435)</w:t>
            </w:r>
          </w:p>
        </w:tc>
        <w:tc>
          <w:tcPr>
            <w:tcW w:w="160" w:type="dxa"/>
            <w:vAlign w:val="bottom"/>
          </w:tcPr>
          <w:p>
            <w:pPr>
              <w:ind w:left="80"/>
              <w:spacing w:after="0"/>
              <w:rPr>
                <w:sz w:val="20"/>
                <w:szCs w:val="20"/>
                <w:color w:val="auto"/>
              </w:rPr>
            </w:pPr>
            <w:r>
              <w:rPr>
                <w:rFonts w:ascii="Arial" w:cs="Arial" w:eastAsia="Arial" w:hAnsi="Arial"/>
                <w:sz w:val="8"/>
                <w:szCs w:val="8"/>
                <w:color w:val="auto"/>
                <w:w w:val="83"/>
              </w:rPr>
              <w:t>($</w:t>
            </w:r>
          </w:p>
        </w:tc>
        <w:tc>
          <w:tcPr>
            <w:tcW w:w="440" w:type="dxa"/>
            <w:vAlign w:val="bottom"/>
          </w:tcPr>
          <w:p>
            <w:pPr>
              <w:jc w:val="right"/>
              <w:spacing w:after="0"/>
              <w:rPr>
                <w:sz w:val="20"/>
                <w:szCs w:val="20"/>
                <w:color w:val="auto"/>
              </w:rPr>
            </w:pPr>
            <w:r>
              <w:rPr>
                <w:rFonts w:ascii="Arial" w:cs="Arial" w:eastAsia="Arial" w:hAnsi="Arial"/>
                <w:sz w:val="8"/>
                <w:szCs w:val="8"/>
                <w:color w:val="auto"/>
              </w:rPr>
              <w:t>287,268)</w:t>
            </w:r>
          </w:p>
        </w:tc>
      </w:tr>
      <w:tr>
        <w:trPr>
          <w:trHeight w:val="66"/>
        </w:trPr>
        <w:tc>
          <w:tcPr>
            <w:tcW w:w="21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6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c>
          <w:tcPr>
            <w:tcW w:w="180" w:type="dxa"/>
            <w:vAlign w:val="bottom"/>
            <w:tcBorders>
              <w:bottom w:val="single" w:sz="8" w:color="009BDE"/>
            </w:tcBorders>
          </w:tcPr>
          <w:p>
            <w:pPr>
              <w:spacing w:after="0"/>
              <w:rPr>
                <w:sz w:val="5"/>
                <w:szCs w:val="5"/>
                <w:color w:val="auto"/>
              </w:rPr>
            </w:pPr>
          </w:p>
        </w:tc>
        <w:tc>
          <w:tcPr>
            <w:tcW w:w="52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r>
      <w:tr>
        <w:trPr>
          <w:trHeight w:val="128"/>
        </w:trPr>
        <w:tc>
          <w:tcPr>
            <w:tcW w:w="2140" w:type="dxa"/>
            <w:vAlign w:val="bottom"/>
          </w:tcPr>
          <w:p>
            <w:pPr>
              <w:ind w:left="40"/>
              <w:spacing w:after="0"/>
              <w:rPr>
                <w:sz w:val="20"/>
                <w:szCs w:val="20"/>
                <w:color w:val="auto"/>
              </w:rPr>
            </w:pPr>
            <w:r>
              <w:rPr>
                <w:rFonts w:ascii="Arial" w:cs="Arial" w:eastAsia="Arial" w:hAnsi="Arial"/>
                <w:sz w:val="8"/>
                <w:szCs w:val="8"/>
                <w:b w:val="1"/>
                <w:bCs w:val="1"/>
                <w:color w:val="auto"/>
              </w:rPr>
              <w:t>Total Impact: Adjustments for stock and option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10"/>
        </w:trPr>
        <w:tc>
          <w:tcPr>
            <w:tcW w:w="2140" w:type="dxa"/>
            <w:vAlign w:val="bottom"/>
          </w:tcPr>
          <w:p>
            <w:pPr>
              <w:ind w:left="40"/>
              <w:spacing w:after="0"/>
              <w:rPr>
                <w:sz w:val="20"/>
                <w:szCs w:val="20"/>
                <w:color w:val="auto"/>
              </w:rPr>
            </w:pPr>
            <w:r>
              <w:rPr>
                <w:rFonts w:ascii="Arial" w:cs="Arial" w:eastAsia="Arial" w:hAnsi="Arial"/>
                <w:sz w:val="8"/>
                <w:szCs w:val="8"/>
                <w:b w:val="1"/>
                <w:bCs w:val="1"/>
                <w:color w:val="auto"/>
              </w:rPr>
              <w:t>awards</w:t>
            </w:r>
          </w:p>
        </w:tc>
        <w:tc>
          <w:tcPr>
            <w:tcW w:w="720" w:type="dxa"/>
            <w:vAlign w:val="bottom"/>
            <w:gridSpan w:val="3"/>
          </w:tcPr>
          <w:p>
            <w:pPr>
              <w:jc w:val="right"/>
              <w:ind w:right="38"/>
              <w:spacing w:after="0"/>
              <w:rPr>
                <w:sz w:val="20"/>
                <w:szCs w:val="20"/>
                <w:color w:val="auto"/>
              </w:rPr>
            </w:pPr>
            <w:r>
              <w:rPr>
                <w:rFonts w:ascii="Arial" w:cs="Arial" w:eastAsia="Arial" w:hAnsi="Arial"/>
                <w:sz w:val="8"/>
                <w:szCs w:val="8"/>
                <w:color w:val="auto"/>
              </w:rPr>
              <w:t>($ 5,981,904)</w:t>
            </w:r>
          </w:p>
        </w:tc>
        <w:tc>
          <w:tcPr>
            <w:tcW w:w="600" w:type="dxa"/>
            <w:vAlign w:val="bottom"/>
            <w:gridSpan w:val="2"/>
          </w:tcPr>
          <w:p>
            <w:pPr>
              <w:ind w:left="80"/>
              <w:spacing w:after="0"/>
              <w:rPr>
                <w:sz w:val="20"/>
                <w:szCs w:val="20"/>
                <w:color w:val="auto"/>
              </w:rPr>
            </w:pPr>
            <w:r>
              <w:rPr>
                <w:rFonts w:ascii="Arial" w:cs="Arial" w:eastAsia="Arial" w:hAnsi="Arial"/>
                <w:sz w:val="8"/>
                <w:szCs w:val="8"/>
                <w:color w:val="auto"/>
              </w:rPr>
              <w:t>($ 844,022)</w:t>
            </w:r>
          </w:p>
        </w:tc>
        <w:tc>
          <w:tcPr>
            <w:tcW w:w="600" w:type="dxa"/>
            <w:vAlign w:val="bottom"/>
            <w:gridSpan w:val="2"/>
          </w:tcPr>
          <w:p>
            <w:pPr>
              <w:jc w:val="right"/>
              <w:spacing w:after="0"/>
              <w:rPr>
                <w:sz w:val="20"/>
                <w:szCs w:val="20"/>
                <w:color w:val="auto"/>
              </w:rPr>
            </w:pPr>
            <w:r>
              <w:rPr>
                <w:rFonts w:ascii="Arial" w:cs="Arial" w:eastAsia="Arial" w:hAnsi="Arial"/>
                <w:sz w:val="8"/>
                <w:szCs w:val="8"/>
                <w:color w:val="auto"/>
              </w:rPr>
              <w:t>($ 5,233,428)</w:t>
            </w:r>
          </w:p>
        </w:tc>
        <w:tc>
          <w:tcPr>
            <w:tcW w:w="14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ind w:right="38"/>
              <w:spacing w:after="0"/>
              <w:rPr>
                <w:sz w:val="20"/>
                <w:szCs w:val="20"/>
                <w:color w:val="auto"/>
              </w:rPr>
            </w:pPr>
            <w:r>
              <w:rPr>
                <w:rFonts w:ascii="Arial" w:cs="Arial" w:eastAsia="Arial" w:hAnsi="Arial"/>
                <w:sz w:val="8"/>
                <w:szCs w:val="8"/>
                <w:color w:val="auto"/>
              </w:rPr>
              <w:t>68,545</w:t>
            </w:r>
          </w:p>
        </w:tc>
        <w:tc>
          <w:tcPr>
            <w:tcW w:w="180" w:type="dxa"/>
            <w:vAlign w:val="bottom"/>
          </w:tcPr>
          <w:p>
            <w:pPr>
              <w:ind w:left="80"/>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58"/>
              <w:spacing w:after="0"/>
              <w:rPr>
                <w:sz w:val="20"/>
                <w:szCs w:val="20"/>
                <w:color w:val="auto"/>
              </w:rPr>
            </w:pPr>
            <w:r>
              <w:rPr>
                <w:rFonts w:ascii="Arial" w:cs="Arial" w:eastAsia="Arial" w:hAnsi="Arial"/>
                <w:sz w:val="8"/>
                <w:szCs w:val="8"/>
                <w:color w:val="auto"/>
              </w:rPr>
              <w:t>5,504,861</w:t>
            </w:r>
          </w:p>
        </w:tc>
        <w:tc>
          <w:tcPr>
            <w:tcW w:w="600" w:type="dxa"/>
            <w:vAlign w:val="bottom"/>
            <w:gridSpan w:val="2"/>
          </w:tcPr>
          <w:p>
            <w:pPr>
              <w:jc w:val="right"/>
              <w:ind w:right="18"/>
              <w:spacing w:after="0"/>
              <w:rPr>
                <w:sz w:val="20"/>
                <w:szCs w:val="20"/>
                <w:color w:val="auto"/>
              </w:rPr>
            </w:pPr>
            <w:r>
              <w:rPr>
                <w:rFonts w:ascii="Arial" w:cs="Arial" w:eastAsia="Arial" w:hAnsi="Arial"/>
                <w:sz w:val="8"/>
                <w:szCs w:val="8"/>
                <w:color w:val="auto"/>
              </w:rPr>
              <w:t>$ 1,478,259</w:t>
            </w:r>
          </w:p>
        </w:tc>
        <w:tc>
          <w:tcPr>
            <w:tcW w:w="140" w:type="dxa"/>
            <w:vAlign w:val="bottom"/>
          </w:tcPr>
          <w:p>
            <w:pPr>
              <w:spacing w:after="0"/>
              <w:rPr>
                <w:sz w:val="9"/>
                <w:szCs w:val="9"/>
                <w:color w:val="auto"/>
              </w:rPr>
            </w:pPr>
          </w:p>
        </w:tc>
        <w:tc>
          <w:tcPr>
            <w:tcW w:w="80" w:type="dxa"/>
            <w:vAlign w:val="bottom"/>
          </w:tcPr>
          <w:p>
            <w:pPr>
              <w:spacing w:after="0"/>
              <w:rPr>
                <w:sz w:val="20"/>
                <w:szCs w:val="20"/>
                <w:color w:val="auto"/>
              </w:rPr>
            </w:pPr>
            <w:r>
              <w:rPr>
                <w:rFonts w:ascii="Arial" w:cs="Arial" w:eastAsia="Arial" w:hAnsi="Arial"/>
                <w:sz w:val="8"/>
                <w:szCs w:val="8"/>
                <w:color w:val="auto"/>
                <w:w w:val="83"/>
              </w:rPr>
              <w:t>($</w:t>
            </w:r>
          </w:p>
        </w:tc>
        <w:tc>
          <w:tcPr>
            <w:tcW w:w="500" w:type="dxa"/>
            <w:vAlign w:val="bottom"/>
          </w:tcPr>
          <w:p>
            <w:pPr>
              <w:jc w:val="right"/>
              <w:ind w:right="38"/>
              <w:spacing w:after="0"/>
              <w:rPr>
                <w:sz w:val="20"/>
                <w:szCs w:val="20"/>
                <w:color w:val="auto"/>
              </w:rPr>
            </w:pPr>
            <w:r>
              <w:rPr>
                <w:rFonts w:ascii="Arial" w:cs="Arial" w:eastAsia="Arial" w:hAnsi="Arial"/>
                <w:sz w:val="8"/>
                <w:szCs w:val="8"/>
                <w:color w:val="auto"/>
              </w:rPr>
              <w:t>9,804,716)</w:t>
            </w:r>
          </w:p>
        </w:tc>
        <w:tc>
          <w:tcPr>
            <w:tcW w:w="600" w:type="dxa"/>
            <w:vAlign w:val="bottom"/>
            <w:gridSpan w:val="2"/>
          </w:tcPr>
          <w:p>
            <w:pPr>
              <w:jc w:val="right"/>
              <w:spacing w:after="0"/>
              <w:rPr>
                <w:sz w:val="20"/>
                <w:szCs w:val="20"/>
                <w:color w:val="auto"/>
              </w:rPr>
            </w:pPr>
            <w:r>
              <w:rPr>
                <w:rFonts w:ascii="Arial" w:cs="Arial" w:eastAsia="Arial" w:hAnsi="Arial"/>
                <w:sz w:val="8"/>
                <w:szCs w:val="8"/>
                <w:color w:val="auto"/>
              </w:rPr>
              <w:t>($ 2,317,450)</w:t>
            </w:r>
          </w:p>
        </w:tc>
      </w:tr>
      <w:tr>
        <w:trPr>
          <w:trHeight w:val="66"/>
        </w:trPr>
        <w:tc>
          <w:tcPr>
            <w:tcW w:w="214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gridSpan w:val="2"/>
          </w:tcPr>
          <w:p>
            <w:pPr>
              <w:spacing w:after="0"/>
              <w:rPr>
                <w:sz w:val="5"/>
                <w:szCs w:val="5"/>
                <w:color w:val="auto"/>
              </w:rPr>
            </w:pPr>
          </w:p>
        </w:tc>
        <w:tc>
          <w:tcPr>
            <w:tcW w:w="600" w:type="dxa"/>
            <w:vAlign w:val="bottom"/>
            <w:tcBorders>
              <w:bottom w:val="single" w:sz="8" w:color="009BDE"/>
            </w:tcBorders>
            <w:gridSpan w:val="2"/>
          </w:tcPr>
          <w:p>
            <w:pPr>
              <w:spacing w:after="0"/>
              <w:rPr>
                <w:sz w:val="5"/>
                <w:szCs w:val="5"/>
                <w:color w:val="auto"/>
              </w:rPr>
            </w:pPr>
          </w:p>
        </w:tc>
        <w:tc>
          <w:tcPr>
            <w:tcW w:w="600" w:type="dxa"/>
            <w:vAlign w:val="bottom"/>
            <w:tcBorders>
              <w:bottom w:val="single" w:sz="8" w:color="009BDE"/>
            </w:tcBorders>
            <w:gridSpan w:val="2"/>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6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gridSpan w:val="2"/>
          </w:tcPr>
          <w:p>
            <w:pPr>
              <w:spacing w:after="0"/>
              <w:rPr>
                <w:sz w:val="5"/>
                <w:szCs w:val="5"/>
                <w:color w:val="auto"/>
              </w:rPr>
            </w:pPr>
          </w:p>
        </w:tc>
        <w:tc>
          <w:tcPr>
            <w:tcW w:w="600" w:type="dxa"/>
            <w:vAlign w:val="bottom"/>
            <w:tcBorders>
              <w:bottom w:val="single" w:sz="8" w:color="009BDE"/>
            </w:tcBorders>
            <w:gridSpan w:val="2"/>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8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gridSpan w:val="2"/>
          </w:tcPr>
          <w:p>
            <w:pPr>
              <w:spacing w:after="0"/>
              <w:rPr>
                <w:sz w:val="5"/>
                <w:szCs w:val="5"/>
                <w:color w:val="auto"/>
              </w:rPr>
            </w:pPr>
          </w:p>
        </w:tc>
      </w:tr>
      <w:tr>
        <w:trPr>
          <w:trHeight w:val="148"/>
        </w:trPr>
        <w:tc>
          <w:tcPr>
            <w:tcW w:w="2140" w:type="dxa"/>
            <w:vAlign w:val="bottom"/>
          </w:tcPr>
          <w:p>
            <w:pPr>
              <w:ind w:left="40"/>
              <w:spacing w:after="0"/>
              <w:rPr>
                <w:sz w:val="20"/>
                <w:szCs w:val="20"/>
                <w:color w:val="auto"/>
              </w:rPr>
            </w:pPr>
            <w:r>
              <w:rPr>
                <w:rFonts w:ascii="Arial" w:cs="Arial" w:eastAsia="Arial" w:hAnsi="Arial"/>
                <w:sz w:val="8"/>
                <w:szCs w:val="8"/>
                <w:b w:val="1"/>
                <w:bCs w:val="1"/>
                <w:color w:val="auto"/>
              </w:rPr>
              <w:t>Compensation Actually Paid (as calculated)</w:t>
            </w:r>
          </w:p>
        </w:tc>
        <w:tc>
          <w:tcPr>
            <w:tcW w:w="720" w:type="dxa"/>
            <w:vAlign w:val="bottom"/>
            <w:gridSpan w:val="3"/>
          </w:tcPr>
          <w:p>
            <w:pPr>
              <w:jc w:val="right"/>
              <w:ind w:right="78"/>
              <w:spacing w:after="0"/>
              <w:rPr>
                <w:sz w:val="20"/>
                <w:szCs w:val="20"/>
                <w:color w:val="auto"/>
              </w:rPr>
            </w:pPr>
            <w:r>
              <w:rPr>
                <w:rFonts w:ascii="Arial" w:cs="Arial" w:eastAsia="Arial" w:hAnsi="Arial"/>
                <w:sz w:val="8"/>
                <w:szCs w:val="8"/>
                <w:color w:val="auto"/>
              </w:rPr>
              <w:t>$ 3,460,022</w:t>
            </w:r>
          </w:p>
        </w:tc>
        <w:tc>
          <w:tcPr>
            <w:tcW w:w="600" w:type="dxa"/>
            <w:vAlign w:val="bottom"/>
            <w:gridSpan w:val="2"/>
          </w:tcPr>
          <w:p>
            <w:pPr>
              <w:ind w:left="80"/>
              <w:spacing w:after="0"/>
              <w:rPr>
                <w:sz w:val="20"/>
                <w:szCs w:val="20"/>
                <w:color w:val="auto"/>
              </w:rPr>
            </w:pPr>
            <w:r>
              <w:rPr>
                <w:rFonts w:ascii="Arial" w:cs="Arial" w:eastAsia="Arial" w:hAnsi="Arial"/>
                <w:sz w:val="8"/>
                <w:szCs w:val="8"/>
                <w:color w:val="auto"/>
              </w:rPr>
              <w:t>($ 574,022)</w:t>
            </w:r>
          </w:p>
        </w:tc>
        <w:tc>
          <w:tcPr>
            <w:tcW w:w="600" w:type="dxa"/>
            <w:vAlign w:val="bottom"/>
            <w:gridSpan w:val="2"/>
          </w:tcPr>
          <w:p>
            <w:pPr>
              <w:jc w:val="right"/>
              <w:ind w:right="18"/>
              <w:spacing w:after="0"/>
              <w:rPr>
                <w:sz w:val="20"/>
                <w:szCs w:val="20"/>
                <w:color w:val="auto"/>
              </w:rPr>
            </w:pPr>
            <w:r>
              <w:rPr>
                <w:rFonts w:ascii="Arial" w:cs="Arial" w:eastAsia="Arial" w:hAnsi="Arial"/>
                <w:sz w:val="8"/>
                <w:szCs w:val="8"/>
                <w:color w:val="auto"/>
              </w:rPr>
              <w:t>$ 2,209,062</w:t>
            </w: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ind w:right="38"/>
              <w:spacing w:after="0"/>
              <w:rPr>
                <w:sz w:val="20"/>
                <w:szCs w:val="20"/>
                <w:color w:val="auto"/>
              </w:rPr>
            </w:pPr>
            <w:r>
              <w:rPr>
                <w:rFonts w:ascii="Arial" w:cs="Arial" w:eastAsia="Arial" w:hAnsi="Arial"/>
                <w:sz w:val="8"/>
                <w:szCs w:val="8"/>
                <w:color w:val="auto"/>
              </w:rPr>
              <w:t>3,198,778</w:t>
            </w:r>
          </w:p>
        </w:tc>
        <w:tc>
          <w:tcPr>
            <w:tcW w:w="700" w:type="dxa"/>
            <w:vAlign w:val="bottom"/>
            <w:gridSpan w:val="2"/>
          </w:tcPr>
          <w:p>
            <w:pPr>
              <w:jc w:val="right"/>
              <w:ind w:right="58"/>
              <w:spacing w:after="0"/>
              <w:rPr>
                <w:sz w:val="20"/>
                <w:szCs w:val="20"/>
                <w:color w:val="auto"/>
              </w:rPr>
            </w:pPr>
            <w:r>
              <w:rPr>
                <w:rFonts w:ascii="Arial" w:cs="Arial" w:eastAsia="Arial" w:hAnsi="Arial"/>
                <w:sz w:val="8"/>
                <w:szCs w:val="8"/>
                <w:color w:val="auto"/>
              </w:rPr>
              <w:t>$ 29,079,175</w:t>
            </w:r>
          </w:p>
        </w:tc>
        <w:tc>
          <w:tcPr>
            <w:tcW w:w="600" w:type="dxa"/>
            <w:vAlign w:val="bottom"/>
            <w:gridSpan w:val="2"/>
          </w:tcPr>
          <w:p>
            <w:pPr>
              <w:jc w:val="right"/>
              <w:ind w:right="18"/>
              <w:spacing w:after="0"/>
              <w:rPr>
                <w:sz w:val="20"/>
                <w:szCs w:val="20"/>
                <w:color w:val="auto"/>
              </w:rPr>
            </w:pPr>
            <w:r>
              <w:rPr>
                <w:rFonts w:ascii="Arial" w:cs="Arial" w:eastAsia="Arial" w:hAnsi="Arial"/>
                <w:sz w:val="8"/>
                <w:szCs w:val="8"/>
                <w:color w:val="auto"/>
              </w:rPr>
              <w:t>$ 7,724,029</w:t>
            </w:r>
          </w:p>
        </w:tc>
        <w:tc>
          <w:tcPr>
            <w:tcW w:w="14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8"/>
                <w:szCs w:val="8"/>
                <w:color w:val="auto"/>
              </w:rPr>
              <w:t>$</w:t>
            </w:r>
          </w:p>
        </w:tc>
        <w:tc>
          <w:tcPr>
            <w:tcW w:w="500" w:type="dxa"/>
            <w:vAlign w:val="bottom"/>
          </w:tcPr>
          <w:p>
            <w:pPr>
              <w:jc w:val="right"/>
              <w:ind w:right="78"/>
              <w:spacing w:after="0"/>
              <w:rPr>
                <w:sz w:val="20"/>
                <w:szCs w:val="20"/>
                <w:color w:val="auto"/>
              </w:rPr>
            </w:pPr>
            <w:r>
              <w:rPr>
                <w:rFonts w:ascii="Arial" w:cs="Arial" w:eastAsia="Arial" w:hAnsi="Arial"/>
                <w:sz w:val="8"/>
                <w:szCs w:val="8"/>
                <w:color w:val="auto"/>
              </w:rPr>
              <w:t>6,508,847</w:t>
            </w:r>
          </w:p>
        </w:tc>
        <w:tc>
          <w:tcPr>
            <w:tcW w:w="600" w:type="dxa"/>
            <w:vAlign w:val="bottom"/>
            <w:gridSpan w:val="2"/>
          </w:tcPr>
          <w:p>
            <w:pPr>
              <w:jc w:val="right"/>
              <w:ind w:right="18"/>
              <w:spacing w:after="0"/>
              <w:rPr>
                <w:sz w:val="20"/>
                <w:szCs w:val="20"/>
                <w:color w:val="auto"/>
              </w:rPr>
            </w:pPr>
            <w:r>
              <w:rPr>
                <w:rFonts w:ascii="Arial" w:cs="Arial" w:eastAsia="Arial" w:hAnsi="Arial"/>
                <w:sz w:val="8"/>
                <w:szCs w:val="8"/>
                <w:color w:val="auto"/>
              </w:rPr>
              <w:t>$ 7,610,559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41910</wp:posOffset>
            </wp:positionV>
            <wp:extent cx="4663440" cy="571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98"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Footnotes:</w:t>
      </w:r>
    </w:p>
    <w:p>
      <w:pPr>
        <w:spacing w:after="0" w:line="67" w:lineRule="exact"/>
        <w:rPr>
          <w:sz w:val="20"/>
          <w:szCs w:val="20"/>
          <w:color w:val="auto"/>
        </w:rPr>
      </w:pPr>
    </w:p>
    <w:p>
      <w:pPr>
        <w:ind w:left="2260" w:right="839" w:hanging="288"/>
        <w:spacing w:after="0" w:line="232" w:lineRule="auto"/>
        <w:tabs>
          <w:tab w:leader="none" w:pos="2260" w:val="left"/>
        </w:tabs>
        <w:numPr>
          <w:ilvl w:val="0"/>
          <w:numId w:val="62"/>
        </w:numPr>
        <w:rPr>
          <w:rFonts w:ascii="Arial" w:cs="Arial" w:eastAsia="Arial" w:hAnsi="Arial"/>
          <w:sz w:val="10"/>
          <w:szCs w:val="10"/>
          <w:color w:val="auto"/>
        </w:rPr>
      </w:pPr>
      <w:r>
        <w:rPr>
          <w:rFonts w:ascii="Arial" w:cs="Arial" w:eastAsia="Arial" w:hAnsi="Arial"/>
          <w:sz w:val="10"/>
          <w:szCs w:val="10"/>
          <w:color w:val="auto"/>
        </w:rPr>
        <w:t>The other NEOs were Mr. Cocks (2021), Ms. Thomas (all years), Messrs. Frascotti, Throop &amp; Johnson (2020 and 2021), Ms. Williams and Messrs. Nyman and Throop (2022).</w:t>
      </w:r>
    </w:p>
    <w:p>
      <w:pPr>
        <w:spacing w:after="0" w:line="47" w:lineRule="exact"/>
        <w:rPr>
          <w:rFonts w:ascii="Arial" w:cs="Arial" w:eastAsia="Arial" w:hAnsi="Arial"/>
          <w:sz w:val="10"/>
          <w:szCs w:val="10"/>
          <w:color w:val="auto"/>
        </w:rPr>
      </w:pPr>
    </w:p>
    <w:p>
      <w:pPr>
        <w:ind w:left="2260" w:hanging="288"/>
        <w:spacing w:after="0"/>
        <w:tabs>
          <w:tab w:leader="none" w:pos="2260" w:val="left"/>
        </w:tabs>
        <w:numPr>
          <w:ilvl w:val="0"/>
          <w:numId w:val="62"/>
        </w:numPr>
        <w:rPr>
          <w:rFonts w:ascii="Arial" w:cs="Arial" w:eastAsia="Arial" w:hAnsi="Arial"/>
          <w:sz w:val="10"/>
          <w:szCs w:val="10"/>
          <w:color w:val="auto"/>
        </w:rPr>
      </w:pPr>
      <w:r>
        <w:rPr>
          <w:rFonts w:ascii="Arial" w:cs="Arial" w:eastAsia="Arial" w:hAnsi="Arial"/>
          <w:sz w:val="10"/>
          <w:szCs w:val="10"/>
          <w:color w:val="auto"/>
        </w:rPr>
        <w:t>The 2021 amounts for Mr. Golder are primarily a result of increased compensation as a result of his untimely passing.</w:t>
      </w:r>
    </w:p>
    <w:p>
      <w:pPr>
        <w:spacing w:after="0" w:line="47" w:lineRule="exact"/>
        <w:rPr>
          <w:rFonts w:ascii="Arial" w:cs="Arial" w:eastAsia="Arial" w:hAnsi="Arial"/>
          <w:sz w:val="10"/>
          <w:szCs w:val="10"/>
          <w:color w:val="auto"/>
        </w:rPr>
      </w:pPr>
    </w:p>
    <w:p>
      <w:pPr>
        <w:jc w:val="both"/>
        <w:ind w:left="2260" w:right="899" w:hanging="288"/>
        <w:spacing w:after="0" w:line="230" w:lineRule="auto"/>
        <w:tabs>
          <w:tab w:leader="none" w:pos="2260" w:val="left"/>
        </w:tabs>
        <w:numPr>
          <w:ilvl w:val="0"/>
          <w:numId w:val="62"/>
        </w:numPr>
        <w:rPr>
          <w:rFonts w:ascii="Arial" w:cs="Arial" w:eastAsia="Arial" w:hAnsi="Arial"/>
          <w:sz w:val="10"/>
          <w:szCs w:val="10"/>
          <w:color w:val="auto"/>
        </w:rPr>
      </w:pPr>
      <w:r>
        <w:rPr>
          <w:rFonts w:ascii="Arial" w:cs="Arial" w:eastAsia="Arial" w:hAnsi="Arial"/>
          <w:sz w:val="10"/>
          <w:szCs w:val="10"/>
          <w:color w:val="auto"/>
        </w:rPr>
        <w:t>The following detailed breakdown table describes the adjustments, each of which is prescribed by SEC rule, to calculate the CAP Amount from the SCT Amount. The SCT Amount and the CAP Amount do not reflect the actual amount of compensation earned by or paid during the applicable year, but rather are amounts determined in accordance with SEC rules contained in item 402 of Regulation S-K under the Exchange Act</w:t>
      </w:r>
    </w:p>
    <w:p>
      <w:pPr>
        <w:spacing w:after="0" w:line="47" w:lineRule="exact"/>
        <w:rPr>
          <w:rFonts w:ascii="Arial" w:cs="Arial" w:eastAsia="Arial" w:hAnsi="Arial"/>
          <w:sz w:val="10"/>
          <w:szCs w:val="10"/>
          <w:color w:val="auto"/>
        </w:rPr>
      </w:pPr>
    </w:p>
    <w:p>
      <w:pPr>
        <w:ind w:left="2260" w:hanging="288"/>
        <w:spacing w:after="0"/>
        <w:tabs>
          <w:tab w:leader="none" w:pos="2260" w:val="left"/>
        </w:tabs>
        <w:numPr>
          <w:ilvl w:val="0"/>
          <w:numId w:val="62"/>
        </w:numPr>
        <w:rPr>
          <w:rFonts w:ascii="Arial" w:cs="Arial" w:eastAsia="Arial" w:hAnsi="Arial"/>
          <w:sz w:val="10"/>
          <w:szCs w:val="10"/>
          <w:color w:val="auto"/>
        </w:rPr>
      </w:pPr>
      <w:r>
        <w:rPr>
          <w:rFonts w:ascii="Arial" w:cs="Arial" w:eastAsia="Arial" w:hAnsi="Arial"/>
          <w:sz w:val="10"/>
          <w:szCs w:val="10"/>
          <w:color w:val="auto"/>
        </w:rPr>
        <w:t>Amounts presented are averages for the entire group of other NEOS.</w:t>
      </w:r>
    </w:p>
    <w:p>
      <w:pPr>
        <w:spacing w:after="0" w:line="47" w:lineRule="exact"/>
        <w:rPr>
          <w:rFonts w:ascii="Arial" w:cs="Arial" w:eastAsia="Arial" w:hAnsi="Arial"/>
          <w:sz w:val="10"/>
          <w:szCs w:val="10"/>
          <w:color w:val="auto"/>
        </w:rPr>
      </w:pPr>
    </w:p>
    <w:p>
      <w:pPr>
        <w:ind w:left="2260" w:right="919" w:hanging="288"/>
        <w:spacing w:after="0" w:line="341" w:lineRule="auto"/>
        <w:tabs>
          <w:tab w:leader="none" w:pos="2260" w:val="left"/>
        </w:tabs>
        <w:numPr>
          <w:ilvl w:val="0"/>
          <w:numId w:val="62"/>
        </w:numPr>
        <w:rPr>
          <w:rFonts w:ascii="Arial" w:cs="Arial" w:eastAsia="Arial" w:hAnsi="Arial"/>
          <w:sz w:val="8"/>
          <w:szCs w:val="8"/>
          <w:color w:val="auto"/>
        </w:rPr>
      </w:pPr>
      <w:r>
        <w:rPr>
          <w:rFonts w:ascii="Arial" w:cs="Arial" w:eastAsia="Arial" w:hAnsi="Arial"/>
          <w:sz w:val="8"/>
          <w:szCs w:val="8"/>
          <w:color w:val="auto"/>
        </w:rPr>
        <w:t>Total Shareholder Return (TSR) data is calculated based on an initial measurement date of December 29, 2019 and reflects: For 2022 - 3 year (December 29, 2019 - December 25, 2022); for 2021 - 2 year (December 29, 2019 - December 25, 2021); and for 2020 - 1 year (December 29, 2019 - December 27, 2020).</w:t>
      </w:r>
    </w:p>
    <w:p>
      <w:pPr>
        <w:spacing w:after="0" w:line="149"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Financial Performance Measures</w:t>
      </w:r>
    </w:p>
    <w:p>
      <w:pPr>
        <w:spacing w:after="0" w:line="104" w:lineRule="exact"/>
        <w:rPr>
          <w:sz w:val="20"/>
          <w:szCs w:val="20"/>
          <w:color w:val="auto"/>
        </w:rPr>
      </w:pPr>
    </w:p>
    <w:p>
      <w:pPr>
        <w:ind w:left="1980" w:right="999"/>
        <w:spacing w:after="0" w:line="245" w:lineRule="auto"/>
        <w:rPr>
          <w:sz w:val="20"/>
          <w:szCs w:val="20"/>
          <w:color w:val="auto"/>
        </w:rPr>
      </w:pPr>
      <w:r>
        <w:rPr>
          <w:rFonts w:ascii="Arial" w:cs="Arial" w:eastAsia="Arial" w:hAnsi="Arial"/>
          <w:sz w:val="11"/>
          <w:szCs w:val="11"/>
          <w:color w:val="auto"/>
        </w:rPr>
        <w:t>The following table lists the most important financial performance measures used to link compensation actually paid to our NEOs for 2022 to Company performance.</w:t>
      </w:r>
    </w:p>
    <w:p>
      <w:pPr>
        <w:spacing w:after="0" w:line="155" w:lineRule="exact"/>
        <w:rPr>
          <w:sz w:val="20"/>
          <w:szCs w:val="20"/>
          <w:color w:val="auto"/>
        </w:rPr>
      </w:pPr>
    </w:p>
    <w:tbl>
      <w:tblPr>
        <w:tblLayout w:type="fixed"/>
        <w:tblInd w:w="2260" w:type="dxa"/>
        <w:tblCellMar>
          <w:top w:w="0" w:type="dxa"/>
          <w:left w:w="0" w:type="dxa"/>
          <w:bottom w:w="0" w:type="dxa"/>
          <w:right w:w="0" w:type="dxa"/>
        </w:tblCellMar>
      </w:tblPr>
      <w:tr>
        <w:trPr>
          <w:trHeight w:val="160"/>
        </w:trPr>
        <w:tc>
          <w:tcPr>
            <w:tcW w:w="1680" w:type="dxa"/>
            <w:vAlign w:val="bottom"/>
            <w:shd w:val="clear" w:color="auto" w:fill="CCEBF8"/>
          </w:tcPr>
          <w:p>
            <w:pPr>
              <w:spacing w:after="0"/>
              <w:rPr>
                <w:sz w:val="13"/>
                <w:szCs w:val="13"/>
                <w:color w:val="auto"/>
              </w:rPr>
            </w:pPr>
          </w:p>
        </w:tc>
        <w:tc>
          <w:tcPr>
            <w:tcW w:w="1620" w:type="dxa"/>
            <w:vAlign w:val="bottom"/>
            <w:shd w:val="clear" w:color="auto" w:fill="CCEBF8"/>
          </w:tcPr>
          <w:p>
            <w:pPr>
              <w:spacing w:after="0"/>
              <w:rPr>
                <w:sz w:val="13"/>
                <w:szCs w:val="13"/>
                <w:color w:val="auto"/>
              </w:rPr>
            </w:pPr>
          </w:p>
        </w:tc>
        <w:tc>
          <w:tcPr>
            <w:tcW w:w="1620" w:type="dxa"/>
            <w:vAlign w:val="bottom"/>
            <w:shd w:val="clear" w:color="auto" w:fill="CCEBF8"/>
          </w:tcPr>
          <w:p>
            <w:pPr>
              <w:jc w:val="center"/>
              <w:ind w:right="6"/>
              <w:spacing w:after="0"/>
              <w:rPr>
                <w:sz w:val="20"/>
                <w:szCs w:val="20"/>
                <w:color w:val="auto"/>
              </w:rPr>
            </w:pPr>
            <w:r>
              <w:rPr>
                <w:rFonts w:ascii="Arial" w:cs="Arial" w:eastAsia="Arial" w:hAnsi="Arial"/>
                <w:sz w:val="11"/>
                <w:szCs w:val="11"/>
                <w:b w:val="1"/>
                <w:bCs w:val="1"/>
                <w:color w:val="009BDE"/>
                <w:w w:val="98"/>
              </w:rPr>
              <w:t>Short-Term Incentive</w:t>
            </w:r>
          </w:p>
        </w:tc>
        <w:tc>
          <w:tcPr>
            <w:tcW w:w="1840" w:type="dxa"/>
            <w:vAlign w:val="bottom"/>
            <w:shd w:val="clear" w:color="auto" w:fill="CCEBF8"/>
          </w:tcPr>
          <w:p>
            <w:pPr>
              <w:jc w:val="center"/>
              <w:ind w:left="86"/>
              <w:spacing w:after="0"/>
              <w:rPr>
                <w:sz w:val="20"/>
                <w:szCs w:val="20"/>
                <w:color w:val="auto"/>
              </w:rPr>
            </w:pPr>
            <w:r>
              <w:rPr>
                <w:rFonts w:ascii="Arial" w:cs="Arial" w:eastAsia="Arial" w:hAnsi="Arial"/>
                <w:sz w:val="11"/>
                <w:szCs w:val="11"/>
                <w:b w:val="1"/>
                <w:bCs w:val="1"/>
                <w:color w:val="009BDE"/>
                <w:w w:val="97"/>
              </w:rPr>
              <w:t>Performance Share Award</w:t>
            </w:r>
          </w:p>
        </w:tc>
      </w:tr>
      <w:tr>
        <w:trPr>
          <w:trHeight w:val="151"/>
        </w:trPr>
        <w:tc>
          <w:tcPr>
            <w:tcW w:w="1680" w:type="dxa"/>
            <w:vAlign w:val="bottom"/>
            <w:shd w:val="clear" w:color="auto" w:fill="CCEBF8"/>
          </w:tcPr>
          <w:p>
            <w:pPr>
              <w:spacing w:after="0"/>
              <w:rPr>
                <w:sz w:val="20"/>
                <w:szCs w:val="20"/>
                <w:color w:val="auto"/>
              </w:rPr>
            </w:pPr>
            <w:r>
              <w:rPr>
                <w:rFonts w:ascii="Arial" w:cs="Arial" w:eastAsia="Arial" w:hAnsi="Arial"/>
                <w:sz w:val="11"/>
                <w:szCs w:val="11"/>
                <w:b w:val="1"/>
                <w:bCs w:val="1"/>
                <w:color w:val="009BDE"/>
              </w:rPr>
              <w:t>Performance Measure</w:t>
            </w:r>
          </w:p>
        </w:tc>
        <w:tc>
          <w:tcPr>
            <w:tcW w:w="1620" w:type="dxa"/>
            <w:vAlign w:val="bottom"/>
            <w:shd w:val="clear" w:color="auto" w:fill="CCEBF8"/>
          </w:tcPr>
          <w:p>
            <w:pPr>
              <w:jc w:val="center"/>
              <w:ind w:left="246"/>
              <w:spacing w:after="0"/>
              <w:rPr>
                <w:sz w:val="20"/>
                <w:szCs w:val="20"/>
                <w:color w:val="auto"/>
              </w:rPr>
            </w:pPr>
            <w:r>
              <w:rPr>
                <w:rFonts w:ascii="Arial" w:cs="Arial" w:eastAsia="Arial" w:hAnsi="Arial"/>
                <w:sz w:val="11"/>
                <w:szCs w:val="11"/>
                <w:b w:val="1"/>
                <w:bCs w:val="1"/>
                <w:color w:val="009BDE"/>
                <w:w w:val="99"/>
              </w:rPr>
              <w:t>Primary Measure</w:t>
            </w:r>
          </w:p>
        </w:tc>
        <w:tc>
          <w:tcPr>
            <w:tcW w:w="1620" w:type="dxa"/>
            <w:vAlign w:val="bottom"/>
            <w:shd w:val="clear" w:color="auto" w:fill="CCEBF8"/>
          </w:tcPr>
          <w:p>
            <w:pPr>
              <w:jc w:val="center"/>
              <w:ind w:right="6"/>
              <w:spacing w:after="0"/>
              <w:rPr>
                <w:sz w:val="20"/>
                <w:szCs w:val="20"/>
                <w:color w:val="auto"/>
              </w:rPr>
            </w:pPr>
            <w:r>
              <w:rPr>
                <w:rFonts w:ascii="Arial" w:cs="Arial" w:eastAsia="Arial" w:hAnsi="Arial"/>
                <w:sz w:val="11"/>
                <w:szCs w:val="11"/>
                <w:b w:val="1"/>
                <w:bCs w:val="1"/>
                <w:color w:val="009BDE"/>
                <w:w w:val="98"/>
              </w:rPr>
              <w:t>Measure</w:t>
            </w:r>
          </w:p>
        </w:tc>
        <w:tc>
          <w:tcPr>
            <w:tcW w:w="1840" w:type="dxa"/>
            <w:vAlign w:val="bottom"/>
            <w:shd w:val="clear" w:color="auto" w:fill="CCEBF8"/>
          </w:tcPr>
          <w:p>
            <w:pPr>
              <w:jc w:val="center"/>
              <w:ind w:left="106"/>
              <w:spacing w:after="0"/>
              <w:rPr>
                <w:sz w:val="20"/>
                <w:szCs w:val="20"/>
                <w:color w:val="auto"/>
              </w:rPr>
            </w:pPr>
            <w:r>
              <w:rPr>
                <w:rFonts w:ascii="Arial" w:cs="Arial" w:eastAsia="Arial" w:hAnsi="Arial"/>
                <w:sz w:val="11"/>
                <w:szCs w:val="11"/>
                <w:b w:val="1"/>
                <w:bCs w:val="1"/>
                <w:color w:val="009BDE"/>
                <w:w w:val="97"/>
              </w:rPr>
              <w:t>Performance Measure</w:t>
            </w:r>
          </w:p>
        </w:tc>
      </w:tr>
      <w:tr>
        <w:trPr>
          <w:trHeight w:val="85"/>
        </w:trPr>
        <w:tc>
          <w:tcPr>
            <w:tcW w:w="1680" w:type="dxa"/>
            <w:vAlign w:val="bottom"/>
            <w:tcBorders>
              <w:bottom w:val="single" w:sz="8" w:color="009BDE"/>
            </w:tcBorders>
            <w:shd w:val="clear" w:color="auto" w:fill="CCEBF8"/>
          </w:tcPr>
          <w:p>
            <w:pPr>
              <w:spacing w:after="0"/>
              <w:rPr>
                <w:sz w:val="7"/>
                <w:szCs w:val="7"/>
                <w:color w:val="auto"/>
              </w:rPr>
            </w:pPr>
          </w:p>
        </w:tc>
        <w:tc>
          <w:tcPr>
            <w:tcW w:w="1620" w:type="dxa"/>
            <w:vAlign w:val="bottom"/>
            <w:tcBorders>
              <w:bottom w:val="single" w:sz="8" w:color="009BDE"/>
            </w:tcBorders>
            <w:shd w:val="clear" w:color="auto" w:fill="CCEBF8"/>
          </w:tcPr>
          <w:p>
            <w:pPr>
              <w:spacing w:after="0"/>
              <w:rPr>
                <w:sz w:val="7"/>
                <w:szCs w:val="7"/>
                <w:color w:val="auto"/>
              </w:rPr>
            </w:pPr>
          </w:p>
        </w:tc>
        <w:tc>
          <w:tcPr>
            <w:tcW w:w="1620" w:type="dxa"/>
            <w:vAlign w:val="bottom"/>
            <w:tcBorders>
              <w:bottom w:val="single" w:sz="8" w:color="009BDE"/>
            </w:tcBorders>
            <w:shd w:val="clear" w:color="auto" w:fill="CCEBF8"/>
          </w:tcPr>
          <w:p>
            <w:pPr>
              <w:spacing w:after="0"/>
              <w:rPr>
                <w:sz w:val="7"/>
                <w:szCs w:val="7"/>
                <w:color w:val="auto"/>
              </w:rPr>
            </w:pPr>
          </w:p>
        </w:tc>
        <w:tc>
          <w:tcPr>
            <w:tcW w:w="1840" w:type="dxa"/>
            <w:vAlign w:val="bottom"/>
            <w:tcBorders>
              <w:bottom w:val="single" w:sz="8" w:color="009BDE"/>
            </w:tcBorders>
            <w:shd w:val="clear" w:color="auto" w:fill="CCEBF8"/>
          </w:tcPr>
          <w:p>
            <w:pPr>
              <w:spacing w:after="0"/>
              <w:rPr>
                <w:sz w:val="7"/>
                <w:szCs w:val="7"/>
                <w:color w:val="auto"/>
              </w:rPr>
            </w:pPr>
          </w:p>
        </w:tc>
      </w:tr>
      <w:tr>
        <w:trPr>
          <w:trHeight w:val="183"/>
        </w:trPr>
        <w:tc>
          <w:tcPr>
            <w:tcW w:w="1680" w:type="dxa"/>
            <w:vAlign w:val="bottom"/>
          </w:tcPr>
          <w:p>
            <w:pPr>
              <w:ind w:left="60"/>
              <w:spacing w:after="0"/>
              <w:rPr>
                <w:sz w:val="20"/>
                <w:szCs w:val="20"/>
                <w:color w:val="auto"/>
              </w:rPr>
            </w:pPr>
            <w:r>
              <w:rPr>
                <w:rFonts w:ascii="Arial" w:cs="Arial" w:eastAsia="Arial" w:hAnsi="Arial"/>
                <w:sz w:val="11"/>
                <w:szCs w:val="11"/>
                <w:color w:val="auto"/>
              </w:rPr>
              <w:t>Net Revenue</w:t>
            </w:r>
          </w:p>
        </w:tc>
        <w:tc>
          <w:tcPr>
            <w:tcW w:w="1620" w:type="dxa"/>
            <w:vAlign w:val="bottom"/>
          </w:tcPr>
          <w:p>
            <w:pPr>
              <w:jc w:val="center"/>
              <w:ind w:left="246"/>
              <w:spacing w:after="0"/>
              <w:rPr>
                <w:sz w:val="20"/>
                <w:szCs w:val="20"/>
                <w:color w:val="auto"/>
              </w:rPr>
            </w:pPr>
            <w:r>
              <w:rPr>
                <w:rFonts w:ascii="Arial" w:cs="Arial" w:eastAsia="Arial" w:hAnsi="Arial"/>
                <w:sz w:val="11"/>
                <w:szCs w:val="11"/>
                <w:color w:val="auto"/>
              </w:rPr>
              <w:t>X</w:t>
            </w:r>
          </w:p>
        </w:tc>
        <w:tc>
          <w:tcPr>
            <w:tcW w:w="1620" w:type="dxa"/>
            <w:vAlign w:val="bottom"/>
          </w:tcPr>
          <w:p>
            <w:pPr>
              <w:jc w:val="center"/>
              <w:ind w:right="6"/>
              <w:spacing w:after="0"/>
              <w:rPr>
                <w:sz w:val="20"/>
                <w:szCs w:val="20"/>
                <w:color w:val="auto"/>
              </w:rPr>
            </w:pPr>
            <w:r>
              <w:rPr>
                <w:rFonts w:ascii="Arial" w:cs="Arial" w:eastAsia="Arial" w:hAnsi="Arial"/>
                <w:sz w:val="11"/>
                <w:szCs w:val="11"/>
                <w:color w:val="auto"/>
              </w:rPr>
              <w:t>X</w:t>
            </w:r>
          </w:p>
        </w:tc>
        <w:tc>
          <w:tcPr>
            <w:tcW w:w="1840" w:type="dxa"/>
            <w:vAlign w:val="bottom"/>
          </w:tcPr>
          <w:p>
            <w:pPr>
              <w:jc w:val="center"/>
              <w:ind w:left="106"/>
              <w:spacing w:after="0"/>
              <w:rPr>
                <w:sz w:val="20"/>
                <w:szCs w:val="20"/>
                <w:color w:val="auto"/>
              </w:rPr>
            </w:pPr>
            <w:r>
              <w:rPr>
                <w:rFonts w:ascii="Arial" w:cs="Arial" w:eastAsia="Arial" w:hAnsi="Arial"/>
                <w:sz w:val="11"/>
                <w:szCs w:val="11"/>
                <w:color w:val="auto"/>
              </w:rPr>
              <w:t>X</w:t>
            </w:r>
          </w:p>
        </w:tc>
      </w:tr>
      <w:tr>
        <w:trPr>
          <w:trHeight w:val="67"/>
        </w:trPr>
        <w:tc>
          <w:tcPr>
            <w:tcW w:w="1680" w:type="dxa"/>
            <w:vAlign w:val="bottom"/>
            <w:tcBorders>
              <w:bottom w:val="single" w:sz="8" w:color="009BDE"/>
            </w:tcBorders>
          </w:tcPr>
          <w:p>
            <w:pPr>
              <w:spacing w:after="0"/>
              <w:rPr>
                <w:sz w:val="5"/>
                <w:szCs w:val="5"/>
                <w:color w:val="auto"/>
              </w:rPr>
            </w:pPr>
          </w:p>
        </w:tc>
        <w:tc>
          <w:tcPr>
            <w:tcW w:w="1620" w:type="dxa"/>
            <w:vAlign w:val="bottom"/>
            <w:tcBorders>
              <w:bottom w:val="single" w:sz="8" w:color="009BDE"/>
            </w:tcBorders>
          </w:tcPr>
          <w:p>
            <w:pPr>
              <w:spacing w:after="0"/>
              <w:rPr>
                <w:sz w:val="5"/>
                <w:szCs w:val="5"/>
                <w:color w:val="auto"/>
              </w:rPr>
            </w:pPr>
          </w:p>
        </w:tc>
        <w:tc>
          <w:tcPr>
            <w:tcW w:w="1620" w:type="dxa"/>
            <w:vAlign w:val="bottom"/>
            <w:tcBorders>
              <w:bottom w:val="single" w:sz="8" w:color="009BDE"/>
            </w:tcBorders>
          </w:tcPr>
          <w:p>
            <w:pPr>
              <w:spacing w:after="0"/>
              <w:rPr>
                <w:sz w:val="5"/>
                <w:szCs w:val="5"/>
                <w:color w:val="auto"/>
              </w:rPr>
            </w:pPr>
          </w:p>
        </w:tc>
        <w:tc>
          <w:tcPr>
            <w:tcW w:w="1840" w:type="dxa"/>
            <w:vAlign w:val="bottom"/>
            <w:tcBorders>
              <w:bottom w:val="single" w:sz="8" w:color="009BDE"/>
            </w:tcBorders>
          </w:tcPr>
          <w:p>
            <w:pPr>
              <w:spacing w:after="0"/>
              <w:rPr>
                <w:sz w:val="5"/>
                <w:szCs w:val="5"/>
                <w:color w:val="auto"/>
              </w:rPr>
            </w:pPr>
          </w:p>
        </w:tc>
      </w:tr>
      <w:tr>
        <w:trPr>
          <w:trHeight w:val="183"/>
        </w:trPr>
        <w:tc>
          <w:tcPr>
            <w:tcW w:w="1680" w:type="dxa"/>
            <w:vAlign w:val="bottom"/>
          </w:tcPr>
          <w:p>
            <w:pPr>
              <w:ind w:left="60"/>
              <w:spacing w:after="0"/>
              <w:rPr>
                <w:sz w:val="20"/>
                <w:szCs w:val="20"/>
                <w:color w:val="auto"/>
              </w:rPr>
            </w:pPr>
            <w:r>
              <w:rPr>
                <w:rFonts w:ascii="Arial" w:cs="Arial" w:eastAsia="Arial" w:hAnsi="Arial"/>
                <w:sz w:val="11"/>
                <w:szCs w:val="11"/>
                <w:color w:val="auto"/>
              </w:rPr>
              <w:t>Operating Margin</w:t>
            </w:r>
          </w:p>
        </w:tc>
        <w:tc>
          <w:tcPr>
            <w:tcW w:w="1620" w:type="dxa"/>
            <w:vAlign w:val="bottom"/>
          </w:tcPr>
          <w:p>
            <w:pPr>
              <w:spacing w:after="0"/>
              <w:rPr>
                <w:sz w:val="15"/>
                <w:szCs w:val="15"/>
                <w:color w:val="auto"/>
              </w:rPr>
            </w:pPr>
          </w:p>
        </w:tc>
        <w:tc>
          <w:tcPr>
            <w:tcW w:w="1620" w:type="dxa"/>
            <w:vAlign w:val="bottom"/>
          </w:tcPr>
          <w:p>
            <w:pPr>
              <w:jc w:val="center"/>
              <w:ind w:right="6"/>
              <w:spacing w:after="0"/>
              <w:rPr>
                <w:sz w:val="20"/>
                <w:szCs w:val="20"/>
                <w:color w:val="auto"/>
              </w:rPr>
            </w:pPr>
            <w:r>
              <w:rPr>
                <w:rFonts w:ascii="Arial" w:cs="Arial" w:eastAsia="Arial" w:hAnsi="Arial"/>
                <w:sz w:val="11"/>
                <w:szCs w:val="11"/>
                <w:color w:val="auto"/>
              </w:rPr>
              <w:t>X</w:t>
            </w:r>
          </w:p>
        </w:tc>
        <w:tc>
          <w:tcPr>
            <w:tcW w:w="1840" w:type="dxa"/>
            <w:vAlign w:val="bottom"/>
          </w:tcPr>
          <w:p>
            <w:pPr>
              <w:spacing w:after="0"/>
              <w:rPr>
                <w:sz w:val="15"/>
                <w:szCs w:val="15"/>
                <w:color w:val="auto"/>
              </w:rPr>
            </w:pPr>
          </w:p>
        </w:tc>
      </w:tr>
      <w:tr>
        <w:trPr>
          <w:trHeight w:val="67"/>
        </w:trPr>
        <w:tc>
          <w:tcPr>
            <w:tcW w:w="1680" w:type="dxa"/>
            <w:vAlign w:val="bottom"/>
            <w:tcBorders>
              <w:bottom w:val="single" w:sz="8" w:color="009BDE"/>
            </w:tcBorders>
          </w:tcPr>
          <w:p>
            <w:pPr>
              <w:spacing w:after="0"/>
              <w:rPr>
                <w:sz w:val="5"/>
                <w:szCs w:val="5"/>
                <w:color w:val="auto"/>
              </w:rPr>
            </w:pPr>
          </w:p>
        </w:tc>
        <w:tc>
          <w:tcPr>
            <w:tcW w:w="1620" w:type="dxa"/>
            <w:vAlign w:val="bottom"/>
            <w:tcBorders>
              <w:bottom w:val="single" w:sz="8" w:color="009BDE"/>
            </w:tcBorders>
          </w:tcPr>
          <w:p>
            <w:pPr>
              <w:spacing w:after="0"/>
              <w:rPr>
                <w:sz w:val="5"/>
                <w:szCs w:val="5"/>
                <w:color w:val="auto"/>
              </w:rPr>
            </w:pPr>
          </w:p>
        </w:tc>
        <w:tc>
          <w:tcPr>
            <w:tcW w:w="1620" w:type="dxa"/>
            <w:vAlign w:val="bottom"/>
            <w:tcBorders>
              <w:bottom w:val="single" w:sz="8" w:color="009BDE"/>
            </w:tcBorders>
          </w:tcPr>
          <w:p>
            <w:pPr>
              <w:spacing w:after="0"/>
              <w:rPr>
                <w:sz w:val="5"/>
                <w:szCs w:val="5"/>
                <w:color w:val="auto"/>
              </w:rPr>
            </w:pPr>
          </w:p>
        </w:tc>
        <w:tc>
          <w:tcPr>
            <w:tcW w:w="1840" w:type="dxa"/>
            <w:vAlign w:val="bottom"/>
            <w:tcBorders>
              <w:bottom w:val="single" w:sz="8" w:color="009BDE"/>
            </w:tcBorders>
          </w:tcPr>
          <w:p>
            <w:pPr>
              <w:spacing w:after="0"/>
              <w:rPr>
                <w:sz w:val="5"/>
                <w:szCs w:val="5"/>
                <w:color w:val="auto"/>
              </w:rPr>
            </w:pPr>
          </w:p>
        </w:tc>
      </w:tr>
      <w:tr>
        <w:trPr>
          <w:trHeight w:val="183"/>
        </w:trPr>
        <w:tc>
          <w:tcPr>
            <w:tcW w:w="1680" w:type="dxa"/>
            <w:vAlign w:val="bottom"/>
          </w:tcPr>
          <w:p>
            <w:pPr>
              <w:ind w:left="60"/>
              <w:spacing w:after="0"/>
              <w:rPr>
                <w:sz w:val="20"/>
                <w:szCs w:val="20"/>
                <w:color w:val="auto"/>
              </w:rPr>
            </w:pPr>
            <w:r>
              <w:rPr>
                <w:rFonts w:ascii="Arial" w:cs="Arial" w:eastAsia="Arial" w:hAnsi="Arial"/>
                <w:sz w:val="11"/>
                <w:szCs w:val="11"/>
                <w:color w:val="auto"/>
              </w:rPr>
              <w:t>Free Cash Flow</w:t>
            </w:r>
          </w:p>
        </w:tc>
        <w:tc>
          <w:tcPr>
            <w:tcW w:w="1620" w:type="dxa"/>
            <w:vAlign w:val="bottom"/>
          </w:tcPr>
          <w:p>
            <w:pPr>
              <w:spacing w:after="0"/>
              <w:rPr>
                <w:sz w:val="15"/>
                <w:szCs w:val="15"/>
                <w:color w:val="auto"/>
              </w:rPr>
            </w:pPr>
          </w:p>
        </w:tc>
        <w:tc>
          <w:tcPr>
            <w:tcW w:w="1620" w:type="dxa"/>
            <w:vAlign w:val="bottom"/>
          </w:tcPr>
          <w:p>
            <w:pPr>
              <w:jc w:val="center"/>
              <w:ind w:right="6"/>
              <w:spacing w:after="0"/>
              <w:rPr>
                <w:sz w:val="20"/>
                <w:szCs w:val="20"/>
                <w:color w:val="auto"/>
              </w:rPr>
            </w:pPr>
            <w:r>
              <w:rPr>
                <w:rFonts w:ascii="Arial" w:cs="Arial" w:eastAsia="Arial" w:hAnsi="Arial"/>
                <w:sz w:val="11"/>
                <w:szCs w:val="11"/>
                <w:color w:val="auto"/>
              </w:rPr>
              <w:t>X</w:t>
            </w:r>
          </w:p>
        </w:tc>
        <w:tc>
          <w:tcPr>
            <w:tcW w:w="1840" w:type="dxa"/>
            <w:vAlign w:val="bottom"/>
          </w:tcPr>
          <w:p>
            <w:pPr>
              <w:spacing w:after="0"/>
              <w:rPr>
                <w:sz w:val="15"/>
                <w:szCs w:val="15"/>
                <w:color w:val="auto"/>
              </w:rPr>
            </w:pPr>
          </w:p>
        </w:tc>
      </w:tr>
      <w:tr>
        <w:trPr>
          <w:trHeight w:val="67"/>
        </w:trPr>
        <w:tc>
          <w:tcPr>
            <w:tcW w:w="1680" w:type="dxa"/>
            <w:vAlign w:val="bottom"/>
            <w:tcBorders>
              <w:bottom w:val="single" w:sz="8" w:color="009BDE"/>
            </w:tcBorders>
          </w:tcPr>
          <w:p>
            <w:pPr>
              <w:spacing w:after="0"/>
              <w:rPr>
                <w:sz w:val="5"/>
                <w:szCs w:val="5"/>
                <w:color w:val="auto"/>
              </w:rPr>
            </w:pPr>
          </w:p>
        </w:tc>
        <w:tc>
          <w:tcPr>
            <w:tcW w:w="1620" w:type="dxa"/>
            <w:vAlign w:val="bottom"/>
            <w:tcBorders>
              <w:bottom w:val="single" w:sz="8" w:color="009BDE"/>
            </w:tcBorders>
          </w:tcPr>
          <w:p>
            <w:pPr>
              <w:spacing w:after="0"/>
              <w:rPr>
                <w:sz w:val="5"/>
                <w:szCs w:val="5"/>
                <w:color w:val="auto"/>
              </w:rPr>
            </w:pPr>
          </w:p>
        </w:tc>
        <w:tc>
          <w:tcPr>
            <w:tcW w:w="1620" w:type="dxa"/>
            <w:vAlign w:val="bottom"/>
            <w:tcBorders>
              <w:bottom w:val="single" w:sz="8" w:color="009BDE"/>
            </w:tcBorders>
          </w:tcPr>
          <w:p>
            <w:pPr>
              <w:spacing w:after="0"/>
              <w:rPr>
                <w:sz w:val="5"/>
                <w:szCs w:val="5"/>
                <w:color w:val="auto"/>
              </w:rPr>
            </w:pPr>
          </w:p>
        </w:tc>
        <w:tc>
          <w:tcPr>
            <w:tcW w:w="1840" w:type="dxa"/>
            <w:vAlign w:val="bottom"/>
            <w:tcBorders>
              <w:bottom w:val="single" w:sz="8" w:color="009BDE"/>
            </w:tcBorders>
          </w:tcPr>
          <w:p>
            <w:pPr>
              <w:spacing w:after="0"/>
              <w:rPr>
                <w:sz w:val="5"/>
                <w:szCs w:val="5"/>
                <w:color w:val="auto"/>
              </w:rPr>
            </w:pPr>
          </w:p>
        </w:tc>
      </w:tr>
      <w:tr>
        <w:trPr>
          <w:trHeight w:val="183"/>
        </w:trPr>
        <w:tc>
          <w:tcPr>
            <w:tcW w:w="1680" w:type="dxa"/>
            <w:vAlign w:val="bottom"/>
          </w:tcPr>
          <w:p>
            <w:pPr>
              <w:ind w:left="60"/>
              <w:spacing w:after="0"/>
              <w:rPr>
                <w:sz w:val="20"/>
                <w:szCs w:val="20"/>
                <w:color w:val="auto"/>
              </w:rPr>
            </w:pPr>
            <w:r>
              <w:rPr>
                <w:rFonts w:ascii="Arial" w:cs="Arial" w:eastAsia="Arial" w:hAnsi="Arial"/>
                <w:sz w:val="11"/>
                <w:szCs w:val="11"/>
                <w:color w:val="auto"/>
              </w:rPr>
              <w:t>EPS</w:t>
            </w:r>
          </w:p>
        </w:tc>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40" w:type="dxa"/>
            <w:vAlign w:val="bottom"/>
          </w:tcPr>
          <w:p>
            <w:pPr>
              <w:jc w:val="center"/>
              <w:ind w:left="106"/>
              <w:spacing w:after="0"/>
              <w:rPr>
                <w:sz w:val="20"/>
                <w:szCs w:val="20"/>
                <w:color w:val="auto"/>
              </w:rPr>
            </w:pPr>
            <w:r>
              <w:rPr>
                <w:rFonts w:ascii="Arial" w:cs="Arial" w:eastAsia="Arial" w:hAnsi="Arial"/>
                <w:sz w:val="11"/>
                <w:szCs w:val="11"/>
                <w:color w:val="auto"/>
              </w:rPr>
              <w:t>X</w:t>
            </w:r>
          </w:p>
        </w:tc>
      </w:tr>
      <w:tr>
        <w:trPr>
          <w:trHeight w:val="67"/>
        </w:trPr>
        <w:tc>
          <w:tcPr>
            <w:tcW w:w="1680" w:type="dxa"/>
            <w:vAlign w:val="bottom"/>
            <w:tcBorders>
              <w:bottom w:val="single" w:sz="8" w:color="009BDE"/>
            </w:tcBorders>
          </w:tcPr>
          <w:p>
            <w:pPr>
              <w:spacing w:after="0"/>
              <w:rPr>
                <w:sz w:val="5"/>
                <w:szCs w:val="5"/>
                <w:color w:val="auto"/>
              </w:rPr>
            </w:pPr>
          </w:p>
        </w:tc>
        <w:tc>
          <w:tcPr>
            <w:tcW w:w="1620" w:type="dxa"/>
            <w:vAlign w:val="bottom"/>
            <w:tcBorders>
              <w:bottom w:val="single" w:sz="8" w:color="009BDE"/>
            </w:tcBorders>
          </w:tcPr>
          <w:p>
            <w:pPr>
              <w:spacing w:after="0"/>
              <w:rPr>
                <w:sz w:val="5"/>
                <w:szCs w:val="5"/>
                <w:color w:val="auto"/>
              </w:rPr>
            </w:pPr>
          </w:p>
        </w:tc>
        <w:tc>
          <w:tcPr>
            <w:tcW w:w="1620" w:type="dxa"/>
            <w:vAlign w:val="bottom"/>
            <w:tcBorders>
              <w:bottom w:val="single" w:sz="8" w:color="009BDE"/>
            </w:tcBorders>
          </w:tcPr>
          <w:p>
            <w:pPr>
              <w:spacing w:after="0"/>
              <w:rPr>
                <w:sz w:val="5"/>
                <w:szCs w:val="5"/>
                <w:color w:val="auto"/>
              </w:rPr>
            </w:pPr>
          </w:p>
        </w:tc>
        <w:tc>
          <w:tcPr>
            <w:tcW w:w="1840" w:type="dxa"/>
            <w:vAlign w:val="bottom"/>
            <w:tcBorders>
              <w:bottom w:val="single" w:sz="8" w:color="009BDE"/>
            </w:tcBorders>
          </w:tcPr>
          <w:p>
            <w:pPr>
              <w:spacing w:after="0"/>
              <w:rPr>
                <w:sz w:val="5"/>
                <w:szCs w:val="5"/>
                <w:color w:val="auto"/>
              </w:rPr>
            </w:pPr>
          </w:p>
        </w:tc>
      </w:tr>
      <w:tr>
        <w:trPr>
          <w:trHeight w:val="183"/>
        </w:trPr>
        <w:tc>
          <w:tcPr>
            <w:tcW w:w="1680" w:type="dxa"/>
            <w:vAlign w:val="bottom"/>
          </w:tcPr>
          <w:p>
            <w:pPr>
              <w:ind w:left="60"/>
              <w:spacing w:after="0"/>
              <w:rPr>
                <w:sz w:val="20"/>
                <w:szCs w:val="20"/>
                <w:color w:val="auto"/>
              </w:rPr>
            </w:pPr>
            <w:r>
              <w:rPr>
                <w:rFonts w:ascii="Arial" w:cs="Arial" w:eastAsia="Arial" w:hAnsi="Arial"/>
                <w:sz w:val="11"/>
                <w:szCs w:val="11"/>
                <w:color w:val="auto"/>
              </w:rPr>
              <w:t>ROIC</w:t>
            </w:r>
          </w:p>
        </w:tc>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40" w:type="dxa"/>
            <w:vAlign w:val="bottom"/>
          </w:tcPr>
          <w:p>
            <w:pPr>
              <w:jc w:val="center"/>
              <w:ind w:left="106"/>
              <w:spacing w:after="0"/>
              <w:rPr>
                <w:sz w:val="20"/>
                <w:szCs w:val="20"/>
                <w:color w:val="auto"/>
              </w:rPr>
            </w:pPr>
            <w:r>
              <w:rPr>
                <w:rFonts w:ascii="Arial" w:cs="Arial" w:eastAsia="Arial" w:hAnsi="Arial"/>
                <w:sz w:val="11"/>
                <w:szCs w:val="11"/>
                <w:color w:val="auto"/>
              </w:rPr>
              <w:t>X</w:t>
            </w:r>
          </w:p>
        </w:tc>
      </w:tr>
      <w:tr>
        <w:trPr>
          <w:trHeight w:val="67"/>
        </w:trPr>
        <w:tc>
          <w:tcPr>
            <w:tcW w:w="1680" w:type="dxa"/>
            <w:vAlign w:val="bottom"/>
            <w:tcBorders>
              <w:bottom w:val="single" w:sz="8" w:color="009BDE"/>
            </w:tcBorders>
          </w:tcPr>
          <w:p>
            <w:pPr>
              <w:spacing w:after="0"/>
              <w:rPr>
                <w:sz w:val="5"/>
                <w:szCs w:val="5"/>
                <w:color w:val="auto"/>
              </w:rPr>
            </w:pPr>
          </w:p>
        </w:tc>
        <w:tc>
          <w:tcPr>
            <w:tcW w:w="1620" w:type="dxa"/>
            <w:vAlign w:val="bottom"/>
            <w:tcBorders>
              <w:bottom w:val="single" w:sz="8" w:color="009BDE"/>
            </w:tcBorders>
          </w:tcPr>
          <w:p>
            <w:pPr>
              <w:spacing w:after="0"/>
              <w:rPr>
                <w:sz w:val="5"/>
                <w:szCs w:val="5"/>
                <w:color w:val="auto"/>
              </w:rPr>
            </w:pPr>
          </w:p>
        </w:tc>
        <w:tc>
          <w:tcPr>
            <w:tcW w:w="1620" w:type="dxa"/>
            <w:vAlign w:val="bottom"/>
            <w:tcBorders>
              <w:bottom w:val="single" w:sz="8" w:color="009BDE"/>
            </w:tcBorders>
          </w:tcPr>
          <w:p>
            <w:pPr>
              <w:spacing w:after="0"/>
              <w:rPr>
                <w:sz w:val="5"/>
                <w:szCs w:val="5"/>
                <w:color w:val="auto"/>
              </w:rPr>
            </w:pPr>
          </w:p>
        </w:tc>
        <w:tc>
          <w:tcPr>
            <w:tcW w:w="1840" w:type="dxa"/>
            <w:vAlign w:val="bottom"/>
            <w:tcBorders>
              <w:bottom w:val="single" w:sz="8" w:color="009BDE"/>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3971925" cy="21717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5"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71</w:t>
      </w:r>
    </w:p>
    <w:p>
      <w:pPr>
        <w:sectPr>
          <w:pgSz w:w="11900" w:h="16838" w:orient="portrait"/>
          <w:cols w:equalWidth="0" w:num="1">
            <w:col w:w="10159"/>
          </w:cols>
          <w:pgMar w:left="300" w:top="372" w:right="1440" w:bottom="1440" w:gutter="0" w:footer="0" w:header="0"/>
        </w:sectPr>
      </w:pPr>
    </w:p>
    <w:bookmarkStart w:id="93" w:name="page94"/>
    <w:bookmarkEnd w:id="9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Relationship Between Pay and Financial Performance</w:t>
      </w:r>
    </w:p>
    <w:p>
      <w:pPr>
        <w:spacing w:after="0" w:line="86" w:lineRule="exact"/>
        <w:rPr>
          <w:sz w:val="20"/>
          <w:szCs w:val="20"/>
          <w:color w:val="auto"/>
        </w:rPr>
      </w:pPr>
    </w:p>
    <w:p>
      <w:pPr>
        <w:ind w:left="1980" w:right="939"/>
        <w:spacing w:after="0" w:line="270" w:lineRule="auto"/>
        <w:rPr>
          <w:sz w:val="20"/>
          <w:szCs w:val="20"/>
          <w:color w:val="auto"/>
        </w:rPr>
      </w:pPr>
      <w:r>
        <w:rPr>
          <w:rFonts w:ascii="Arial" w:cs="Arial" w:eastAsia="Arial" w:hAnsi="Arial"/>
          <w:sz w:val="10"/>
          <w:szCs w:val="10"/>
          <w:color w:val="auto"/>
        </w:rPr>
        <w:t>The charts below describe the relationship between compensation actually paid to our CEO and other NEOs (as calculated above) and our financial and stock performance. Generally, compensation actually paid is directionally aligned with the Company’s Revenue and Net income for all years shown. For Cumulative TSR, compensation actually paid is directionally aligned with the exception of 2021 when CEO compensation was above Hasbro’s TSR performance. CEO compensation was, however, aligned with the TSR of Hasbro’s compensation peer group. The significant increase in the CEO compensation for 2021 was due primarily to increased payments to the estate of the former CEO following the untimely passing of our former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91440</wp:posOffset>
            </wp:positionV>
            <wp:extent cx="4063365" cy="245173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406336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72</w:t>
      </w:r>
    </w:p>
    <w:p>
      <w:pPr>
        <w:sectPr>
          <w:pgSz w:w="11900" w:h="16838" w:orient="portrait"/>
          <w:cols w:equalWidth="0" w:num="1">
            <w:col w:w="10159"/>
          </w:cols>
          <w:pgMar w:left="300" w:top="372" w:right="1440" w:bottom="1440" w:gutter="0" w:footer="0" w:header="0"/>
        </w:sectPr>
      </w:pPr>
    </w:p>
    <w:bookmarkStart w:id="94" w:name="page95"/>
    <w:bookmarkEnd w:id="9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135890</wp:posOffset>
            </wp:positionV>
            <wp:extent cx="4069080" cy="459486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4069080" cy="459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7959"/>
        <w:spacing w:after="0"/>
        <w:rPr>
          <w:sz w:val="20"/>
          <w:szCs w:val="20"/>
          <w:color w:val="auto"/>
        </w:rPr>
      </w:pPr>
      <w:r>
        <w:rPr>
          <w:rFonts w:ascii="Arial" w:cs="Arial" w:eastAsia="Arial" w:hAnsi="Arial"/>
          <w:sz w:val="12"/>
          <w:szCs w:val="12"/>
          <w:b w:val="1"/>
          <w:bCs w:val="1"/>
          <w:color w:val="FCFCFC"/>
        </w:rPr>
        <w:t>73</w:t>
      </w:r>
    </w:p>
    <w:p>
      <w:pPr>
        <w:sectPr>
          <w:pgSz w:w="11900" w:h="16838" w:orient="portrait"/>
          <w:cols w:equalWidth="0" w:num="1">
            <w:col w:w="10159"/>
          </w:cols>
          <w:pgMar w:left="300" w:top="372" w:right="1440" w:bottom="1440" w:gutter="0" w:footer="0" w:header="0"/>
        </w:sectPr>
      </w:pPr>
    </w:p>
    <w:bookmarkStart w:id="95" w:name="page96"/>
    <w:bookmarkEnd w:id="9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136525</wp:posOffset>
            </wp:positionV>
            <wp:extent cx="4663440" cy="26860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4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Compensation Committee Interlocks and Insider Participation</w:t>
      </w:r>
    </w:p>
    <w:p>
      <w:pPr>
        <w:spacing w:after="0" w:line="255" w:lineRule="exact"/>
        <w:rPr>
          <w:sz w:val="20"/>
          <w:szCs w:val="20"/>
          <w:color w:val="auto"/>
        </w:rPr>
      </w:pPr>
    </w:p>
    <w:p>
      <w:pPr>
        <w:ind w:left="1980" w:right="879"/>
        <w:spacing w:after="0" w:line="270" w:lineRule="auto"/>
        <w:rPr>
          <w:sz w:val="20"/>
          <w:szCs w:val="20"/>
          <w:color w:val="auto"/>
        </w:rPr>
      </w:pPr>
      <w:r>
        <w:rPr>
          <w:rFonts w:ascii="Arial" w:cs="Arial" w:eastAsia="Arial" w:hAnsi="Arial"/>
          <w:sz w:val="10"/>
          <w:szCs w:val="10"/>
          <w:color w:val="auto"/>
        </w:rPr>
        <w:t>The members of the Committee as of the 2022 fiscal year end were Lisa Gersh (Chair), Kenneth Bronfin, Elizabeth Hamren, Edward Philip and Laurel Richie. None of the members of the Compensation Committee during fiscal 2022 had at any time been an officer or employee of the Company or of any of its subsidiaries. No executive officer of the Company served as a member of the Committee or Board of any other entity which had an executive officer serving as a member of the Company’s Board or the Committee during fiscal 2022. There were no transactions in 2022 between the Company and any member of the Committee for any part of 2022 that would require disclosure under Item 404 of Regulation S-K of the rules and regulations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51435</wp:posOffset>
            </wp:positionV>
            <wp:extent cx="3971925" cy="21717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27"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74</w:t>
      </w:r>
    </w:p>
    <w:p>
      <w:pPr>
        <w:sectPr>
          <w:pgSz w:w="11900" w:h="16838" w:orient="portrait"/>
          <w:cols w:equalWidth="0" w:num="1">
            <w:col w:w="10159"/>
          </w:cols>
          <w:pgMar w:left="300" w:top="372" w:right="1440" w:bottom="1440" w:gutter="0" w:footer="0" w:header="0"/>
        </w:sectPr>
      </w:pPr>
    </w:p>
    <w:bookmarkStart w:id="96" w:name="page97"/>
    <w:bookmarkEnd w:id="9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019"/>
        <w:spacing w:after="0" w:line="245" w:lineRule="auto"/>
        <w:rPr>
          <w:sz w:val="20"/>
          <w:szCs w:val="20"/>
          <w:color w:val="auto"/>
        </w:rPr>
      </w:pPr>
      <w:r>
        <w:rPr>
          <w:rFonts w:ascii="Arial" w:cs="Arial" w:eastAsia="Arial" w:hAnsi="Arial"/>
          <w:sz w:val="22"/>
          <w:szCs w:val="22"/>
          <w:color w:val="0060ED"/>
        </w:rPr>
        <w:t>Shareholder Advisory Vote on Compensation for Named Executive Officers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53340</wp:posOffset>
            </wp:positionV>
            <wp:extent cx="4526280" cy="40005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4526280" cy="400050"/>
                    </a:xfrm>
                    <a:prstGeom prst="rect">
                      <a:avLst/>
                    </a:prstGeom>
                    <a:noFill/>
                  </pic:spPr>
                </pic:pic>
              </a:graphicData>
            </a:graphic>
          </wp:anchor>
        </w:drawing>
      </w:r>
    </w:p>
    <w:p>
      <w:pPr>
        <w:spacing w:after="0" w:line="87" w:lineRule="exact"/>
        <w:rPr>
          <w:sz w:val="20"/>
          <w:szCs w:val="20"/>
          <w:color w:val="auto"/>
        </w:rPr>
      </w:pPr>
    </w:p>
    <w:p>
      <w:pPr>
        <w:ind w:left="2080" w:right="2659"/>
        <w:spacing w:after="0" w:line="263" w:lineRule="auto"/>
        <w:rPr>
          <w:sz w:val="20"/>
          <w:szCs w:val="20"/>
          <w:color w:val="auto"/>
        </w:rPr>
      </w:pPr>
      <w:r>
        <w:rPr>
          <w:rFonts w:ascii="Arial" w:cs="Arial" w:eastAsia="Arial" w:hAnsi="Arial"/>
          <w:sz w:val="14"/>
          <w:szCs w:val="14"/>
          <w:b w:val="1"/>
          <w:bCs w:val="1"/>
          <w:color w:val="009BDE"/>
        </w:rPr>
        <w:t>THE BOARD OF DIRECTORS UNANIMOUSLY RECOMMENDS A VOTE “</w:t>
      </w:r>
      <w:r>
        <w:rPr>
          <w:rFonts w:ascii="Arial" w:cs="Arial" w:eastAsia="Arial" w:hAnsi="Arial"/>
          <w:sz w:val="14"/>
          <w:szCs w:val="14"/>
          <w:b w:val="1"/>
          <w:bCs w:val="1"/>
          <w:u w:val="single" w:color="auto"/>
          <w:color w:val="009BDE"/>
        </w:rPr>
        <w:t>FOR</w:t>
      </w:r>
      <w:r>
        <w:rPr>
          <w:rFonts w:ascii="Arial" w:cs="Arial" w:eastAsia="Arial" w:hAnsi="Arial"/>
          <w:sz w:val="14"/>
          <w:szCs w:val="14"/>
          <w:b w:val="1"/>
          <w:bCs w:val="1"/>
          <w:color w:val="009BDE"/>
        </w:rPr>
        <w:t>” ADVISORY APPROVAL OF THE COMPANY’S COMPENSATION FOR ITS NAMED EXECUTIVE OFFICERS.</w:t>
      </w:r>
    </w:p>
    <w:p>
      <w:pPr>
        <w:spacing w:after="0" w:line="178" w:lineRule="exact"/>
        <w:rPr>
          <w:sz w:val="20"/>
          <w:szCs w:val="20"/>
          <w:color w:val="auto"/>
        </w:rPr>
      </w:pPr>
    </w:p>
    <w:p>
      <w:pPr>
        <w:ind w:left="1980" w:right="999"/>
        <w:spacing w:after="0" w:line="241" w:lineRule="auto"/>
        <w:rPr>
          <w:sz w:val="20"/>
          <w:szCs w:val="20"/>
          <w:color w:val="auto"/>
        </w:rPr>
      </w:pPr>
      <w:r>
        <w:rPr>
          <w:rFonts w:ascii="Arial" w:cs="Arial" w:eastAsia="Arial" w:hAnsi="Arial"/>
          <w:sz w:val="11"/>
          <w:szCs w:val="11"/>
          <w:color w:val="auto"/>
        </w:rPr>
        <w:t>Pursuant to Section 14A of the Securities Exchange Act of 1934, as amended (the “Exchange Act”), we are seeking shareholder approval for the compensation of our Named Executive Officers, as such compensation is described in this Proxy Statement under the headings “Compensation Discussion and Analysis” and “Executive Compensation”. Shareholders are urged to carefully review the “Compensation Discussion and Analysis” and “Executive Compensation” sections of this Proxy Statement.</w:t>
      </w:r>
    </w:p>
    <w:p>
      <w:pPr>
        <w:spacing w:after="0" w:line="9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Shareholders are being asked to vote on the following advisory resolution:</w:t>
      </w:r>
    </w:p>
    <w:p>
      <w:pPr>
        <w:spacing w:after="0" w:line="78" w:lineRule="exact"/>
        <w:rPr>
          <w:sz w:val="20"/>
          <w:szCs w:val="20"/>
          <w:color w:val="auto"/>
        </w:rPr>
      </w:pPr>
    </w:p>
    <w:p>
      <w:pPr>
        <w:jc w:val="both"/>
        <w:ind w:left="2260" w:right="939"/>
        <w:spacing w:after="0" w:line="253" w:lineRule="auto"/>
        <w:rPr>
          <w:sz w:val="20"/>
          <w:szCs w:val="20"/>
          <w:color w:val="auto"/>
        </w:rPr>
      </w:pPr>
      <w:r>
        <w:rPr>
          <w:rFonts w:ascii="Arial" w:cs="Arial" w:eastAsia="Arial" w:hAnsi="Arial"/>
          <w:sz w:val="11"/>
          <w:szCs w:val="11"/>
          <w:b w:val="1"/>
          <w:bCs w:val="1"/>
          <w:color w:val="auto"/>
        </w:rPr>
        <w:t>RESOLVED</w:t>
      </w:r>
      <w:r>
        <w:rPr>
          <w:rFonts w:ascii="Arial" w:cs="Arial" w:eastAsia="Arial" w:hAnsi="Arial"/>
          <w:sz w:val="11"/>
          <w:szCs w:val="11"/>
          <w:color w:val="auto"/>
        </w:rPr>
        <w:t>, that the shareholders of Hasbro, Inc. approve, on an advisory basis, the compensation of the Company’s Named Executive Officers,</w:t>
      </w:r>
      <w:r>
        <w:rPr>
          <w:rFonts w:ascii="Arial" w:cs="Arial" w:eastAsia="Arial" w:hAnsi="Arial"/>
          <w:sz w:val="11"/>
          <w:szCs w:val="11"/>
          <w:b w:val="1"/>
          <w:bCs w:val="1"/>
          <w:color w:val="auto"/>
        </w:rPr>
        <w:t xml:space="preserve"> </w:t>
      </w:r>
      <w:r>
        <w:rPr>
          <w:rFonts w:ascii="Arial" w:cs="Arial" w:eastAsia="Arial" w:hAnsi="Arial"/>
          <w:sz w:val="11"/>
          <w:szCs w:val="11"/>
          <w:color w:val="auto"/>
        </w:rPr>
        <w:t>as such compensation is disclosed pursuant to the rules of the Securities and Exchange Commission in this Proxy Statement under the headings “Compensation Discussion and Analysis” and “Executive Compensation.”</w:t>
      </w:r>
    </w:p>
    <w:p>
      <w:pPr>
        <w:spacing w:after="0" w:line="89" w:lineRule="exact"/>
        <w:rPr>
          <w:sz w:val="20"/>
          <w:szCs w:val="20"/>
          <w:color w:val="auto"/>
        </w:rPr>
      </w:pPr>
    </w:p>
    <w:p>
      <w:pPr>
        <w:ind w:left="1980" w:right="979"/>
        <w:spacing w:after="0"/>
        <w:rPr>
          <w:sz w:val="20"/>
          <w:szCs w:val="20"/>
          <w:color w:val="auto"/>
        </w:rPr>
      </w:pPr>
      <w:r>
        <w:rPr>
          <w:rFonts w:ascii="Arial" w:cs="Arial" w:eastAsia="Arial" w:hAnsi="Arial"/>
          <w:sz w:val="11"/>
          <w:szCs w:val="11"/>
          <w:color w:val="auto"/>
        </w:rPr>
        <w:t>At our 2017 Annual Meeting we recommended to our shareholders that we have an annual advisory vote on the compensation of our Named Executive Officers. The recommendation of having this vote annually was overwhelmingly supported by our shareholders, with 91% of the shares voted on that proposal indicating they supported an annual vote. In keeping with the expressed interests of our shareholders, we are recommending to our shareholders that we continue to have annual advisory votes on the compensation of our Named Executive Officers in Proposal 3 of this Proxy Statement.</w:t>
      </w:r>
    </w:p>
    <w:p>
      <w:pPr>
        <w:spacing w:after="0" w:line="97"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Hasbro has engaged regularly with our shareholders on ESG, compensation and corporate governance matters for years. We do this as part of our commitment to be responsive to shareholders and to ensure that our actions are informed by the viewpoints of you, our investors. The views expressed by our shareholders on our executive compensation programs are carefully considered by the Compensation Committee and the full Board of Directors as they design our compensation programs. Feedback from our investors is taken into account by our Committee in structuring our executive compensation program. At our 2020, 2021 and 2022 Annual Meetings approximately 94.6%, 81.3% and 88.0%, respectively, of the shares voting approved the compensation of our Named Executive Officers. Our average favorable approval of our Say-on-Pay votes over the past five years has been 91.5%.</w:t>
      </w:r>
    </w:p>
    <w:p>
      <w:pPr>
        <w:spacing w:after="0" w:line="87" w:lineRule="exact"/>
        <w:rPr>
          <w:sz w:val="20"/>
          <w:szCs w:val="20"/>
          <w:color w:val="auto"/>
        </w:rPr>
      </w:pPr>
    </w:p>
    <w:p>
      <w:pPr>
        <w:ind w:left="1980" w:right="879"/>
        <w:spacing w:after="0" w:line="267" w:lineRule="auto"/>
        <w:rPr>
          <w:sz w:val="20"/>
          <w:szCs w:val="20"/>
          <w:color w:val="auto"/>
        </w:rPr>
      </w:pPr>
      <w:r>
        <w:rPr>
          <w:rFonts w:ascii="Arial" w:cs="Arial" w:eastAsia="Arial" w:hAnsi="Arial"/>
          <w:sz w:val="10"/>
          <w:szCs w:val="10"/>
          <w:color w:val="auto"/>
        </w:rPr>
        <w:t>We have designed our compensation programs for our Named Executive Officers in the way we believe enables the Company to attract and retain top executive talent, maximizes the performance of those executives in furthering the objectives of the Company, aligns our realized executive compensation with the Company’s performance in meeting its financial and strategic objectives and with the delivery of total shareholder return, and promotes the creation of long-term shareholder value, all while containing the cost of the executive compensation program to a level the Compensation Committee believes is reasonable and appropriate. To further these objectives, the vast majority of the compensation opportunity for our Named Executive Officers is tied to achievement of Company and/or business unit performance targets which are based upon the Board-approved operating and strategic plans and/or to increases in the value of our stock. We design our executive compensation program in the way we believe best promotes the interests of you, our shareholders, and we are committed to being responsive to the views of our shareholders on our compensation programs and governance practices.</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Approval</w:t>
      </w:r>
    </w:p>
    <w:p>
      <w:pPr>
        <w:spacing w:after="0" w:line="111" w:lineRule="exact"/>
        <w:rPr>
          <w:sz w:val="20"/>
          <w:szCs w:val="20"/>
          <w:color w:val="auto"/>
        </w:rPr>
      </w:pPr>
    </w:p>
    <w:p>
      <w:pPr>
        <w:jc w:val="both"/>
        <w:ind w:left="1980" w:right="999"/>
        <w:spacing w:after="0" w:line="242" w:lineRule="auto"/>
        <w:rPr>
          <w:sz w:val="20"/>
          <w:szCs w:val="20"/>
          <w:color w:val="auto"/>
        </w:rPr>
      </w:pPr>
      <w:r>
        <w:rPr>
          <w:rFonts w:ascii="Arial" w:cs="Arial" w:eastAsia="Arial" w:hAnsi="Arial"/>
          <w:sz w:val="11"/>
          <w:szCs w:val="11"/>
          <w:color w:val="auto"/>
        </w:rPr>
        <w:t>Although the vote is non-binding, the Board of Directors and Compensation Committee of the Company will carefully consider the results of this vote in connection with their ongoing evaluation, and establishment, of the Company’s compensation arrangements and programs for the Company’s Named Executive Officers.</w:t>
      </w:r>
    </w:p>
    <w:p>
      <w:pPr>
        <w:spacing w:after="0" w:line="94" w:lineRule="exact"/>
        <w:rPr>
          <w:sz w:val="20"/>
          <w:szCs w:val="20"/>
          <w:color w:val="auto"/>
        </w:rPr>
      </w:pPr>
    </w:p>
    <w:p>
      <w:pPr>
        <w:ind w:left="1980" w:right="1119"/>
        <w:spacing w:after="0" w:line="273" w:lineRule="auto"/>
        <w:rPr>
          <w:sz w:val="20"/>
          <w:szCs w:val="20"/>
          <w:color w:val="auto"/>
        </w:rPr>
      </w:pPr>
      <w:r>
        <w:rPr>
          <w:rFonts w:ascii="Arial" w:cs="Arial" w:eastAsia="Arial" w:hAnsi="Arial"/>
          <w:sz w:val="10"/>
          <w:szCs w:val="10"/>
          <w:color w:val="auto"/>
        </w:rPr>
        <w:t>The affirmative vote of a majority of the shares of Common Stock present (in person or by proxy) and entitled to vote at the Annual Meeting on this shareholder advisory vote is required for approval of the resolution. Abstentions are considered shares entitled to vote on the proposal, and as such, abstentions are the equivalent of a vote against the proposal. In contrast, broker non-votes are not counted as present and entitled to vote on the proposal for purposes of determining if the proposal receives an affirmative vote of a majority of the shares present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49530</wp:posOffset>
            </wp:positionV>
            <wp:extent cx="3971925" cy="21717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16"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75</w:t>
      </w:r>
    </w:p>
    <w:p>
      <w:pPr>
        <w:sectPr>
          <w:pgSz w:w="11900" w:h="16838" w:orient="portrait"/>
          <w:cols w:equalWidth="0" w:num="1">
            <w:col w:w="10159"/>
          </w:cols>
          <w:pgMar w:left="300" w:top="372" w:right="1440" w:bottom="1440" w:gutter="0" w:footer="0" w:header="0"/>
        </w:sectPr>
      </w:pPr>
    </w:p>
    <w:bookmarkStart w:id="97" w:name="page98"/>
    <w:bookmarkEnd w:id="9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039"/>
        <w:spacing w:after="0" w:line="245" w:lineRule="auto"/>
        <w:rPr>
          <w:sz w:val="20"/>
          <w:szCs w:val="20"/>
          <w:color w:val="auto"/>
        </w:rPr>
      </w:pPr>
      <w:r>
        <w:rPr>
          <w:rFonts w:ascii="Arial" w:cs="Arial" w:eastAsia="Arial" w:hAnsi="Arial"/>
          <w:sz w:val="22"/>
          <w:szCs w:val="22"/>
          <w:color w:val="0060ED"/>
        </w:rPr>
        <w:t>Shareholder Advisory Vote on the Frequency of the Vote on Compensation for Named Executive Officers (Proposal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53340</wp:posOffset>
            </wp:positionV>
            <wp:extent cx="4526280" cy="6057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4526280" cy="605790"/>
                    </a:xfrm>
                    <a:prstGeom prst="rect">
                      <a:avLst/>
                    </a:prstGeom>
                    <a:noFill/>
                  </pic:spPr>
                </pic:pic>
              </a:graphicData>
            </a:graphic>
          </wp:anchor>
        </w:drawing>
      </w:r>
    </w:p>
    <w:p>
      <w:pPr>
        <w:spacing w:after="0" w:line="87" w:lineRule="exact"/>
        <w:rPr>
          <w:sz w:val="20"/>
          <w:szCs w:val="20"/>
          <w:color w:val="auto"/>
        </w:rPr>
      </w:pPr>
    </w:p>
    <w:p>
      <w:pPr>
        <w:ind w:left="2080" w:right="2479"/>
        <w:spacing w:after="0" w:line="252" w:lineRule="auto"/>
        <w:rPr>
          <w:sz w:val="20"/>
          <w:szCs w:val="20"/>
          <w:color w:val="auto"/>
        </w:rPr>
      </w:pPr>
      <w:r>
        <w:rPr>
          <w:rFonts w:ascii="Arial" w:cs="Arial" w:eastAsia="Arial" w:hAnsi="Arial"/>
          <w:sz w:val="14"/>
          <w:szCs w:val="14"/>
          <w:b w:val="1"/>
          <w:bCs w:val="1"/>
          <w:color w:val="009BDE"/>
        </w:rPr>
        <w:t>THE BOARD OF DIRECTORS UNANIMOUSLY RECOMMENDS THAT SHAREHOLDERS VOTE “</w:t>
      </w:r>
      <w:r>
        <w:rPr>
          <w:rFonts w:ascii="Arial" w:cs="Arial" w:eastAsia="Arial" w:hAnsi="Arial"/>
          <w:sz w:val="14"/>
          <w:szCs w:val="14"/>
          <w:b w:val="1"/>
          <w:bCs w:val="1"/>
          <w:u w:val="single" w:color="auto"/>
          <w:color w:val="009BDE"/>
        </w:rPr>
        <w:t>FOR</w:t>
      </w:r>
      <w:r>
        <w:rPr>
          <w:rFonts w:ascii="Arial" w:cs="Arial" w:eastAsia="Arial" w:hAnsi="Arial"/>
          <w:sz w:val="14"/>
          <w:szCs w:val="14"/>
          <w:b w:val="1"/>
          <w:bCs w:val="1"/>
          <w:color w:val="009BDE"/>
        </w:rPr>
        <w:t>” THE ONE (1) YEAR OPTION (MEANING ADVISORY VOTES WOULD BE HELD EVERY YEAR) AS TO THE FREQUENCY OF AN ADVISORY VOTE ON THE COMPANY’S COMPENSATION FOR ITS NAMED EXECUTIVE OFFICERS.</w:t>
      </w:r>
    </w:p>
    <w:p>
      <w:pPr>
        <w:spacing w:after="0" w:line="186" w:lineRule="exact"/>
        <w:rPr>
          <w:sz w:val="20"/>
          <w:szCs w:val="20"/>
          <w:color w:val="auto"/>
        </w:rPr>
      </w:pPr>
    </w:p>
    <w:p>
      <w:pPr>
        <w:ind w:left="1980" w:right="839"/>
        <w:spacing w:after="0"/>
        <w:rPr>
          <w:sz w:val="20"/>
          <w:szCs w:val="20"/>
          <w:color w:val="auto"/>
        </w:rPr>
      </w:pPr>
      <w:r>
        <w:rPr>
          <w:rFonts w:ascii="Arial" w:cs="Arial" w:eastAsia="Arial" w:hAnsi="Arial"/>
          <w:sz w:val="11"/>
          <w:szCs w:val="11"/>
          <w:color w:val="auto"/>
        </w:rPr>
        <w:t>Pursuant to Section 14A of the Exchange Act, the Board is asking shareholders to submit a non-binding, advisory vote to express whether they prefer that shareholder advisory votes on the compensation of our Named Executive Officers, such as the one set forth above under Proposal No. 2, be held every one, two or three years. Shareholders will be able to mark the proxy card or voting instruction card for the Meeting to indicate whether they want the Company to hold these say-on-pay advisory votes every one, two or three years, in response to the resolution set forth below. Alternatively, shareholders may indicate that they are abstaining from voting.</w:t>
      </w:r>
    </w:p>
    <w:p>
      <w:pPr>
        <w:spacing w:after="0" w:line="97"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Shareholders are being asked to vote on the following advisory resolution:</w:t>
      </w:r>
    </w:p>
    <w:p>
      <w:pPr>
        <w:spacing w:after="0" w:line="78" w:lineRule="exact"/>
        <w:rPr>
          <w:sz w:val="20"/>
          <w:szCs w:val="20"/>
          <w:color w:val="auto"/>
        </w:rPr>
      </w:pPr>
    </w:p>
    <w:p>
      <w:pPr>
        <w:jc w:val="both"/>
        <w:ind w:left="2260" w:right="939"/>
        <w:spacing w:after="0" w:line="253" w:lineRule="auto"/>
        <w:rPr>
          <w:sz w:val="20"/>
          <w:szCs w:val="20"/>
          <w:color w:val="auto"/>
        </w:rPr>
      </w:pPr>
      <w:r>
        <w:rPr>
          <w:rFonts w:ascii="Arial" w:cs="Arial" w:eastAsia="Arial" w:hAnsi="Arial"/>
          <w:sz w:val="11"/>
          <w:szCs w:val="11"/>
          <w:b w:val="1"/>
          <w:bCs w:val="1"/>
          <w:color w:val="auto"/>
        </w:rPr>
        <w:t>RESOLVED</w:t>
      </w:r>
      <w:r>
        <w:rPr>
          <w:rFonts w:ascii="Arial" w:cs="Arial" w:eastAsia="Arial" w:hAnsi="Arial"/>
          <w:sz w:val="11"/>
          <w:szCs w:val="11"/>
          <w:color w:val="auto"/>
        </w:rPr>
        <w:t>, that the shareholders of Hasbro, Inc. advise that an advisory resolution with respect to approval of the Company’s compensation for</w:t>
      </w:r>
      <w:r>
        <w:rPr>
          <w:rFonts w:ascii="Arial" w:cs="Arial" w:eastAsia="Arial" w:hAnsi="Arial"/>
          <w:sz w:val="11"/>
          <w:szCs w:val="11"/>
          <w:b w:val="1"/>
          <w:bCs w:val="1"/>
          <w:color w:val="auto"/>
        </w:rPr>
        <w:t xml:space="preserve"> </w:t>
      </w:r>
      <w:r>
        <w:rPr>
          <w:rFonts w:ascii="Arial" w:cs="Arial" w:eastAsia="Arial" w:hAnsi="Arial"/>
          <w:sz w:val="11"/>
          <w:szCs w:val="11"/>
          <w:color w:val="auto"/>
        </w:rPr>
        <w:t>its Named Executive Officers be proposed every one, two or three years, as is reflected on the shareholders’ votes of each of these alternatives in connection with this resolution.</w:t>
      </w:r>
    </w:p>
    <w:p>
      <w:pPr>
        <w:spacing w:after="0" w:line="89" w:lineRule="exact"/>
        <w:rPr>
          <w:sz w:val="20"/>
          <w:szCs w:val="20"/>
          <w:color w:val="auto"/>
        </w:rPr>
      </w:pPr>
    </w:p>
    <w:p>
      <w:pPr>
        <w:ind w:left="1980" w:right="1099"/>
        <w:spacing w:after="0" w:line="242" w:lineRule="auto"/>
        <w:rPr>
          <w:sz w:val="20"/>
          <w:szCs w:val="20"/>
          <w:color w:val="auto"/>
        </w:rPr>
      </w:pPr>
      <w:r>
        <w:rPr>
          <w:rFonts w:ascii="Arial" w:cs="Arial" w:eastAsia="Arial" w:hAnsi="Arial"/>
          <w:sz w:val="11"/>
          <w:szCs w:val="11"/>
          <w:color w:val="auto"/>
        </w:rPr>
        <w:t>In voting on this resolution, you should mark your proxy for one (1) year, two (2) years or three (3) years based on your preference for how frequently (being every one, two or three years) an advisory vote on executive compensation should be held. If you have no preference you may abstain from voting.</w:t>
      </w:r>
    </w:p>
    <w:p>
      <w:pPr>
        <w:spacing w:after="0" w:line="94" w:lineRule="exact"/>
        <w:rPr>
          <w:sz w:val="20"/>
          <w:szCs w:val="20"/>
          <w:color w:val="auto"/>
        </w:rPr>
      </w:pPr>
    </w:p>
    <w:p>
      <w:pPr>
        <w:ind w:left="1980" w:right="939"/>
        <w:spacing w:after="0"/>
        <w:rPr>
          <w:sz w:val="20"/>
          <w:szCs w:val="20"/>
          <w:color w:val="auto"/>
        </w:rPr>
      </w:pPr>
      <w:r>
        <w:rPr>
          <w:rFonts w:ascii="Arial" w:cs="Arial" w:eastAsia="Arial" w:hAnsi="Arial"/>
          <w:sz w:val="11"/>
          <w:szCs w:val="11"/>
          <w:color w:val="auto"/>
        </w:rPr>
        <w:t>In the Company’s opinion, the optimal frequency of the advisory vote on executive compensation depends on a balancing of the benefits and burdens of more or less frequent votes. Some people believe less frequent votes are best as they enable shareholders to focus on the Company’s overall compensation program design, as opposed to short-term decisions, and allow for a window of time sufficient to determine how well the compensation program design drives the Company’s performance over the longer-term and the creation of longer-term shareholder value. These less frequent votes also avoid the burden that annual votes impose on shareholders and prevent distraction to the Company from trying to react to short-term impacts to its compensation programs.</w:t>
      </w:r>
    </w:p>
    <w:p>
      <w:pPr>
        <w:spacing w:after="0" w:line="87" w:lineRule="exact"/>
        <w:rPr>
          <w:sz w:val="20"/>
          <w:szCs w:val="20"/>
          <w:color w:val="auto"/>
        </w:rPr>
      </w:pPr>
    </w:p>
    <w:p>
      <w:pPr>
        <w:ind w:left="1980" w:right="879"/>
        <w:spacing w:after="0" w:line="273" w:lineRule="auto"/>
        <w:rPr>
          <w:sz w:val="20"/>
          <w:szCs w:val="20"/>
          <w:color w:val="auto"/>
        </w:rPr>
      </w:pPr>
      <w:r>
        <w:rPr>
          <w:rFonts w:ascii="Arial" w:cs="Arial" w:eastAsia="Arial" w:hAnsi="Arial"/>
          <w:sz w:val="10"/>
          <w:szCs w:val="10"/>
          <w:color w:val="auto"/>
        </w:rPr>
        <w:t>Others believe more frequent shareholder votes are optimal as they provide shareholders with the opportunity to react promptly to emerging trends in compensation and to provide rapid feedback to the Company with respect to their views on the effectiveness and appropriateness of the Company’s executive compensation programs. This provides the Board and the Compensation Committee with the opportunity to evaluate individual compensation decisions each year in light of the shareholder feedback and to better incorporate current shareholder views into the Company’s compensation programs.</w:t>
      </w:r>
    </w:p>
    <w:p>
      <w:pPr>
        <w:spacing w:after="0" w:line="80" w:lineRule="exact"/>
        <w:rPr>
          <w:sz w:val="20"/>
          <w:szCs w:val="20"/>
          <w:color w:val="auto"/>
        </w:rPr>
      </w:pPr>
    </w:p>
    <w:p>
      <w:pPr>
        <w:ind w:left="1980" w:right="939"/>
        <w:spacing w:after="0" w:line="270" w:lineRule="auto"/>
        <w:rPr>
          <w:sz w:val="20"/>
          <w:szCs w:val="20"/>
          <w:color w:val="auto"/>
        </w:rPr>
      </w:pPr>
      <w:r>
        <w:rPr>
          <w:rFonts w:ascii="Arial" w:cs="Arial" w:eastAsia="Arial" w:hAnsi="Arial"/>
          <w:sz w:val="10"/>
          <w:szCs w:val="10"/>
          <w:color w:val="auto"/>
        </w:rPr>
        <w:t>Based on the shareholders votes in 2011 and 2017, as well as our Board’s view, the Board believes that the most appropriate outcome at this time is to continue to have an annual (every year) shareholder advisory vote on the compensation of our Named Executive Officers, as the Company has done since 2011. We believe an annual vote best enables the Board and the Compensation Committee to understand and incorporate the views of the shareholders in structuring the Company’s executive compensation programs. As time progresses the Board may alter this view, but currently the Board is interested in obtaining more frequent feedback from shareholders to assist in evaluating and structuring the Company’s compensation programs.</w:t>
      </w:r>
    </w:p>
    <w:p>
      <w:pPr>
        <w:spacing w:after="0" w:line="82" w:lineRule="exact"/>
        <w:rPr>
          <w:sz w:val="20"/>
          <w:szCs w:val="20"/>
          <w:color w:val="auto"/>
        </w:rPr>
      </w:pPr>
    </w:p>
    <w:p>
      <w:pPr>
        <w:ind w:left="1980" w:right="879"/>
        <w:spacing w:after="0" w:line="241" w:lineRule="auto"/>
        <w:rPr>
          <w:sz w:val="20"/>
          <w:szCs w:val="20"/>
          <w:color w:val="auto"/>
        </w:rPr>
      </w:pPr>
      <w:r>
        <w:rPr>
          <w:rFonts w:ascii="Arial" w:cs="Arial" w:eastAsia="Arial" w:hAnsi="Arial"/>
          <w:sz w:val="11"/>
          <w:szCs w:val="11"/>
          <w:color w:val="auto"/>
        </w:rPr>
        <w:t>In 2017 we last asked shareholders how frequently they wanted to have an advisory votes on the compensation of our Named Executive Officers and we recommended an annual advisory vote. At that annual meeting as well our annual meeting in 2011, our shareholders overwhelmingly expressed the desire to have an annual vote. In recognition of that, we have submitted a vote on the compensation of our Named Executive Officers to the shareholders on an annual basis since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3971925" cy="21717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76</w:t>
      </w:r>
    </w:p>
    <w:p>
      <w:pPr>
        <w:sectPr>
          <w:pgSz w:w="11900" w:h="16838" w:orient="portrait"/>
          <w:cols w:equalWidth="0" w:num="1">
            <w:col w:w="10159"/>
          </w:cols>
          <w:pgMar w:left="300" w:top="372" w:right="1440" w:bottom="1440" w:gutter="0" w:footer="0" w:header="0"/>
        </w:sectPr>
      </w:pPr>
    </w:p>
    <w:bookmarkStart w:id="98" w:name="page99"/>
    <w:bookmarkEnd w:id="9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Approval</w:t>
      </w:r>
    </w:p>
    <w:p>
      <w:pPr>
        <w:spacing w:after="0" w:line="84" w:lineRule="exact"/>
        <w:rPr>
          <w:sz w:val="20"/>
          <w:szCs w:val="20"/>
          <w:color w:val="auto"/>
        </w:rPr>
      </w:pPr>
    </w:p>
    <w:p>
      <w:pPr>
        <w:ind w:left="1980" w:right="899"/>
        <w:spacing w:after="0" w:line="242" w:lineRule="auto"/>
        <w:rPr>
          <w:sz w:val="20"/>
          <w:szCs w:val="20"/>
          <w:color w:val="auto"/>
        </w:rPr>
      </w:pPr>
      <w:r>
        <w:rPr>
          <w:rFonts w:ascii="Arial" w:cs="Arial" w:eastAsia="Arial" w:hAnsi="Arial"/>
          <w:sz w:val="11"/>
          <w:szCs w:val="11"/>
          <w:color w:val="auto"/>
        </w:rPr>
        <w:t>Although the vote on the desired frequency of shareholder votes on executive compensation is non-binding, the Board of Directors and Compensation Committee of the Company will carefully consider the results of this vote in connection with their ongoing evaluation, and establishment, of the frequency with which the Company seeks an advisory shareholder vote on executive compensation.</w:t>
      </w:r>
    </w:p>
    <w:p>
      <w:pPr>
        <w:spacing w:after="0" w:line="94" w:lineRule="exact"/>
        <w:rPr>
          <w:sz w:val="20"/>
          <w:szCs w:val="20"/>
          <w:color w:val="auto"/>
        </w:rPr>
      </w:pPr>
    </w:p>
    <w:p>
      <w:pPr>
        <w:ind w:left="1980" w:right="899"/>
        <w:spacing w:after="0" w:line="273" w:lineRule="auto"/>
        <w:rPr>
          <w:sz w:val="20"/>
          <w:szCs w:val="20"/>
          <w:color w:val="auto"/>
        </w:rPr>
      </w:pPr>
      <w:r>
        <w:rPr>
          <w:rFonts w:ascii="Arial" w:cs="Arial" w:eastAsia="Arial" w:hAnsi="Arial"/>
          <w:sz w:val="10"/>
          <w:szCs w:val="10"/>
          <w:color w:val="auto"/>
        </w:rPr>
        <w:t>The affirmative vote of a majority of the shares of Common Stock present (in person or by proxy) and entitled to vote at the Meeting on this shareholder advisory vote is required for approval of a desired frequency under the resolution. Abstentions are considered shares entitled to vote on the proposal and as such abstentions are the equivalent of a vote against the proposed frequencies. In contrast, broker non-votes are not counted as present and entitled to vote on the proposal for purposes of determining if the proposal receives an affirmative vote of a majority of the shares present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49530</wp:posOffset>
            </wp:positionV>
            <wp:extent cx="3971925" cy="21717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16"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77</w:t>
      </w:r>
    </w:p>
    <w:p>
      <w:pPr>
        <w:sectPr>
          <w:pgSz w:w="11900" w:h="16838" w:orient="portrait"/>
          <w:cols w:equalWidth="0" w:num="1">
            <w:col w:w="10159"/>
          </w:cols>
          <w:pgMar w:left="300" w:top="372" w:right="1440" w:bottom="1440" w:gutter="0" w:footer="0" w:header="0"/>
        </w:sectPr>
      </w:pPr>
    </w:p>
    <w:bookmarkStart w:id="99" w:name="page100"/>
    <w:bookmarkEnd w:id="9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299"/>
        <w:spacing w:after="0" w:line="245" w:lineRule="auto"/>
        <w:rPr>
          <w:sz w:val="20"/>
          <w:szCs w:val="20"/>
          <w:color w:val="auto"/>
        </w:rPr>
      </w:pPr>
      <w:r>
        <w:rPr>
          <w:rFonts w:ascii="Arial" w:cs="Arial" w:eastAsia="Arial" w:hAnsi="Arial"/>
          <w:sz w:val="22"/>
          <w:szCs w:val="22"/>
          <w:color w:val="0060ED"/>
        </w:rPr>
        <w:t>Proposal to Approve Amendments to the Restated 2003 Stock Incentive Performance Plan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53340</wp:posOffset>
            </wp:positionV>
            <wp:extent cx="4526280" cy="29718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4526280" cy="297180"/>
                    </a:xfrm>
                    <a:prstGeom prst="rect">
                      <a:avLst/>
                    </a:prstGeom>
                    <a:noFill/>
                  </pic:spPr>
                </pic:pic>
              </a:graphicData>
            </a:graphic>
          </wp:anchor>
        </w:drawing>
      </w:r>
    </w:p>
    <w:p>
      <w:pPr>
        <w:spacing w:after="0" w:line="87" w:lineRule="exact"/>
        <w:rPr>
          <w:sz w:val="20"/>
          <w:szCs w:val="20"/>
          <w:color w:val="auto"/>
        </w:rPr>
      </w:pPr>
    </w:p>
    <w:p>
      <w:pPr>
        <w:ind w:left="2080" w:right="2839"/>
        <w:spacing w:after="0" w:line="285" w:lineRule="auto"/>
        <w:rPr>
          <w:sz w:val="20"/>
          <w:szCs w:val="20"/>
          <w:color w:val="auto"/>
        </w:rPr>
      </w:pPr>
      <w:r>
        <w:rPr>
          <w:rFonts w:ascii="Arial" w:cs="Arial" w:eastAsia="Arial" w:hAnsi="Arial"/>
          <w:sz w:val="14"/>
          <w:szCs w:val="14"/>
          <w:b w:val="1"/>
          <w:bCs w:val="1"/>
          <w:color w:val="009BDE"/>
        </w:rPr>
        <w:t>THE BOARD OF DIRECTORS UNANIMOUSLY RECOMMENDS A VOTE “</w:t>
      </w:r>
      <w:r>
        <w:rPr>
          <w:rFonts w:ascii="Arial" w:cs="Arial" w:eastAsia="Arial" w:hAnsi="Arial"/>
          <w:sz w:val="14"/>
          <w:szCs w:val="14"/>
          <w:b w:val="1"/>
          <w:bCs w:val="1"/>
          <w:u w:val="single" w:color="auto"/>
          <w:color w:val="009BDE"/>
        </w:rPr>
        <w:t>FOR</w:t>
      </w:r>
      <w:r>
        <w:rPr>
          <w:rFonts w:ascii="Arial" w:cs="Arial" w:eastAsia="Arial" w:hAnsi="Arial"/>
          <w:sz w:val="14"/>
          <w:szCs w:val="14"/>
          <w:b w:val="1"/>
          <w:bCs w:val="1"/>
          <w:color w:val="009BDE"/>
        </w:rPr>
        <w:t>” APPROVAL OF THE AMENDMENTS TO THE 2003 PLAN.</w:t>
      </w:r>
    </w:p>
    <w:p>
      <w:pPr>
        <w:spacing w:after="0" w:line="163" w:lineRule="exact"/>
        <w:rPr>
          <w:sz w:val="20"/>
          <w:szCs w:val="20"/>
          <w:color w:val="auto"/>
        </w:rPr>
      </w:pPr>
    </w:p>
    <w:p>
      <w:pPr>
        <w:ind w:left="1980" w:right="859"/>
        <w:spacing w:after="0"/>
        <w:rPr>
          <w:sz w:val="20"/>
          <w:szCs w:val="20"/>
          <w:color w:val="auto"/>
        </w:rPr>
      </w:pPr>
      <w:r>
        <w:rPr>
          <w:rFonts w:ascii="Arial" w:cs="Arial" w:eastAsia="Arial" w:hAnsi="Arial"/>
          <w:sz w:val="11"/>
          <w:szCs w:val="11"/>
          <w:color w:val="auto"/>
        </w:rPr>
        <w:t xml:space="preserve">In March 2023, upon the recommendation of the Compensation Committee of the Board, the Board of Directors adopted, subject to shareholder approval, the Third Amendment (the “Third Amendment”) to the Company’s Restated 2003 Stock Incentive Performance Plan, as amended (the “2003 Plan”). A copy of the Third Amendment is attached to this Proxy Statement as </w:t>
      </w:r>
      <w:r>
        <w:rPr>
          <w:rFonts w:ascii="Arial" w:cs="Arial" w:eastAsia="Arial" w:hAnsi="Arial"/>
          <w:sz w:val="11"/>
          <w:szCs w:val="11"/>
          <w:i w:val="1"/>
          <w:iCs w:val="1"/>
          <w:u w:val="single" w:color="auto"/>
          <w:color w:val="auto"/>
        </w:rPr>
        <w:t>Appendix</w:t>
      </w:r>
      <w:r>
        <w:rPr>
          <w:rFonts w:ascii="Arial" w:cs="Arial" w:eastAsia="Arial" w:hAnsi="Arial"/>
          <w:sz w:val="11"/>
          <w:szCs w:val="11"/>
          <w:color w:val="auto"/>
        </w:rPr>
        <w:t xml:space="preserve"> </w:t>
      </w:r>
      <w:r>
        <w:rPr>
          <w:rFonts w:ascii="Arial" w:cs="Arial" w:eastAsia="Arial" w:hAnsi="Arial"/>
          <w:sz w:val="11"/>
          <w:szCs w:val="11"/>
          <w:u w:val="single" w:color="auto"/>
          <w:color w:val="auto"/>
        </w:rPr>
        <w:t>C</w:t>
      </w:r>
      <w:r>
        <w:rPr>
          <w:rFonts w:ascii="Arial" w:cs="Arial" w:eastAsia="Arial" w:hAnsi="Arial"/>
          <w:sz w:val="11"/>
          <w:szCs w:val="11"/>
          <w:color w:val="auto"/>
        </w:rPr>
        <w:t>. The Board further directed that the Third Amendment be submitted to the shareholders of the Company for their consideration at the Annual Meeting and the Board recommends that shareholders approve the Third Amendment.</w:t>
      </w:r>
    </w:p>
    <w:p>
      <w:pPr>
        <w:spacing w:after="0" w:line="97" w:lineRule="exact"/>
        <w:rPr>
          <w:sz w:val="20"/>
          <w:szCs w:val="20"/>
          <w:color w:val="auto"/>
        </w:rPr>
      </w:pPr>
    </w:p>
    <w:p>
      <w:pPr>
        <w:jc w:val="both"/>
        <w:ind w:left="1980" w:right="899"/>
        <w:spacing w:after="0" w:line="242" w:lineRule="auto"/>
        <w:rPr>
          <w:sz w:val="20"/>
          <w:szCs w:val="20"/>
          <w:color w:val="auto"/>
        </w:rPr>
      </w:pPr>
      <w:r>
        <w:rPr>
          <w:rFonts w:ascii="Arial" w:cs="Arial" w:eastAsia="Arial" w:hAnsi="Arial"/>
          <w:sz w:val="11"/>
          <w:szCs w:val="11"/>
          <w:color w:val="auto"/>
        </w:rPr>
        <w:t>Specifically, you are being asked to approve amendments to the 2003 Plan to increase the number of shares available for issuance under the 2003 Plan by 1,100,000 shares and extend the term of the 2003 Plan to December 31, 2028 (collectively, the “Amendments”). If the Amendments are not approved, the Company will not have any plan in place allowing for equity grants after December 31, 2025.</w:t>
      </w:r>
    </w:p>
    <w:p>
      <w:pPr>
        <w:spacing w:after="0" w:line="85"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Our Board believes that it is critical that the shareholders approve the Third Amendment, so that the Company will continue to have the ability to grant equity awards under the 2003 Plan to attract and retain key officers, employees and directors, and to utilize awards under the 2003 Plan to provide variable performance-based compensation that aligns the interests of those persons with shareholders and appropriately rewards those persons for contributing to the success of the Company and the delivery of strong performance to you, the Company’s owners. This is particularly important as the Company continues its transformation efforts and executes on its Blueprint 2.0 strategy. It is possible that the Company will need to seek authorization for additional shares at annual meetings in the near term as we evolve as a company and seek to incentivize new and existing talent necessary to fill leadership roles in a competitive employment environment.</w:t>
      </w:r>
    </w:p>
    <w:p>
      <w:pPr>
        <w:spacing w:after="0" w:line="96" w:lineRule="exact"/>
        <w:rPr>
          <w:sz w:val="20"/>
          <w:szCs w:val="20"/>
          <w:color w:val="auto"/>
        </w:rPr>
      </w:pPr>
    </w:p>
    <w:p>
      <w:pPr>
        <w:ind w:left="1980" w:right="859"/>
        <w:spacing w:after="0" w:line="241" w:lineRule="auto"/>
        <w:rPr>
          <w:sz w:val="20"/>
          <w:szCs w:val="20"/>
          <w:color w:val="auto"/>
        </w:rPr>
      </w:pPr>
      <w:r>
        <w:rPr>
          <w:rFonts w:ascii="Arial" w:cs="Arial" w:eastAsia="Arial" w:hAnsi="Arial"/>
          <w:sz w:val="11"/>
          <w:szCs w:val="11"/>
          <w:color w:val="auto"/>
        </w:rPr>
        <w:t>Our Board unanimously recommends that the shareholders approve the Amendments to the 2003 Plan because it believes that providing equity incentives and a proprietary interest in the growth and performance of the Company to key personnel will advance the interests of the Company by further aligning the interests of award recipients with those of shareholders, and by tying the realization of key compensation elements for individuals who contribute significantly to the Company’s performance with the performance of the Company and increases in the value of the Company’s stock.</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Summary of Proposed Amendments</w:t>
      </w:r>
    </w:p>
    <w:p>
      <w:pPr>
        <w:spacing w:after="0" w:line="8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Amendments make the following changes to the 2003 Plan:</w:t>
      </w:r>
    </w:p>
    <w:p>
      <w:pPr>
        <w:spacing w:after="0" w:line="71" w:lineRule="exact"/>
        <w:rPr>
          <w:sz w:val="20"/>
          <w:szCs w:val="20"/>
          <w:color w:val="auto"/>
        </w:rPr>
      </w:pPr>
    </w:p>
    <w:p>
      <w:pPr>
        <w:ind w:left="2120" w:right="1359" w:hanging="148"/>
        <w:spacing w:after="0" w:line="264" w:lineRule="auto"/>
        <w:tabs>
          <w:tab w:leader="none" w:pos="2120" w:val="left"/>
        </w:tabs>
        <w:numPr>
          <w:ilvl w:val="0"/>
          <w:numId w:val="63"/>
        </w:numPr>
        <w:rPr>
          <w:rFonts w:ascii="Arial" w:cs="Arial" w:eastAsia="Arial" w:hAnsi="Arial"/>
          <w:sz w:val="11"/>
          <w:szCs w:val="11"/>
          <w:color w:val="auto"/>
        </w:rPr>
      </w:pPr>
      <w:r>
        <w:rPr>
          <w:rFonts w:ascii="Arial" w:cs="Arial" w:eastAsia="Arial" w:hAnsi="Arial"/>
          <w:sz w:val="11"/>
          <w:szCs w:val="11"/>
          <w:i w:val="1"/>
          <w:iCs w:val="1"/>
          <w:color w:val="auto"/>
        </w:rPr>
        <w:t>Extend the Term</w:t>
      </w:r>
      <w:r>
        <w:rPr>
          <w:rFonts w:ascii="Arial" w:cs="Arial" w:eastAsia="Arial" w:hAnsi="Arial"/>
          <w:sz w:val="11"/>
          <w:szCs w:val="11"/>
          <w:color w:val="auto"/>
        </w:rPr>
        <w:t>. The Amendments extend the term of the 2003 Plan to December 31, 2028, from the currently scheduled expiration date of</w:t>
      </w:r>
      <w:r>
        <w:rPr>
          <w:rFonts w:ascii="Arial" w:cs="Arial" w:eastAsia="Arial" w:hAnsi="Arial"/>
          <w:sz w:val="11"/>
          <w:szCs w:val="11"/>
          <w:i w:val="1"/>
          <w:iCs w:val="1"/>
          <w:color w:val="auto"/>
        </w:rPr>
        <w:t xml:space="preserve"> </w:t>
      </w:r>
      <w:r>
        <w:rPr>
          <w:rFonts w:ascii="Arial" w:cs="Arial" w:eastAsia="Arial" w:hAnsi="Arial"/>
          <w:sz w:val="11"/>
          <w:szCs w:val="11"/>
          <w:color w:val="auto"/>
        </w:rPr>
        <w:t>December 31, 2025.</w:t>
      </w:r>
    </w:p>
    <w:p>
      <w:pPr>
        <w:spacing w:after="0" w:line="54" w:lineRule="exact"/>
        <w:rPr>
          <w:rFonts w:ascii="Arial" w:cs="Arial" w:eastAsia="Arial" w:hAnsi="Arial"/>
          <w:sz w:val="11"/>
          <w:szCs w:val="11"/>
          <w:color w:val="auto"/>
        </w:rPr>
      </w:pPr>
    </w:p>
    <w:p>
      <w:pPr>
        <w:ind w:left="2120" w:right="859" w:hanging="148"/>
        <w:spacing w:after="0" w:line="245" w:lineRule="auto"/>
        <w:tabs>
          <w:tab w:leader="none" w:pos="2120" w:val="left"/>
        </w:tabs>
        <w:numPr>
          <w:ilvl w:val="0"/>
          <w:numId w:val="63"/>
        </w:numPr>
        <w:rPr>
          <w:rFonts w:ascii="Arial" w:cs="Arial" w:eastAsia="Arial" w:hAnsi="Arial"/>
          <w:sz w:val="11"/>
          <w:szCs w:val="11"/>
          <w:color w:val="auto"/>
        </w:rPr>
      </w:pPr>
      <w:r>
        <w:rPr>
          <w:rFonts w:ascii="Arial" w:cs="Arial" w:eastAsia="Arial" w:hAnsi="Arial"/>
          <w:sz w:val="11"/>
          <w:szCs w:val="11"/>
          <w:i w:val="1"/>
          <w:iCs w:val="1"/>
          <w:color w:val="auto"/>
        </w:rPr>
        <w:t>Add Authorized Shares</w:t>
      </w:r>
      <w:r>
        <w:rPr>
          <w:rFonts w:ascii="Arial" w:cs="Arial" w:eastAsia="Arial" w:hAnsi="Arial"/>
          <w:sz w:val="11"/>
          <w:szCs w:val="11"/>
          <w:color w:val="auto"/>
        </w:rPr>
        <w:t>. The Amendments increase the maximum number of total shares of common stock that may be delivered pursuant to all</w:t>
      </w:r>
      <w:r>
        <w:rPr>
          <w:rFonts w:ascii="Arial" w:cs="Arial" w:eastAsia="Arial" w:hAnsi="Arial"/>
          <w:sz w:val="11"/>
          <w:szCs w:val="11"/>
          <w:i w:val="1"/>
          <w:iCs w:val="1"/>
          <w:color w:val="auto"/>
        </w:rPr>
        <w:t xml:space="preserve"> </w:t>
      </w:r>
      <w:r>
        <w:rPr>
          <w:rFonts w:ascii="Arial" w:cs="Arial" w:eastAsia="Arial" w:hAnsi="Arial"/>
          <w:sz w:val="11"/>
          <w:szCs w:val="11"/>
          <w:color w:val="auto"/>
        </w:rPr>
        <w:t>awards under the 2003 Plan by 1,100,000 shares. With the addition of these 1,100,000 shares, and based upon the Company’s equity grants made as of December 25, 2022 the Company would have approximately 6,837,153 total shares of common stock available for future awards under the 2003 Plan through December 31, 2028 (assuming that outstanding contingent stock performance awards are earned at their target level), which constitutes approximately 4.9% of the Company’s outstanding stock as of December 25, 2022.</w:t>
      </w:r>
    </w:p>
    <w:p>
      <w:pPr>
        <w:spacing w:after="0" w:line="93" w:lineRule="exact"/>
        <w:rPr>
          <w:sz w:val="20"/>
          <w:szCs w:val="20"/>
          <w:color w:val="auto"/>
        </w:rPr>
      </w:pPr>
    </w:p>
    <w:p>
      <w:pPr>
        <w:ind w:left="1980" w:right="999"/>
        <w:spacing w:after="0" w:line="242" w:lineRule="auto"/>
        <w:rPr>
          <w:sz w:val="20"/>
          <w:szCs w:val="20"/>
          <w:color w:val="auto"/>
        </w:rPr>
      </w:pPr>
      <w:r>
        <w:rPr>
          <w:rFonts w:ascii="Arial" w:cs="Arial" w:eastAsia="Arial" w:hAnsi="Arial"/>
          <w:sz w:val="11"/>
          <w:szCs w:val="11"/>
          <w:color w:val="auto"/>
        </w:rPr>
        <w:t>Equity incentives are critical to attract and retain key officers, employees and directors. Without an equity plan allowing for equity incentive grants, the Company will be at a significant disadvantage in attracting and retaining personnel. As of December 25, 2022, there were approximately 1,140 officers, employees and directors of the Company holding equity awards under the 2003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59055</wp:posOffset>
            </wp:positionV>
            <wp:extent cx="3971925" cy="21717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78</w:t>
      </w:r>
    </w:p>
    <w:p>
      <w:pPr>
        <w:sectPr>
          <w:pgSz w:w="11900" w:h="16838" w:orient="portrait"/>
          <w:cols w:equalWidth="0" w:num="1">
            <w:col w:w="10159"/>
          </w:cols>
          <w:pgMar w:left="300" w:top="372" w:right="1440" w:bottom="1440" w:gutter="0" w:footer="0" w:header="0"/>
        </w:sectPr>
      </w:pPr>
    </w:p>
    <w:bookmarkStart w:id="100" w:name="page101"/>
    <w:bookmarkEnd w:id="10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Key Shareholder Friendly Provisions of the 2003 Plan</w:t>
      </w:r>
    </w:p>
    <w:p>
      <w:pPr>
        <w:spacing w:after="0" w:line="86" w:lineRule="exact"/>
        <w:rPr>
          <w:sz w:val="20"/>
          <w:szCs w:val="20"/>
          <w:color w:val="auto"/>
        </w:rPr>
      </w:pPr>
    </w:p>
    <w:p>
      <w:pPr>
        <w:ind w:left="1980" w:right="1059"/>
        <w:spacing w:after="0" w:line="242" w:lineRule="auto"/>
        <w:rPr>
          <w:sz w:val="20"/>
          <w:szCs w:val="20"/>
          <w:color w:val="auto"/>
        </w:rPr>
      </w:pPr>
      <w:r>
        <w:rPr>
          <w:rFonts w:ascii="Arial" w:cs="Arial" w:eastAsia="Arial" w:hAnsi="Arial"/>
          <w:sz w:val="11"/>
          <w:szCs w:val="11"/>
          <w:color w:val="auto"/>
        </w:rPr>
        <w:t>The Company has designed the 2003 Plan, inclusive of the Amendments, to include the provisions that the Company believes promote best practices and reinforce the alignment between compensation payable to or realizable by participating officers, other key employees and directors, and shareholders’ interests. These provisions include, but are not limited to, the following:</w:t>
      </w:r>
    </w:p>
    <w:p>
      <w:pPr>
        <w:spacing w:after="0" w:line="84" w:lineRule="exact"/>
        <w:rPr>
          <w:sz w:val="20"/>
          <w:szCs w:val="20"/>
          <w:color w:val="auto"/>
        </w:rPr>
      </w:pPr>
    </w:p>
    <w:p>
      <w:pPr>
        <w:ind w:left="2120" w:right="1439" w:hanging="148"/>
        <w:spacing w:after="0" w:line="264" w:lineRule="auto"/>
        <w:tabs>
          <w:tab w:leader="none" w:pos="2120" w:val="left"/>
        </w:tabs>
        <w:numPr>
          <w:ilvl w:val="0"/>
          <w:numId w:val="64"/>
        </w:numPr>
        <w:rPr>
          <w:rFonts w:ascii="Arial" w:cs="Arial" w:eastAsia="Arial" w:hAnsi="Arial"/>
          <w:sz w:val="11"/>
          <w:szCs w:val="11"/>
          <w:color w:val="auto"/>
        </w:rPr>
      </w:pPr>
      <w:r>
        <w:rPr>
          <w:rFonts w:ascii="Arial" w:cs="Arial" w:eastAsia="Arial" w:hAnsi="Arial"/>
          <w:sz w:val="11"/>
          <w:szCs w:val="11"/>
          <w:i w:val="1"/>
          <w:iCs w:val="1"/>
          <w:color w:val="auto"/>
        </w:rPr>
        <w:t>No Evergreen Provision</w:t>
      </w:r>
      <w:r>
        <w:rPr>
          <w:rFonts w:ascii="Arial" w:cs="Arial" w:eastAsia="Arial" w:hAnsi="Arial"/>
          <w:sz w:val="11"/>
          <w:szCs w:val="11"/>
          <w:color w:val="auto"/>
        </w:rPr>
        <w:t>. There is no “evergreen” feature pursuant to which the shares authorized for issuance under the 2003 Plan can be</w:t>
      </w:r>
      <w:r>
        <w:rPr>
          <w:rFonts w:ascii="Arial" w:cs="Arial" w:eastAsia="Arial" w:hAnsi="Arial"/>
          <w:sz w:val="11"/>
          <w:szCs w:val="11"/>
          <w:i w:val="1"/>
          <w:iCs w:val="1"/>
          <w:color w:val="auto"/>
        </w:rPr>
        <w:t xml:space="preserve"> </w:t>
      </w:r>
      <w:r>
        <w:rPr>
          <w:rFonts w:ascii="Arial" w:cs="Arial" w:eastAsia="Arial" w:hAnsi="Arial"/>
          <w:sz w:val="11"/>
          <w:szCs w:val="11"/>
          <w:color w:val="auto"/>
        </w:rPr>
        <w:t>automatically replenished.</w:t>
      </w:r>
    </w:p>
    <w:p>
      <w:pPr>
        <w:spacing w:after="0" w:line="54" w:lineRule="exact"/>
        <w:rPr>
          <w:rFonts w:ascii="Arial" w:cs="Arial" w:eastAsia="Arial" w:hAnsi="Arial"/>
          <w:sz w:val="11"/>
          <w:szCs w:val="11"/>
          <w:color w:val="auto"/>
        </w:rPr>
      </w:pPr>
    </w:p>
    <w:p>
      <w:pPr>
        <w:ind w:left="2120" w:right="1339" w:hanging="148"/>
        <w:spacing w:after="0" w:line="264" w:lineRule="auto"/>
        <w:tabs>
          <w:tab w:leader="none" w:pos="2120" w:val="left"/>
        </w:tabs>
        <w:numPr>
          <w:ilvl w:val="0"/>
          <w:numId w:val="64"/>
        </w:numPr>
        <w:rPr>
          <w:rFonts w:ascii="Arial" w:cs="Arial" w:eastAsia="Arial" w:hAnsi="Arial"/>
          <w:sz w:val="11"/>
          <w:szCs w:val="11"/>
          <w:color w:val="auto"/>
        </w:rPr>
      </w:pPr>
      <w:r>
        <w:rPr>
          <w:rFonts w:ascii="Arial" w:cs="Arial" w:eastAsia="Arial" w:hAnsi="Arial"/>
          <w:sz w:val="11"/>
          <w:szCs w:val="11"/>
          <w:i w:val="1"/>
          <w:iCs w:val="1"/>
          <w:color w:val="auto"/>
        </w:rPr>
        <w:t>No Automatic Grants</w:t>
      </w:r>
      <w:r>
        <w:rPr>
          <w:rFonts w:ascii="Arial" w:cs="Arial" w:eastAsia="Arial" w:hAnsi="Arial"/>
          <w:sz w:val="11"/>
          <w:szCs w:val="11"/>
          <w:color w:val="auto"/>
        </w:rPr>
        <w:t>. The 2003 Plan does not provide for “reload” or automatic grants to participants and all grants must be approved by the</w:t>
      </w:r>
      <w:r>
        <w:rPr>
          <w:rFonts w:ascii="Arial" w:cs="Arial" w:eastAsia="Arial" w:hAnsi="Arial"/>
          <w:sz w:val="11"/>
          <w:szCs w:val="11"/>
          <w:i w:val="1"/>
          <w:iCs w:val="1"/>
          <w:color w:val="auto"/>
        </w:rPr>
        <w:t xml:space="preserve"> </w:t>
      </w:r>
      <w:r>
        <w:rPr>
          <w:rFonts w:ascii="Arial" w:cs="Arial" w:eastAsia="Arial" w:hAnsi="Arial"/>
          <w:sz w:val="11"/>
          <w:szCs w:val="11"/>
          <w:color w:val="auto"/>
        </w:rPr>
        <w:t>Compensation Committee, which is composed entirely of independent directors.</w:t>
      </w:r>
    </w:p>
    <w:p>
      <w:pPr>
        <w:spacing w:after="0" w:line="54" w:lineRule="exact"/>
        <w:rPr>
          <w:rFonts w:ascii="Arial" w:cs="Arial" w:eastAsia="Arial" w:hAnsi="Arial"/>
          <w:sz w:val="11"/>
          <w:szCs w:val="11"/>
          <w:color w:val="auto"/>
        </w:rPr>
      </w:pPr>
    </w:p>
    <w:p>
      <w:pPr>
        <w:ind w:left="2120" w:right="879" w:hanging="148"/>
        <w:spacing w:after="0" w:line="247" w:lineRule="auto"/>
        <w:tabs>
          <w:tab w:leader="none" w:pos="2120" w:val="left"/>
        </w:tabs>
        <w:numPr>
          <w:ilvl w:val="0"/>
          <w:numId w:val="64"/>
        </w:numPr>
        <w:rPr>
          <w:rFonts w:ascii="Arial" w:cs="Arial" w:eastAsia="Arial" w:hAnsi="Arial"/>
          <w:sz w:val="11"/>
          <w:szCs w:val="11"/>
          <w:color w:val="auto"/>
        </w:rPr>
      </w:pPr>
      <w:r>
        <w:rPr>
          <w:rFonts w:ascii="Arial" w:cs="Arial" w:eastAsia="Arial" w:hAnsi="Arial"/>
          <w:sz w:val="11"/>
          <w:szCs w:val="11"/>
          <w:i w:val="1"/>
          <w:iCs w:val="1"/>
          <w:color w:val="auto"/>
        </w:rPr>
        <w:t>Double Trigger Acceleration Following a Change in Control</w:t>
      </w:r>
      <w:r>
        <w:rPr>
          <w:rFonts w:ascii="Arial" w:cs="Arial" w:eastAsia="Arial" w:hAnsi="Arial"/>
          <w:sz w:val="11"/>
          <w:szCs w:val="11"/>
          <w:color w:val="auto"/>
        </w:rPr>
        <w:t>. The 2003 Plan provides a double trigger change in control provision, such that awards will</w:t>
      </w:r>
      <w:r>
        <w:rPr>
          <w:rFonts w:ascii="Arial" w:cs="Arial" w:eastAsia="Arial" w:hAnsi="Arial"/>
          <w:sz w:val="11"/>
          <w:szCs w:val="11"/>
          <w:i w:val="1"/>
          <w:iCs w:val="1"/>
          <w:color w:val="auto"/>
        </w:rPr>
        <w:t xml:space="preserve"> </w:t>
      </w:r>
      <w:r>
        <w:rPr>
          <w:rFonts w:ascii="Arial" w:cs="Arial" w:eastAsia="Arial" w:hAnsi="Arial"/>
          <w:sz w:val="11"/>
          <w:szCs w:val="11"/>
          <w:color w:val="auto"/>
        </w:rPr>
        <w:t>only forward vest if there is both (i) a change in control, as defined under the 2003 Plan and (2) the award holder’s employment is terminated by the Company without Cause, or by the employee for Good Reason (each as defined in the 2003 Plan) within twenty-four (24) months following the change in control.</w:t>
      </w:r>
    </w:p>
    <w:p>
      <w:pPr>
        <w:spacing w:after="0" w:line="64" w:lineRule="exact"/>
        <w:rPr>
          <w:rFonts w:ascii="Arial" w:cs="Arial" w:eastAsia="Arial" w:hAnsi="Arial"/>
          <w:sz w:val="11"/>
          <w:szCs w:val="11"/>
          <w:color w:val="auto"/>
        </w:rPr>
      </w:pPr>
    </w:p>
    <w:p>
      <w:pPr>
        <w:ind w:left="2120" w:right="939" w:hanging="148"/>
        <w:spacing w:after="0" w:line="247" w:lineRule="auto"/>
        <w:tabs>
          <w:tab w:leader="none" w:pos="2120" w:val="left"/>
        </w:tabs>
        <w:numPr>
          <w:ilvl w:val="0"/>
          <w:numId w:val="64"/>
        </w:numPr>
        <w:rPr>
          <w:rFonts w:ascii="Arial" w:cs="Arial" w:eastAsia="Arial" w:hAnsi="Arial"/>
          <w:sz w:val="11"/>
          <w:szCs w:val="11"/>
          <w:color w:val="auto"/>
        </w:rPr>
      </w:pPr>
      <w:r>
        <w:rPr>
          <w:rFonts w:ascii="Arial" w:cs="Arial" w:eastAsia="Arial" w:hAnsi="Arial"/>
          <w:sz w:val="11"/>
          <w:szCs w:val="11"/>
          <w:i w:val="1"/>
          <w:iCs w:val="1"/>
          <w:color w:val="auto"/>
        </w:rPr>
        <w:t>No Liberal Share Recycling of Awards</w:t>
      </w:r>
      <w:r>
        <w:rPr>
          <w:rFonts w:ascii="Arial" w:cs="Arial" w:eastAsia="Arial" w:hAnsi="Arial"/>
          <w:sz w:val="11"/>
          <w:szCs w:val="11"/>
          <w:color w:val="auto"/>
        </w:rPr>
        <w:t>. Shares tendered in payment of an award’s exercise price, shares withheld to pay taxes due on an award, and</w:t>
      </w:r>
      <w:r>
        <w:rPr>
          <w:rFonts w:ascii="Arial" w:cs="Arial" w:eastAsia="Arial" w:hAnsi="Arial"/>
          <w:sz w:val="11"/>
          <w:szCs w:val="11"/>
          <w:i w:val="1"/>
          <w:iCs w:val="1"/>
          <w:color w:val="auto"/>
        </w:rPr>
        <w:t xml:space="preserve"> </w:t>
      </w:r>
      <w:r>
        <w:rPr>
          <w:rFonts w:ascii="Arial" w:cs="Arial" w:eastAsia="Arial" w:hAnsi="Arial"/>
          <w:sz w:val="11"/>
          <w:szCs w:val="11"/>
          <w:color w:val="auto"/>
        </w:rPr>
        <w:t>shares purchased by the Company using proceeds from awards will not increase the total number of remaining shares authorized to be delivered pursuant to awards under the 2003 Plan, and the gross number of shares covered by SARs count against the shares remaining available for grant under the 2003 Plan.</w:t>
      </w:r>
    </w:p>
    <w:p>
      <w:pPr>
        <w:spacing w:after="0" w:line="64" w:lineRule="exact"/>
        <w:rPr>
          <w:rFonts w:ascii="Arial" w:cs="Arial" w:eastAsia="Arial" w:hAnsi="Arial"/>
          <w:sz w:val="11"/>
          <w:szCs w:val="11"/>
          <w:color w:val="auto"/>
        </w:rPr>
      </w:pPr>
    </w:p>
    <w:p>
      <w:pPr>
        <w:ind w:left="2120" w:right="899" w:hanging="148"/>
        <w:spacing w:after="0" w:line="280" w:lineRule="auto"/>
        <w:tabs>
          <w:tab w:leader="none" w:pos="2120" w:val="left"/>
        </w:tabs>
        <w:numPr>
          <w:ilvl w:val="0"/>
          <w:numId w:val="64"/>
        </w:numPr>
        <w:rPr>
          <w:rFonts w:ascii="Arial" w:cs="Arial" w:eastAsia="Arial" w:hAnsi="Arial"/>
          <w:sz w:val="10"/>
          <w:szCs w:val="10"/>
          <w:color w:val="auto"/>
        </w:rPr>
      </w:pPr>
      <w:r>
        <w:rPr>
          <w:rFonts w:ascii="Arial" w:cs="Arial" w:eastAsia="Arial" w:hAnsi="Arial"/>
          <w:sz w:val="10"/>
          <w:szCs w:val="10"/>
          <w:i w:val="1"/>
          <w:iCs w:val="1"/>
          <w:color w:val="auto"/>
        </w:rPr>
        <w:t>Minimum Vesting Requirements</w:t>
      </w:r>
      <w:r>
        <w:rPr>
          <w:rFonts w:ascii="Arial" w:cs="Arial" w:eastAsia="Arial" w:hAnsi="Arial"/>
          <w:sz w:val="10"/>
          <w:szCs w:val="10"/>
          <w:color w:val="auto"/>
        </w:rPr>
        <w:t>. Stock options, SARs, restricted stock and deferred stock units granted under the 2003 Plan cannot fully vest over a</w:t>
      </w:r>
      <w:r>
        <w:rPr>
          <w:rFonts w:ascii="Arial" w:cs="Arial" w:eastAsia="Arial" w:hAnsi="Arial"/>
          <w:sz w:val="10"/>
          <w:szCs w:val="10"/>
          <w:i w:val="1"/>
          <w:iCs w:val="1"/>
          <w:color w:val="auto"/>
        </w:rPr>
        <w:t xml:space="preserve"> </w:t>
      </w:r>
      <w:r>
        <w:rPr>
          <w:rFonts w:ascii="Arial" w:cs="Arial" w:eastAsia="Arial" w:hAnsi="Arial"/>
          <w:sz w:val="10"/>
          <w:szCs w:val="10"/>
          <w:color w:val="auto"/>
        </w:rPr>
        <w:t>period of less than three years, and performance awards must have a minimum performance period of at least one year, subject to a limited exception set forth in Section 10 of the 2003 Plan. The 2003 Plan provides that options, SARs, restricted stock and deferred stock granted under the 2003 Plan also cannot begin to vest until one year after the date of the award, again subject to the limited exception in Section 10 of the 2003 Plan.</w:t>
      </w:r>
    </w:p>
    <w:p>
      <w:pPr>
        <w:spacing w:after="0" w:line="48" w:lineRule="exact"/>
        <w:rPr>
          <w:rFonts w:ascii="Arial" w:cs="Arial" w:eastAsia="Arial" w:hAnsi="Arial"/>
          <w:sz w:val="10"/>
          <w:szCs w:val="10"/>
          <w:color w:val="auto"/>
        </w:rPr>
      </w:pPr>
    </w:p>
    <w:p>
      <w:pPr>
        <w:ind w:left="2120" w:right="1019" w:hanging="148"/>
        <w:spacing w:after="0" w:line="264" w:lineRule="auto"/>
        <w:tabs>
          <w:tab w:leader="none" w:pos="2120" w:val="left"/>
        </w:tabs>
        <w:numPr>
          <w:ilvl w:val="0"/>
          <w:numId w:val="64"/>
        </w:numPr>
        <w:rPr>
          <w:rFonts w:ascii="Arial" w:cs="Arial" w:eastAsia="Arial" w:hAnsi="Arial"/>
          <w:sz w:val="11"/>
          <w:szCs w:val="11"/>
          <w:color w:val="auto"/>
        </w:rPr>
      </w:pPr>
      <w:r>
        <w:rPr>
          <w:rFonts w:ascii="Arial" w:cs="Arial" w:eastAsia="Arial" w:hAnsi="Arial"/>
          <w:sz w:val="11"/>
          <w:szCs w:val="11"/>
          <w:i w:val="1"/>
          <w:iCs w:val="1"/>
          <w:color w:val="auto"/>
        </w:rPr>
        <w:t>No Dividends on Unearned or Unvested Awards</w:t>
      </w:r>
      <w:r>
        <w:rPr>
          <w:rFonts w:ascii="Arial" w:cs="Arial" w:eastAsia="Arial" w:hAnsi="Arial"/>
          <w:sz w:val="11"/>
          <w:szCs w:val="11"/>
          <w:color w:val="auto"/>
        </w:rPr>
        <w:t>. The 2003 Plan prohibits the payment or accrual of dividends on (i) outstanding options or SARs or</w:t>
      </w:r>
      <w:r>
        <w:rPr>
          <w:rFonts w:ascii="Arial" w:cs="Arial" w:eastAsia="Arial" w:hAnsi="Arial"/>
          <w:sz w:val="11"/>
          <w:szCs w:val="11"/>
          <w:i w:val="1"/>
          <w:iCs w:val="1"/>
          <w:color w:val="auto"/>
        </w:rPr>
        <w:t xml:space="preserve"> </w:t>
      </w:r>
      <w:r>
        <w:rPr>
          <w:rFonts w:ascii="Arial" w:cs="Arial" w:eastAsia="Arial" w:hAnsi="Arial"/>
          <w:sz w:val="11"/>
          <w:szCs w:val="11"/>
          <w:color w:val="auto"/>
        </w:rPr>
        <w:t>(ii) other awards subject to performance criteria or time vesting criteria that have not yet been met.</w:t>
      </w:r>
    </w:p>
    <w:p>
      <w:pPr>
        <w:spacing w:after="0" w:line="54" w:lineRule="exact"/>
        <w:rPr>
          <w:rFonts w:ascii="Arial" w:cs="Arial" w:eastAsia="Arial" w:hAnsi="Arial"/>
          <w:sz w:val="11"/>
          <w:szCs w:val="11"/>
          <w:color w:val="auto"/>
        </w:rPr>
      </w:pPr>
    </w:p>
    <w:p>
      <w:pPr>
        <w:ind w:left="2120" w:hanging="148"/>
        <w:spacing w:after="0"/>
        <w:tabs>
          <w:tab w:leader="none" w:pos="2120" w:val="left"/>
        </w:tabs>
        <w:numPr>
          <w:ilvl w:val="0"/>
          <w:numId w:val="64"/>
        </w:numPr>
        <w:rPr>
          <w:rFonts w:ascii="Arial" w:cs="Arial" w:eastAsia="Arial" w:hAnsi="Arial"/>
          <w:sz w:val="11"/>
          <w:szCs w:val="11"/>
          <w:color w:val="auto"/>
        </w:rPr>
      </w:pPr>
      <w:r>
        <w:rPr>
          <w:rFonts w:ascii="Arial" w:cs="Arial" w:eastAsia="Arial" w:hAnsi="Arial"/>
          <w:sz w:val="11"/>
          <w:szCs w:val="11"/>
          <w:i w:val="1"/>
          <w:iCs w:val="1"/>
          <w:color w:val="auto"/>
        </w:rPr>
        <w:t>No Tax Gross-Ups</w:t>
      </w:r>
      <w:r>
        <w:rPr>
          <w:rFonts w:ascii="Arial" w:cs="Arial" w:eastAsia="Arial" w:hAnsi="Arial"/>
          <w:sz w:val="11"/>
          <w:szCs w:val="11"/>
          <w:color w:val="auto"/>
        </w:rPr>
        <w:t>. The 2003 Plan does not provide for any tax gross-ups.</w:t>
      </w:r>
    </w:p>
    <w:p>
      <w:pPr>
        <w:spacing w:after="0" w:line="80" w:lineRule="exact"/>
        <w:rPr>
          <w:rFonts w:ascii="Arial" w:cs="Arial" w:eastAsia="Arial" w:hAnsi="Arial"/>
          <w:sz w:val="11"/>
          <w:szCs w:val="11"/>
          <w:color w:val="auto"/>
        </w:rPr>
      </w:pPr>
    </w:p>
    <w:p>
      <w:pPr>
        <w:ind w:left="2120" w:right="1119" w:hanging="148"/>
        <w:spacing w:after="0" w:line="264" w:lineRule="auto"/>
        <w:tabs>
          <w:tab w:leader="none" w:pos="2120" w:val="left"/>
        </w:tabs>
        <w:numPr>
          <w:ilvl w:val="0"/>
          <w:numId w:val="64"/>
        </w:numPr>
        <w:rPr>
          <w:rFonts w:ascii="Arial" w:cs="Arial" w:eastAsia="Arial" w:hAnsi="Arial"/>
          <w:sz w:val="11"/>
          <w:szCs w:val="11"/>
          <w:color w:val="auto"/>
        </w:rPr>
      </w:pPr>
      <w:r>
        <w:rPr>
          <w:rFonts w:ascii="Arial" w:cs="Arial" w:eastAsia="Arial" w:hAnsi="Arial"/>
          <w:sz w:val="11"/>
          <w:szCs w:val="11"/>
          <w:i w:val="1"/>
          <w:iCs w:val="1"/>
          <w:color w:val="auto"/>
        </w:rPr>
        <w:t>No Repricing Stock Options or SARs, or Substituting Cash, without Shareholder Approval</w:t>
      </w:r>
      <w:r>
        <w:rPr>
          <w:rFonts w:ascii="Arial" w:cs="Arial" w:eastAsia="Arial" w:hAnsi="Arial"/>
          <w:sz w:val="11"/>
          <w:szCs w:val="11"/>
          <w:color w:val="auto"/>
        </w:rPr>
        <w:t>. The 2003 Plan does not allow for the repricing of stock</w:t>
      </w:r>
      <w:r>
        <w:rPr>
          <w:rFonts w:ascii="Arial" w:cs="Arial" w:eastAsia="Arial" w:hAnsi="Arial"/>
          <w:sz w:val="11"/>
          <w:szCs w:val="11"/>
          <w:i w:val="1"/>
          <w:iCs w:val="1"/>
          <w:color w:val="auto"/>
        </w:rPr>
        <w:t xml:space="preserve"> </w:t>
      </w:r>
      <w:r>
        <w:rPr>
          <w:rFonts w:ascii="Arial" w:cs="Arial" w:eastAsia="Arial" w:hAnsi="Arial"/>
          <w:sz w:val="11"/>
          <w:szCs w:val="11"/>
          <w:color w:val="auto"/>
        </w:rPr>
        <w:t>options or SARs, or substitution of cash for underwater options or SARs, without shareholder approval.</w:t>
      </w:r>
    </w:p>
    <w:p>
      <w:pPr>
        <w:spacing w:after="0" w:line="54" w:lineRule="exact"/>
        <w:rPr>
          <w:rFonts w:ascii="Arial" w:cs="Arial" w:eastAsia="Arial" w:hAnsi="Arial"/>
          <w:sz w:val="11"/>
          <w:szCs w:val="11"/>
          <w:color w:val="auto"/>
        </w:rPr>
      </w:pPr>
    </w:p>
    <w:p>
      <w:pPr>
        <w:ind w:left="2120" w:right="939" w:hanging="148"/>
        <w:spacing w:after="0" w:line="264" w:lineRule="auto"/>
        <w:tabs>
          <w:tab w:leader="none" w:pos="2120" w:val="left"/>
        </w:tabs>
        <w:numPr>
          <w:ilvl w:val="0"/>
          <w:numId w:val="64"/>
        </w:numPr>
        <w:rPr>
          <w:rFonts w:ascii="Arial" w:cs="Arial" w:eastAsia="Arial" w:hAnsi="Arial"/>
          <w:sz w:val="11"/>
          <w:szCs w:val="11"/>
          <w:color w:val="auto"/>
        </w:rPr>
      </w:pPr>
      <w:r>
        <w:rPr>
          <w:rFonts w:ascii="Arial" w:cs="Arial" w:eastAsia="Arial" w:hAnsi="Arial"/>
          <w:sz w:val="11"/>
          <w:szCs w:val="11"/>
          <w:i w:val="1"/>
          <w:iCs w:val="1"/>
          <w:color w:val="auto"/>
        </w:rPr>
        <w:t>Stock Options and SARs cannot be Granted at Less Than Fair Market Value</w:t>
      </w:r>
      <w:r>
        <w:rPr>
          <w:rFonts w:ascii="Arial" w:cs="Arial" w:eastAsia="Arial" w:hAnsi="Arial"/>
          <w:sz w:val="11"/>
          <w:szCs w:val="11"/>
          <w:color w:val="auto"/>
        </w:rPr>
        <w:t>. The 2003 Plan prohibits granting stock options at an exercise price less</w:t>
      </w:r>
      <w:r>
        <w:rPr>
          <w:rFonts w:ascii="Arial" w:cs="Arial" w:eastAsia="Arial" w:hAnsi="Arial"/>
          <w:sz w:val="11"/>
          <w:szCs w:val="11"/>
          <w:i w:val="1"/>
          <w:iCs w:val="1"/>
          <w:color w:val="auto"/>
        </w:rPr>
        <w:t xml:space="preserve"> </w:t>
      </w:r>
      <w:r>
        <w:rPr>
          <w:rFonts w:ascii="Arial" w:cs="Arial" w:eastAsia="Arial" w:hAnsi="Arial"/>
          <w:sz w:val="11"/>
          <w:szCs w:val="11"/>
          <w:color w:val="auto"/>
        </w:rPr>
        <w:t>than fair market value or granting SARs with a strike price less than the fair market value on the date of grant.</w:t>
      </w:r>
    </w:p>
    <w:p>
      <w:pPr>
        <w:spacing w:after="0" w:line="54" w:lineRule="exact"/>
        <w:rPr>
          <w:rFonts w:ascii="Arial" w:cs="Arial" w:eastAsia="Arial" w:hAnsi="Arial"/>
          <w:sz w:val="11"/>
          <w:szCs w:val="11"/>
          <w:color w:val="auto"/>
        </w:rPr>
      </w:pPr>
    </w:p>
    <w:p>
      <w:pPr>
        <w:ind w:left="2120" w:hanging="148"/>
        <w:spacing w:after="0"/>
        <w:tabs>
          <w:tab w:leader="none" w:pos="2120" w:val="left"/>
        </w:tabs>
        <w:numPr>
          <w:ilvl w:val="0"/>
          <w:numId w:val="64"/>
        </w:numPr>
        <w:rPr>
          <w:rFonts w:ascii="Arial" w:cs="Arial" w:eastAsia="Arial" w:hAnsi="Arial"/>
          <w:sz w:val="11"/>
          <w:szCs w:val="11"/>
          <w:color w:val="auto"/>
        </w:rPr>
      </w:pPr>
      <w:r>
        <w:rPr>
          <w:rFonts w:ascii="Arial" w:cs="Arial" w:eastAsia="Arial" w:hAnsi="Arial"/>
          <w:sz w:val="11"/>
          <w:szCs w:val="11"/>
          <w:i w:val="1"/>
          <w:iCs w:val="1"/>
          <w:color w:val="auto"/>
        </w:rPr>
        <w:t>Annual Award Limits</w:t>
      </w:r>
      <w:r>
        <w:rPr>
          <w:rFonts w:ascii="Arial" w:cs="Arial" w:eastAsia="Arial" w:hAnsi="Arial"/>
          <w:sz w:val="11"/>
          <w:szCs w:val="11"/>
          <w:color w:val="auto"/>
        </w:rPr>
        <w:t>. The 2003 Plan sets limits on awards that can be made to any individual in any calendar year.</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64"/>
        </w:numPr>
        <w:rPr>
          <w:rFonts w:ascii="Arial" w:cs="Arial" w:eastAsia="Arial" w:hAnsi="Arial"/>
          <w:sz w:val="11"/>
          <w:szCs w:val="11"/>
          <w:color w:val="auto"/>
        </w:rPr>
      </w:pPr>
      <w:r>
        <w:rPr>
          <w:rFonts w:ascii="Arial" w:cs="Arial" w:eastAsia="Arial" w:hAnsi="Arial"/>
          <w:sz w:val="11"/>
          <w:szCs w:val="11"/>
          <w:i w:val="1"/>
          <w:iCs w:val="1"/>
          <w:color w:val="auto"/>
        </w:rPr>
        <w:t>Term Limits</w:t>
      </w:r>
      <w:r>
        <w:rPr>
          <w:rFonts w:ascii="Arial" w:cs="Arial" w:eastAsia="Arial" w:hAnsi="Arial"/>
          <w:sz w:val="11"/>
          <w:szCs w:val="11"/>
          <w:color w:val="auto"/>
        </w:rPr>
        <w:t>. No award under the 2003 Plan can be outstanding for more than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67945</wp:posOffset>
            </wp:positionV>
            <wp:extent cx="3971925" cy="21717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54"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79</w:t>
      </w:r>
    </w:p>
    <w:p>
      <w:pPr>
        <w:sectPr>
          <w:pgSz w:w="11900" w:h="16838" w:orient="portrait"/>
          <w:cols w:equalWidth="0" w:num="1">
            <w:col w:w="10159"/>
          </w:cols>
          <w:pgMar w:left="300" w:top="372" w:right="1440" w:bottom="1440" w:gutter="0" w:footer="0" w:header="0"/>
        </w:sectPr>
      </w:pPr>
    </w:p>
    <w:bookmarkStart w:id="101" w:name="page102"/>
    <w:bookmarkEnd w:id="10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Key Burn-Rate Data</w:t>
      </w:r>
    </w:p>
    <w:p>
      <w:pPr>
        <w:spacing w:after="0" w:line="86" w:lineRule="exact"/>
        <w:rPr>
          <w:sz w:val="20"/>
          <w:szCs w:val="20"/>
          <w:color w:val="auto"/>
        </w:rPr>
      </w:pPr>
    </w:p>
    <w:p>
      <w:pPr>
        <w:ind w:left="1980" w:right="939"/>
        <w:spacing w:after="0" w:line="245" w:lineRule="auto"/>
        <w:rPr>
          <w:sz w:val="20"/>
          <w:szCs w:val="20"/>
          <w:color w:val="auto"/>
        </w:rPr>
      </w:pPr>
      <w:r>
        <w:rPr>
          <w:rFonts w:ascii="Arial" w:cs="Arial" w:eastAsia="Arial" w:hAnsi="Arial"/>
          <w:sz w:val="11"/>
          <w:szCs w:val="11"/>
          <w:color w:val="auto"/>
        </w:rPr>
        <w:t>The following table provides information regarding the Company’s unadjusted annual burn rate for the past five years. All equity award grants during this period have been made under the 2003 Plan.</w:t>
      </w:r>
    </w:p>
    <w:p>
      <w:pPr>
        <w:spacing w:after="0" w:line="155" w:lineRule="exact"/>
        <w:rPr>
          <w:sz w:val="20"/>
          <w:szCs w:val="20"/>
          <w:color w:val="auto"/>
        </w:rPr>
      </w:pPr>
    </w:p>
    <w:tbl>
      <w:tblPr>
        <w:tblLayout w:type="fixed"/>
        <w:tblInd w:w="1980" w:type="dxa"/>
        <w:tblCellMar>
          <w:top w:w="0" w:type="dxa"/>
          <w:left w:w="0" w:type="dxa"/>
          <w:bottom w:w="0" w:type="dxa"/>
          <w:right w:w="0" w:type="dxa"/>
        </w:tblCellMar>
      </w:tblPr>
      <w:tr>
        <w:trPr>
          <w:trHeight w:val="160"/>
        </w:trPr>
        <w:tc>
          <w:tcPr>
            <w:tcW w:w="2160" w:type="dxa"/>
            <w:vAlign w:val="bottom"/>
            <w:shd w:val="clear" w:color="auto" w:fill="CCEBF8"/>
          </w:tcPr>
          <w:p>
            <w:pPr>
              <w:spacing w:after="0"/>
              <w:rPr>
                <w:sz w:val="13"/>
                <w:szCs w:val="13"/>
                <w:color w:val="auto"/>
              </w:rPr>
            </w:pPr>
          </w:p>
        </w:tc>
        <w:tc>
          <w:tcPr>
            <w:tcW w:w="1200" w:type="dxa"/>
            <w:vAlign w:val="bottom"/>
            <w:shd w:val="clear" w:color="auto" w:fill="CCEBF8"/>
          </w:tcPr>
          <w:p>
            <w:pPr>
              <w:spacing w:after="0"/>
              <w:rPr>
                <w:sz w:val="13"/>
                <w:szCs w:val="13"/>
                <w:color w:val="auto"/>
              </w:rPr>
            </w:pPr>
          </w:p>
        </w:tc>
        <w:tc>
          <w:tcPr>
            <w:tcW w:w="1100" w:type="dxa"/>
            <w:vAlign w:val="bottom"/>
            <w:shd w:val="clear" w:color="auto" w:fill="CCEBF8"/>
          </w:tcPr>
          <w:p>
            <w:pPr>
              <w:spacing w:after="0"/>
              <w:rPr>
                <w:sz w:val="13"/>
                <w:szCs w:val="13"/>
                <w:color w:val="auto"/>
              </w:rPr>
            </w:pPr>
          </w:p>
        </w:tc>
        <w:tc>
          <w:tcPr>
            <w:tcW w:w="82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rPr>
              <w:t>Full-</w:t>
            </w:r>
          </w:p>
        </w:tc>
        <w:tc>
          <w:tcPr>
            <w:tcW w:w="1240" w:type="dxa"/>
            <w:vAlign w:val="bottom"/>
            <w:vMerge w:val="restart"/>
            <w:shd w:val="clear" w:color="auto" w:fill="CCEBF8"/>
          </w:tcPr>
          <w:p>
            <w:pPr>
              <w:jc w:val="right"/>
              <w:ind w:right="106"/>
              <w:spacing w:after="0"/>
              <w:rPr>
                <w:sz w:val="20"/>
                <w:szCs w:val="20"/>
                <w:color w:val="auto"/>
              </w:rPr>
            </w:pPr>
            <w:r>
              <w:rPr>
                <w:rFonts w:ascii="Arial" w:cs="Arial" w:eastAsia="Arial" w:hAnsi="Arial"/>
                <w:sz w:val="11"/>
                <w:szCs w:val="11"/>
                <w:b w:val="1"/>
                <w:bCs w:val="1"/>
                <w:color w:val="009BDE"/>
              </w:rPr>
              <w:t>Weighted Average</w:t>
            </w:r>
          </w:p>
        </w:tc>
        <w:tc>
          <w:tcPr>
            <w:tcW w:w="820" w:type="dxa"/>
            <w:vAlign w:val="bottom"/>
            <w:shd w:val="clear" w:color="auto" w:fill="CCEBF8"/>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160" w:type="dxa"/>
            <w:vAlign w:val="bottom"/>
            <w:shd w:val="clear" w:color="auto" w:fill="CCEBF8"/>
          </w:tcPr>
          <w:p>
            <w:pPr>
              <w:spacing w:after="0"/>
              <w:rPr>
                <w:sz w:val="10"/>
                <w:szCs w:val="10"/>
                <w:color w:val="auto"/>
              </w:rPr>
            </w:pPr>
          </w:p>
        </w:tc>
        <w:tc>
          <w:tcPr>
            <w:tcW w:w="1200" w:type="dxa"/>
            <w:vAlign w:val="bottom"/>
            <w:shd w:val="clear" w:color="auto" w:fill="CCEBF8"/>
          </w:tcPr>
          <w:p>
            <w:pPr>
              <w:spacing w:after="0"/>
              <w:rPr>
                <w:sz w:val="10"/>
                <w:szCs w:val="10"/>
                <w:color w:val="auto"/>
              </w:rPr>
            </w:pPr>
          </w:p>
        </w:tc>
        <w:tc>
          <w:tcPr>
            <w:tcW w:w="1100" w:type="dxa"/>
            <w:vAlign w:val="bottom"/>
            <w:shd w:val="clear" w:color="auto" w:fill="CCEBF8"/>
          </w:tcPr>
          <w:p>
            <w:pPr>
              <w:jc w:val="right"/>
              <w:ind w:right="106"/>
              <w:spacing w:after="0" w:line="117" w:lineRule="exact"/>
              <w:rPr>
                <w:sz w:val="20"/>
                <w:szCs w:val="20"/>
                <w:color w:val="auto"/>
              </w:rPr>
            </w:pPr>
            <w:r>
              <w:rPr>
                <w:rFonts w:ascii="Arial" w:cs="Arial" w:eastAsia="Arial" w:hAnsi="Arial"/>
                <w:sz w:val="11"/>
                <w:szCs w:val="11"/>
                <w:b w:val="1"/>
                <w:bCs w:val="1"/>
                <w:color w:val="009BDE"/>
              </w:rPr>
              <w:t>Shares Subject</w:t>
            </w:r>
          </w:p>
        </w:tc>
        <w:tc>
          <w:tcPr>
            <w:tcW w:w="820" w:type="dxa"/>
            <w:vAlign w:val="bottom"/>
            <w:shd w:val="clear" w:color="auto" w:fill="CCEBF8"/>
          </w:tcPr>
          <w:p>
            <w:pPr>
              <w:jc w:val="center"/>
              <w:spacing w:after="0" w:line="117" w:lineRule="exact"/>
              <w:rPr>
                <w:sz w:val="20"/>
                <w:szCs w:val="20"/>
                <w:color w:val="auto"/>
              </w:rPr>
            </w:pPr>
            <w:r>
              <w:rPr>
                <w:rFonts w:ascii="Arial" w:cs="Arial" w:eastAsia="Arial" w:hAnsi="Arial"/>
                <w:sz w:val="11"/>
                <w:szCs w:val="11"/>
                <w:b w:val="1"/>
                <w:bCs w:val="1"/>
                <w:color w:val="009BDE"/>
                <w:w w:val="95"/>
              </w:rPr>
              <w:t>Value</w:t>
            </w:r>
          </w:p>
        </w:tc>
        <w:tc>
          <w:tcPr>
            <w:tcW w:w="1240" w:type="dxa"/>
            <w:vAlign w:val="bottom"/>
            <w:vMerge w:val="continue"/>
            <w:shd w:val="clear" w:color="auto" w:fill="CCEBF8"/>
          </w:tcPr>
          <w:p>
            <w:pPr>
              <w:spacing w:after="0"/>
              <w:rPr>
                <w:sz w:val="10"/>
                <w:szCs w:val="10"/>
                <w:color w:val="auto"/>
              </w:rPr>
            </w:pPr>
          </w:p>
        </w:tc>
        <w:tc>
          <w:tcPr>
            <w:tcW w:w="820" w:type="dxa"/>
            <w:vAlign w:val="bottom"/>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60" w:type="dxa"/>
            <w:vAlign w:val="bottom"/>
            <w:shd w:val="clear" w:color="auto" w:fill="CCEBF8"/>
          </w:tcPr>
          <w:p>
            <w:pPr>
              <w:spacing w:after="0"/>
              <w:rPr>
                <w:sz w:val="10"/>
                <w:szCs w:val="10"/>
                <w:color w:val="auto"/>
              </w:rPr>
            </w:pPr>
          </w:p>
        </w:tc>
        <w:tc>
          <w:tcPr>
            <w:tcW w:w="1200" w:type="dxa"/>
            <w:vAlign w:val="bottom"/>
            <w:shd w:val="clear" w:color="auto" w:fill="CCEBF8"/>
          </w:tcPr>
          <w:p>
            <w:pPr>
              <w:jc w:val="right"/>
              <w:ind w:right="106"/>
              <w:spacing w:after="0"/>
              <w:rPr>
                <w:sz w:val="20"/>
                <w:szCs w:val="20"/>
                <w:color w:val="auto"/>
              </w:rPr>
            </w:pPr>
            <w:r>
              <w:rPr>
                <w:rFonts w:ascii="Arial" w:cs="Arial" w:eastAsia="Arial" w:hAnsi="Arial"/>
                <w:sz w:val="11"/>
                <w:szCs w:val="11"/>
                <w:b w:val="1"/>
                <w:bCs w:val="1"/>
                <w:color w:val="009BDE"/>
              </w:rPr>
              <w:t>Shares Subject</w:t>
            </w:r>
          </w:p>
        </w:tc>
        <w:tc>
          <w:tcPr>
            <w:tcW w:w="110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6"/>
              </w:rPr>
              <w:t>to Full-Value</w:t>
            </w:r>
          </w:p>
        </w:tc>
        <w:tc>
          <w:tcPr>
            <w:tcW w:w="82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7"/>
              </w:rPr>
              <w:t>Shares</w:t>
            </w:r>
          </w:p>
        </w:tc>
        <w:tc>
          <w:tcPr>
            <w:tcW w:w="124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7"/>
              </w:rPr>
              <w:t>Basic Common</w:t>
            </w:r>
          </w:p>
        </w:tc>
        <w:tc>
          <w:tcPr>
            <w:tcW w:w="820" w:type="dxa"/>
            <w:vAlign w:val="bottom"/>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60" w:type="dxa"/>
            <w:vAlign w:val="bottom"/>
            <w:shd w:val="clear" w:color="auto" w:fill="CCEBF8"/>
          </w:tcPr>
          <w:p>
            <w:pPr>
              <w:spacing w:after="0"/>
              <w:rPr>
                <w:sz w:val="10"/>
                <w:szCs w:val="10"/>
                <w:color w:val="auto"/>
              </w:rPr>
            </w:pPr>
          </w:p>
        </w:tc>
        <w:tc>
          <w:tcPr>
            <w:tcW w:w="1200" w:type="dxa"/>
            <w:vAlign w:val="bottom"/>
            <w:shd w:val="clear" w:color="auto" w:fill="CCEBF8"/>
          </w:tcPr>
          <w:p>
            <w:pPr>
              <w:jc w:val="right"/>
              <w:ind w:right="226"/>
              <w:spacing w:after="0"/>
              <w:rPr>
                <w:sz w:val="20"/>
                <w:szCs w:val="20"/>
                <w:color w:val="auto"/>
              </w:rPr>
            </w:pPr>
            <w:r>
              <w:rPr>
                <w:rFonts w:ascii="Arial" w:cs="Arial" w:eastAsia="Arial" w:hAnsi="Arial"/>
                <w:sz w:val="11"/>
                <w:szCs w:val="11"/>
                <w:b w:val="1"/>
                <w:bCs w:val="1"/>
                <w:color w:val="009BDE"/>
              </w:rPr>
              <w:t>to Options</w:t>
            </w:r>
          </w:p>
        </w:tc>
        <w:tc>
          <w:tcPr>
            <w:tcW w:w="110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rPr>
              <w:t>Awards</w:t>
            </w:r>
          </w:p>
        </w:tc>
        <w:tc>
          <w:tcPr>
            <w:tcW w:w="82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8"/>
              </w:rPr>
              <w:t>Actually</w:t>
            </w:r>
          </w:p>
        </w:tc>
        <w:tc>
          <w:tcPr>
            <w:tcW w:w="124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7"/>
              </w:rPr>
              <w:t>Shares</w:t>
            </w:r>
          </w:p>
        </w:tc>
        <w:tc>
          <w:tcPr>
            <w:tcW w:w="820" w:type="dxa"/>
            <w:vAlign w:val="bottom"/>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160" w:type="dxa"/>
            <w:vAlign w:val="bottom"/>
            <w:shd w:val="clear" w:color="auto" w:fill="CCEBF8"/>
          </w:tcPr>
          <w:p>
            <w:pPr>
              <w:jc w:val="right"/>
              <w:ind w:right="1546"/>
              <w:spacing w:after="0"/>
              <w:rPr>
                <w:sz w:val="20"/>
                <w:szCs w:val="20"/>
                <w:color w:val="auto"/>
              </w:rPr>
            </w:pPr>
            <w:r>
              <w:rPr>
                <w:rFonts w:ascii="Arial" w:cs="Arial" w:eastAsia="Arial" w:hAnsi="Arial"/>
                <w:sz w:val="11"/>
                <w:szCs w:val="11"/>
                <w:b w:val="1"/>
                <w:bCs w:val="1"/>
                <w:color w:val="009BDE"/>
                <w:w w:val="92"/>
              </w:rPr>
              <w:t>Fiscal Year</w:t>
            </w:r>
          </w:p>
        </w:tc>
        <w:tc>
          <w:tcPr>
            <w:tcW w:w="1200" w:type="dxa"/>
            <w:vAlign w:val="bottom"/>
            <w:shd w:val="clear" w:color="auto" w:fill="CCEBF8"/>
          </w:tcPr>
          <w:p>
            <w:pPr>
              <w:jc w:val="right"/>
              <w:ind w:right="226"/>
              <w:spacing w:after="0"/>
              <w:rPr>
                <w:sz w:val="20"/>
                <w:szCs w:val="20"/>
                <w:color w:val="auto"/>
              </w:rPr>
            </w:pPr>
            <w:r>
              <w:rPr>
                <w:rFonts w:ascii="Arial" w:cs="Arial" w:eastAsia="Arial" w:hAnsi="Arial"/>
                <w:sz w:val="11"/>
                <w:szCs w:val="11"/>
                <w:b w:val="1"/>
                <w:bCs w:val="1"/>
                <w:color w:val="009BDE"/>
              </w:rPr>
              <w:t>Granted(a)</w:t>
            </w:r>
          </w:p>
        </w:tc>
        <w:tc>
          <w:tcPr>
            <w:tcW w:w="110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9"/>
              </w:rPr>
              <w:t>Granted(b)</w:t>
            </w:r>
          </w:p>
        </w:tc>
        <w:tc>
          <w:tcPr>
            <w:tcW w:w="82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8"/>
              </w:rPr>
              <w:t>Earned(c)</w:t>
            </w:r>
          </w:p>
        </w:tc>
        <w:tc>
          <w:tcPr>
            <w:tcW w:w="124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8"/>
              </w:rPr>
              <w:t>Outstanding</w:t>
            </w:r>
          </w:p>
        </w:tc>
        <w:tc>
          <w:tcPr>
            <w:tcW w:w="820" w:type="dxa"/>
            <w:vAlign w:val="bottom"/>
            <w:shd w:val="clear" w:color="auto" w:fill="CCEBF8"/>
          </w:tcPr>
          <w:p>
            <w:pPr>
              <w:jc w:val="right"/>
              <w:ind w:right="86"/>
              <w:spacing w:after="0"/>
              <w:rPr>
                <w:sz w:val="20"/>
                <w:szCs w:val="20"/>
                <w:color w:val="auto"/>
              </w:rPr>
            </w:pPr>
            <w:r>
              <w:rPr>
                <w:rFonts w:ascii="Arial" w:cs="Arial" w:eastAsia="Arial" w:hAnsi="Arial"/>
                <w:sz w:val="11"/>
                <w:szCs w:val="11"/>
                <w:b w:val="1"/>
                <w:bCs w:val="1"/>
                <w:color w:val="009BDE"/>
              </w:rPr>
              <w:t>Burn Rate</w:t>
            </w:r>
          </w:p>
        </w:tc>
        <w:tc>
          <w:tcPr>
            <w:tcW w:w="0" w:type="dxa"/>
            <w:vAlign w:val="bottom"/>
          </w:tcPr>
          <w:p>
            <w:pPr>
              <w:spacing w:after="0"/>
              <w:rPr>
                <w:sz w:val="1"/>
                <w:szCs w:val="1"/>
                <w:color w:val="auto"/>
              </w:rPr>
            </w:pPr>
          </w:p>
        </w:tc>
      </w:tr>
      <w:tr>
        <w:trPr>
          <w:trHeight w:val="85"/>
        </w:trPr>
        <w:tc>
          <w:tcPr>
            <w:tcW w:w="2160" w:type="dxa"/>
            <w:vAlign w:val="bottom"/>
            <w:tcBorders>
              <w:bottom w:val="single" w:sz="8" w:color="009BDE"/>
            </w:tcBorders>
            <w:shd w:val="clear" w:color="auto" w:fill="CCEBF8"/>
          </w:tcPr>
          <w:p>
            <w:pPr>
              <w:spacing w:after="0"/>
              <w:rPr>
                <w:sz w:val="7"/>
                <w:szCs w:val="7"/>
                <w:color w:val="auto"/>
              </w:rPr>
            </w:pPr>
          </w:p>
        </w:tc>
        <w:tc>
          <w:tcPr>
            <w:tcW w:w="1200" w:type="dxa"/>
            <w:vAlign w:val="bottom"/>
            <w:tcBorders>
              <w:bottom w:val="single" w:sz="8" w:color="009BDE"/>
            </w:tcBorders>
            <w:shd w:val="clear" w:color="auto" w:fill="CCEBF8"/>
          </w:tcPr>
          <w:p>
            <w:pPr>
              <w:spacing w:after="0"/>
              <w:rPr>
                <w:sz w:val="7"/>
                <w:szCs w:val="7"/>
                <w:color w:val="auto"/>
              </w:rPr>
            </w:pPr>
          </w:p>
        </w:tc>
        <w:tc>
          <w:tcPr>
            <w:tcW w:w="1100" w:type="dxa"/>
            <w:vAlign w:val="bottom"/>
            <w:tcBorders>
              <w:bottom w:val="single" w:sz="8" w:color="009BDE"/>
            </w:tcBorders>
            <w:shd w:val="clear" w:color="auto" w:fill="CCEBF8"/>
          </w:tcPr>
          <w:p>
            <w:pPr>
              <w:spacing w:after="0"/>
              <w:rPr>
                <w:sz w:val="7"/>
                <w:szCs w:val="7"/>
                <w:color w:val="auto"/>
              </w:rPr>
            </w:pPr>
          </w:p>
        </w:tc>
        <w:tc>
          <w:tcPr>
            <w:tcW w:w="820" w:type="dxa"/>
            <w:vAlign w:val="bottom"/>
            <w:tcBorders>
              <w:bottom w:val="single" w:sz="8" w:color="009BDE"/>
            </w:tcBorders>
            <w:shd w:val="clear" w:color="auto" w:fill="CCEBF8"/>
          </w:tcPr>
          <w:p>
            <w:pPr>
              <w:spacing w:after="0"/>
              <w:rPr>
                <w:sz w:val="7"/>
                <w:szCs w:val="7"/>
                <w:color w:val="auto"/>
              </w:rPr>
            </w:pPr>
          </w:p>
        </w:tc>
        <w:tc>
          <w:tcPr>
            <w:tcW w:w="1240" w:type="dxa"/>
            <w:vAlign w:val="bottom"/>
            <w:tcBorders>
              <w:bottom w:val="single" w:sz="8" w:color="009BDE"/>
            </w:tcBorders>
            <w:shd w:val="clear" w:color="auto" w:fill="CCEBF8"/>
          </w:tcPr>
          <w:p>
            <w:pPr>
              <w:spacing w:after="0"/>
              <w:rPr>
                <w:sz w:val="7"/>
                <w:szCs w:val="7"/>
                <w:color w:val="auto"/>
              </w:rPr>
            </w:pPr>
          </w:p>
        </w:tc>
        <w:tc>
          <w:tcPr>
            <w:tcW w:w="820" w:type="dxa"/>
            <w:vAlign w:val="bottom"/>
            <w:tcBorders>
              <w:bottom w:val="single" w:sz="8" w:color="009BDE"/>
            </w:tcBorders>
            <w:shd w:val="clear" w:color="auto" w:fill="CCEBF8"/>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160" w:type="dxa"/>
            <w:vAlign w:val="bottom"/>
          </w:tcPr>
          <w:p>
            <w:pPr>
              <w:jc w:val="right"/>
              <w:ind w:right="1826"/>
              <w:spacing w:after="0"/>
              <w:rPr>
                <w:sz w:val="20"/>
                <w:szCs w:val="20"/>
                <w:color w:val="auto"/>
              </w:rPr>
            </w:pPr>
            <w:r>
              <w:rPr>
                <w:rFonts w:ascii="Arial" w:cs="Arial" w:eastAsia="Arial" w:hAnsi="Arial"/>
                <w:sz w:val="11"/>
                <w:szCs w:val="11"/>
                <w:color w:val="auto"/>
              </w:rPr>
              <w:t>2022</w:t>
            </w:r>
          </w:p>
        </w:tc>
        <w:tc>
          <w:tcPr>
            <w:tcW w:w="1200" w:type="dxa"/>
            <w:vAlign w:val="bottom"/>
          </w:tcPr>
          <w:p>
            <w:pPr>
              <w:jc w:val="right"/>
              <w:ind w:right="106"/>
              <w:spacing w:after="0"/>
              <w:rPr>
                <w:sz w:val="20"/>
                <w:szCs w:val="20"/>
                <w:color w:val="auto"/>
              </w:rPr>
            </w:pPr>
            <w:r>
              <w:rPr>
                <w:rFonts w:ascii="Arial" w:cs="Arial" w:eastAsia="Arial" w:hAnsi="Arial"/>
                <w:sz w:val="11"/>
                <w:szCs w:val="11"/>
                <w:color w:val="auto"/>
              </w:rPr>
              <w:t>644,323</w:t>
            </w:r>
          </w:p>
        </w:tc>
        <w:tc>
          <w:tcPr>
            <w:tcW w:w="1100" w:type="dxa"/>
            <w:vAlign w:val="bottom"/>
          </w:tcPr>
          <w:p>
            <w:pPr>
              <w:jc w:val="right"/>
              <w:ind w:right="106"/>
              <w:spacing w:after="0"/>
              <w:rPr>
                <w:sz w:val="20"/>
                <w:szCs w:val="20"/>
                <w:color w:val="auto"/>
              </w:rPr>
            </w:pPr>
            <w:r>
              <w:rPr>
                <w:rFonts w:ascii="Arial" w:cs="Arial" w:eastAsia="Arial" w:hAnsi="Arial"/>
                <w:sz w:val="11"/>
                <w:szCs w:val="11"/>
                <w:color w:val="auto"/>
              </w:rPr>
              <w:t>733,932</w:t>
            </w:r>
          </w:p>
        </w:tc>
        <w:tc>
          <w:tcPr>
            <w:tcW w:w="820" w:type="dxa"/>
            <w:vAlign w:val="bottom"/>
          </w:tcPr>
          <w:p>
            <w:pPr>
              <w:jc w:val="right"/>
              <w:ind w:right="106"/>
              <w:spacing w:after="0"/>
              <w:rPr>
                <w:sz w:val="20"/>
                <w:szCs w:val="20"/>
                <w:color w:val="auto"/>
              </w:rPr>
            </w:pPr>
            <w:r>
              <w:rPr>
                <w:rFonts w:ascii="Arial" w:cs="Arial" w:eastAsia="Arial" w:hAnsi="Arial"/>
                <w:sz w:val="11"/>
                <w:szCs w:val="11"/>
                <w:color w:val="auto"/>
              </w:rPr>
              <w:t>231,311</w:t>
            </w:r>
          </w:p>
        </w:tc>
        <w:tc>
          <w:tcPr>
            <w:tcW w:w="1240" w:type="dxa"/>
            <w:vAlign w:val="bottom"/>
          </w:tcPr>
          <w:p>
            <w:pPr>
              <w:jc w:val="right"/>
              <w:ind w:right="106"/>
              <w:spacing w:after="0"/>
              <w:rPr>
                <w:sz w:val="20"/>
                <w:szCs w:val="20"/>
                <w:color w:val="auto"/>
              </w:rPr>
            </w:pPr>
            <w:r>
              <w:rPr>
                <w:rFonts w:ascii="Arial" w:cs="Arial" w:eastAsia="Arial" w:hAnsi="Arial"/>
                <w:sz w:val="11"/>
                <w:szCs w:val="11"/>
                <w:color w:val="auto"/>
              </w:rPr>
              <w:t>138,700,000</w:t>
            </w:r>
          </w:p>
        </w:tc>
        <w:tc>
          <w:tcPr>
            <w:tcW w:w="820" w:type="dxa"/>
            <w:vAlign w:val="bottom"/>
          </w:tcPr>
          <w:p>
            <w:pPr>
              <w:jc w:val="right"/>
              <w:spacing w:after="0"/>
              <w:rPr>
                <w:sz w:val="20"/>
                <w:szCs w:val="20"/>
                <w:color w:val="auto"/>
              </w:rPr>
            </w:pPr>
            <w:r>
              <w:rPr>
                <w:rFonts w:ascii="Arial" w:cs="Arial" w:eastAsia="Arial" w:hAnsi="Arial"/>
                <w:sz w:val="11"/>
                <w:szCs w:val="11"/>
                <w:color w:val="auto"/>
              </w:rPr>
              <w:t>1.08%</w:t>
            </w:r>
          </w:p>
        </w:tc>
        <w:tc>
          <w:tcPr>
            <w:tcW w:w="0" w:type="dxa"/>
            <w:vAlign w:val="bottom"/>
          </w:tcPr>
          <w:p>
            <w:pPr>
              <w:spacing w:after="0"/>
              <w:rPr>
                <w:sz w:val="1"/>
                <w:szCs w:val="1"/>
                <w:color w:val="auto"/>
              </w:rPr>
            </w:pPr>
          </w:p>
        </w:tc>
      </w:tr>
      <w:tr>
        <w:trPr>
          <w:trHeight w:val="67"/>
        </w:trPr>
        <w:tc>
          <w:tcPr>
            <w:tcW w:w="2160" w:type="dxa"/>
            <w:vAlign w:val="bottom"/>
            <w:tcBorders>
              <w:bottom w:val="single" w:sz="8" w:color="009BDE"/>
            </w:tcBorders>
          </w:tcPr>
          <w:p>
            <w:pPr>
              <w:spacing w:after="0"/>
              <w:rPr>
                <w:sz w:val="5"/>
                <w:szCs w:val="5"/>
                <w:color w:val="auto"/>
              </w:rPr>
            </w:pPr>
          </w:p>
        </w:tc>
        <w:tc>
          <w:tcPr>
            <w:tcW w:w="1200" w:type="dxa"/>
            <w:vAlign w:val="bottom"/>
            <w:tcBorders>
              <w:bottom w:val="single" w:sz="8" w:color="009BDE"/>
            </w:tcBorders>
          </w:tcPr>
          <w:p>
            <w:pPr>
              <w:spacing w:after="0"/>
              <w:rPr>
                <w:sz w:val="5"/>
                <w:szCs w:val="5"/>
                <w:color w:val="auto"/>
              </w:rPr>
            </w:pPr>
          </w:p>
        </w:tc>
        <w:tc>
          <w:tcPr>
            <w:tcW w:w="110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124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160" w:type="dxa"/>
            <w:vAlign w:val="bottom"/>
          </w:tcPr>
          <w:p>
            <w:pPr>
              <w:jc w:val="right"/>
              <w:ind w:right="1826"/>
              <w:spacing w:after="0"/>
              <w:rPr>
                <w:sz w:val="20"/>
                <w:szCs w:val="20"/>
                <w:color w:val="auto"/>
              </w:rPr>
            </w:pPr>
            <w:r>
              <w:rPr>
                <w:rFonts w:ascii="Arial" w:cs="Arial" w:eastAsia="Arial" w:hAnsi="Arial"/>
                <w:sz w:val="11"/>
                <w:szCs w:val="11"/>
                <w:color w:val="auto"/>
              </w:rPr>
              <w:t>2021</w:t>
            </w:r>
          </w:p>
        </w:tc>
        <w:tc>
          <w:tcPr>
            <w:tcW w:w="1200" w:type="dxa"/>
            <w:vAlign w:val="bottom"/>
          </w:tcPr>
          <w:p>
            <w:pPr>
              <w:jc w:val="right"/>
              <w:ind w:right="106"/>
              <w:spacing w:after="0"/>
              <w:rPr>
                <w:sz w:val="20"/>
                <w:szCs w:val="20"/>
                <w:color w:val="auto"/>
              </w:rPr>
            </w:pPr>
            <w:r>
              <w:rPr>
                <w:rFonts w:ascii="Arial" w:cs="Arial" w:eastAsia="Arial" w:hAnsi="Arial"/>
                <w:sz w:val="11"/>
                <w:szCs w:val="11"/>
                <w:color w:val="auto"/>
              </w:rPr>
              <w:t>617,839</w:t>
            </w:r>
          </w:p>
        </w:tc>
        <w:tc>
          <w:tcPr>
            <w:tcW w:w="1100" w:type="dxa"/>
            <w:vAlign w:val="bottom"/>
          </w:tcPr>
          <w:p>
            <w:pPr>
              <w:jc w:val="right"/>
              <w:ind w:right="106"/>
              <w:spacing w:after="0"/>
              <w:rPr>
                <w:sz w:val="20"/>
                <w:szCs w:val="20"/>
                <w:color w:val="auto"/>
              </w:rPr>
            </w:pPr>
            <w:r>
              <w:rPr>
                <w:rFonts w:ascii="Arial" w:cs="Arial" w:eastAsia="Arial" w:hAnsi="Arial"/>
                <w:sz w:val="11"/>
                <w:szCs w:val="11"/>
                <w:color w:val="auto"/>
              </w:rPr>
              <w:t>672,601</w:t>
            </w:r>
          </w:p>
        </w:tc>
        <w:tc>
          <w:tcPr>
            <w:tcW w:w="8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1240" w:type="dxa"/>
            <w:vAlign w:val="bottom"/>
          </w:tcPr>
          <w:p>
            <w:pPr>
              <w:jc w:val="right"/>
              <w:ind w:right="106"/>
              <w:spacing w:after="0"/>
              <w:rPr>
                <w:sz w:val="20"/>
                <w:szCs w:val="20"/>
                <w:color w:val="auto"/>
              </w:rPr>
            </w:pPr>
            <w:r>
              <w:rPr>
                <w:rFonts w:ascii="Arial" w:cs="Arial" w:eastAsia="Arial" w:hAnsi="Arial"/>
                <w:sz w:val="11"/>
                <w:szCs w:val="11"/>
                <w:color w:val="auto"/>
              </w:rPr>
              <w:t>138,000,000</w:t>
            </w:r>
          </w:p>
        </w:tc>
        <w:tc>
          <w:tcPr>
            <w:tcW w:w="820" w:type="dxa"/>
            <w:vAlign w:val="bottom"/>
          </w:tcPr>
          <w:p>
            <w:pPr>
              <w:jc w:val="right"/>
              <w:spacing w:after="0"/>
              <w:rPr>
                <w:sz w:val="20"/>
                <w:szCs w:val="20"/>
                <w:color w:val="auto"/>
              </w:rPr>
            </w:pPr>
            <w:r>
              <w:rPr>
                <w:rFonts w:ascii="Arial" w:cs="Arial" w:eastAsia="Arial" w:hAnsi="Arial"/>
                <w:sz w:val="11"/>
                <w:szCs w:val="11"/>
                <w:color w:val="auto"/>
              </w:rPr>
              <w:t>0.94%</w:t>
            </w:r>
          </w:p>
        </w:tc>
        <w:tc>
          <w:tcPr>
            <w:tcW w:w="0" w:type="dxa"/>
            <w:vAlign w:val="bottom"/>
          </w:tcPr>
          <w:p>
            <w:pPr>
              <w:spacing w:after="0"/>
              <w:rPr>
                <w:sz w:val="1"/>
                <w:szCs w:val="1"/>
                <w:color w:val="auto"/>
              </w:rPr>
            </w:pPr>
          </w:p>
        </w:tc>
      </w:tr>
      <w:tr>
        <w:trPr>
          <w:trHeight w:val="67"/>
        </w:trPr>
        <w:tc>
          <w:tcPr>
            <w:tcW w:w="2160" w:type="dxa"/>
            <w:vAlign w:val="bottom"/>
            <w:tcBorders>
              <w:bottom w:val="single" w:sz="8" w:color="009BDE"/>
            </w:tcBorders>
          </w:tcPr>
          <w:p>
            <w:pPr>
              <w:spacing w:after="0"/>
              <w:rPr>
                <w:sz w:val="5"/>
                <w:szCs w:val="5"/>
                <w:color w:val="auto"/>
              </w:rPr>
            </w:pPr>
          </w:p>
        </w:tc>
        <w:tc>
          <w:tcPr>
            <w:tcW w:w="1200" w:type="dxa"/>
            <w:vAlign w:val="bottom"/>
            <w:tcBorders>
              <w:bottom w:val="single" w:sz="8" w:color="009BDE"/>
            </w:tcBorders>
          </w:tcPr>
          <w:p>
            <w:pPr>
              <w:spacing w:after="0"/>
              <w:rPr>
                <w:sz w:val="5"/>
                <w:szCs w:val="5"/>
                <w:color w:val="auto"/>
              </w:rPr>
            </w:pPr>
          </w:p>
        </w:tc>
        <w:tc>
          <w:tcPr>
            <w:tcW w:w="110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124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160" w:type="dxa"/>
            <w:vAlign w:val="bottom"/>
          </w:tcPr>
          <w:p>
            <w:pPr>
              <w:jc w:val="right"/>
              <w:ind w:right="1826"/>
              <w:spacing w:after="0"/>
              <w:rPr>
                <w:sz w:val="20"/>
                <w:szCs w:val="20"/>
                <w:color w:val="auto"/>
              </w:rPr>
            </w:pPr>
            <w:r>
              <w:rPr>
                <w:rFonts w:ascii="Arial" w:cs="Arial" w:eastAsia="Arial" w:hAnsi="Arial"/>
                <w:sz w:val="11"/>
                <w:szCs w:val="11"/>
                <w:color w:val="auto"/>
              </w:rPr>
              <w:t>2020</w:t>
            </w:r>
          </w:p>
        </w:tc>
        <w:tc>
          <w:tcPr>
            <w:tcW w:w="1200" w:type="dxa"/>
            <w:vAlign w:val="bottom"/>
          </w:tcPr>
          <w:p>
            <w:pPr>
              <w:jc w:val="right"/>
              <w:ind w:right="106"/>
              <w:spacing w:after="0"/>
              <w:rPr>
                <w:sz w:val="20"/>
                <w:szCs w:val="20"/>
                <w:color w:val="auto"/>
              </w:rPr>
            </w:pPr>
            <w:r>
              <w:rPr>
                <w:rFonts w:ascii="Arial" w:cs="Arial" w:eastAsia="Arial" w:hAnsi="Arial"/>
                <w:sz w:val="11"/>
                <w:szCs w:val="11"/>
                <w:color w:val="auto"/>
              </w:rPr>
              <w:t>829,135</w:t>
            </w:r>
          </w:p>
        </w:tc>
        <w:tc>
          <w:tcPr>
            <w:tcW w:w="1100" w:type="dxa"/>
            <w:vAlign w:val="bottom"/>
          </w:tcPr>
          <w:p>
            <w:pPr>
              <w:jc w:val="right"/>
              <w:ind w:right="106"/>
              <w:spacing w:after="0"/>
              <w:rPr>
                <w:sz w:val="20"/>
                <w:szCs w:val="20"/>
                <w:color w:val="auto"/>
              </w:rPr>
            </w:pPr>
            <w:r>
              <w:rPr>
                <w:rFonts w:ascii="Arial" w:cs="Arial" w:eastAsia="Arial" w:hAnsi="Arial"/>
                <w:sz w:val="11"/>
                <w:szCs w:val="11"/>
                <w:color w:val="auto"/>
              </w:rPr>
              <w:t>840,611</w:t>
            </w:r>
          </w:p>
        </w:tc>
        <w:tc>
          <w:tcPr>
            <w:tcW w:w="8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1240" w:type="dxa"/>
            <w:vAlign w:val="bottom"/>
          </w:tcPr>
          <w:p>
            <w:pPr>
              <w:jc w:val="right"/>
              <w:ind w:right="106"/>
              <w:spacing w:after="0"/>
              <w:rPr>
                <w:sz w:val="20"/>
                <w:szCs w:val="20"/>
                <w:color w:val="auto"/>
              </w:rPr>
            </w:pPr>
            <w:r>
              <w:rPr>
                <w:rFonts w:ascii="Arial" w:cs="Arial" w:eastAsia="Arial" w:hAnsi="Arial"/>
                <w:sz w:val="11"/>
                <w:szCs w:val="11"/>
                <w:color w:val="auto"/>
              </w:rPr>
              <w:t>137,300,000</w:t>
            </w:r>
          </w:p>
        </w:tc>
        <w:tc>
          <w:tcPr>
            <w:tcW w:w="820" w:type="dxa"/>
            <w:vAlign w:val="bottom"/>
          </w:tcPr>
          <w:p>
            <w:pPr>
              <w:jc w:val="right"/>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67"/>
        </w:trPr>
        <w:tc>
          <w:tcPr>
            <w:tcW w:w="2160" w:type="dxa"/>
            <w:vAlign w:val="bottom"/>
            <w:tcBorders>
              <w:bottom w:val="single" w:sz="8" w:color="009BDE"/>
            </w:tcBorders>
          </w:tcPr>
          <w:p>
            <w:pPr>
              <w:spacing w:after="0"/>
              <w:rPr>
                <w:sz w:val="5"/>
                <w:szCs w:val="5"/>
                <w:color w:val="auto"/>
              </w:rPr>
            </w:pPr>
          </w:p>
        </w:tc>
        <w:tc>
          <w:tcPr>
            <w:tcW w:w="1200" w:type="dxa"/>
            <w:vAlign w:val="bottom"/>
            <w:tcBorders>
              <w:bottom w:val="single" w:sz="8" w:color="009BDE"/>
            </w:tcBorders>
          </w:tcPr>
          <w:p>
            <w:pPr>
              <w:spacing w:after="0"/>
              <w:rPr>
                <w:sz w:val="5"/>
                <w:szCs w:val="5"/>
                <w:color w:val="auto"/>
              </w:rPr>
            </w:pPr>
          </w:p>
        </w:tc>
        <w:tc>
          <w:tcPr>
            <w:tcW w:w="110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124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160" w:type="dxa"/>
            <w:vAlign w:val="bottom"/>
          </w:tcPr>
          <w:p>
            <w:pPr>
              <w:jc w:val="right"/>
              <w:ind w:right="1826"/>
              <w:spacing w:after="0"/>
              <w:rPr>
                <w:sz w:val="20"/>
                <w:szCs w:val="20"/>
                <w:color w:val="auto"/>
              </w:rPr>
            </w:pPr>
            <w:r>
              <w:rPr>
                <w:rFonts w:ascii="Arial" w:cs="Arial" w:eastAsia="Arial" w:hAnsi="Arial"/>
                <w:sz w:val="11"/>
                <w:szCs w:val="11"/>
                <w:color w:val="auto"/>
              </w:rPr>
              <w:t>2019</w:t>
            </w:r>
          </w:p>
        </w:tc>
        <w:tc>
          <w:tcPr>
            <w:tcW w:w="1200" w:type="dxa"/>
            <w:vAlign w:val="bottom"/>
          </w:tcPr>
          <w:p>
            <w:pPr>
              <w:jc w:val="right"/>
              <w:ind w:right="106"/>
              <w:spacing w:after="0"/>
              <w:rPr>
                <w:sz w:val="20"/>
                <w:szCs w:val="20"/>
                <w:color w:val="auto"/>
              </w:rPr>
            </w:pPr>
            <w:r>
              <w:rPr>
                <w:rFonts w:ascii="Arial" w:cs="Arial" w:eastAsia="Arial" w:hAnsi="Arial"/>
                <w:sz w:val="11"/>
                <w:szCs w:val="11"/>
                <w:color w:val="auto"/>
              </w:rPr>
              <w:t>740,277</w:t>
            </w:r>
          </w:p>
        </w:tc>
        <w:tc>
          <w:tcPr>
            <w:tcW w:w="1100" w:type="dxa"/>
            <w:vAlign w:val="bottom"/>
          </w:tcPr>
          <w:p>
            <w:pPr>
              <w:jc w:val="right"/>
              <w:ind w:right="106"/>
              <w:spacing w:after="0"/>
              <w:rPr>
                <w:sz w:val="20"/>
                <w:szCs w:val="20"/>
                <w:color w:val="auto"/>
              </w:rPr>
            </w:pPr>
            <w:r>
              <w:rPr>
                <w:rFonts w:ascii="Arial" w:cs="Arial" w:eastAsia="Arial" w:hAnsi="Arial"/>
                <w:sz w:val="11"/>
                <w:szCs w:val="11"/>
                <w:color w:val="auto"/>
              </w:rPr>
              <w:t>277,120</w:t>
            </w:r>
          </w:p>
        </w:tc>
        <w:tc>
          <w:tcPr>
            <w:tcW w:w="820" w:type="dxa"/>
            <w:vAlign w:val="bottom"/>
          </w:tcPr>
          <w:p>
            <w:pPr>
              <w:jc w:val="right"/>
              <w:ind w:right="106"/>
              <w:spacing w:after="0"/>
              <w:rPr>
                <w:sz w:val="20"/>
                <w:szCs w:val="20"/>
                <w:color w:val="auto"/>
              </w:rPr>
            </w:pPr>
            <w:r>
              <w:rPr>
                <w:rFonts w:ascii="Arial" w:cs="Arial" w:eastAsia="Arial" w:hAnsi="Arial"/>
                <w:sz w:val="11"/>
                <w:szCs w:val="11"/>
                <w:color w:val="auto"/>
              </w:rPr>
              <w:t>5,128</w:t>
            </w:r>
          </w:p>
        </w:tc>
        <w:tc>
          <w:tcPr>
            <w:tcW w:w="1240" w:type="dxa"/>
            <w:vAlign w:val="bottom"/>
          </w:tcPr>
          <w:p>
            <w:pPr>
              <w:jc w:val="right"/>
              <w:ind w:right="106"/>
              <w:spacing w:after="0"/>
              <w:rPr>
                <w:sz w:val="20"/>
                <w:szCs w:val="20"/>
                <w:color w:val="auto"/>
              </w:rPr>
            </w:pPr>
            <w:r>
              <w:rPr>
                <w:rFonts w:ascii="Arial" w:cs="Arial" w:eastAsia="Arial" w:hAnsi="Arial"/>
                <w:sz w:val="11"/>
                <w:szCs w:val="11"/>
                <w:color w:val="auto"/>
              </w:rPr>
              <w:t>127,895,889</w:t>
            </w:r>
          </w:p>
        </w:tc>
        <w:tc>
          <w:tcPr>
            <w:tcW w:w="820" w:type="dxa"/>
            <w:vAlign w:val="bottom"/>
          </w:tcPr>
          <w:p>
            <w:pPr>
              <w:jc w:val="right"/>
              <w:spacing w:after="0"/>
              <w:rPr>
                <w:sz w:val="20"/>
                <w:szCs w:val="20"/>
                <w:color w:val="auto"/>
              </w:rPr>
            </w:pPr>
            <w:r>
              <w:rPr>
                <w:rFonts w:ascii="Arial" w:cs="Arial" w:eastAsia="Arial" w:hAnsi="Arial"/>
                <w:sz w:val="11"/>
                <w:szCs w:val="11"/>
                <w:color w:val="auto"/>
              </w:rPr>
              <w:t>0.80%</w:t>
            </w:r>
          </w:p>
        </w:tc>
        <w:tc>
          <w:tcPr>
            <w:tcW w:w="0" w:type="dxa"/>
            <w:vAlign w:val="bottom"/>
          </w:tcPr>
          <w:p>
            <w:pPr>
              <w:spacing w:after="0"/>
              <w:rPr>
                <w:sz w:val="1"/>
                <w:szCs w:val="1"/>
                <w:color w:val="auto"/>
              </w:rPr>
            </w:pPr>
          </w:p>
        </w:tc>
      </w:tr>
      <w:tr>
        <w:trPr>
          <w:trHeight w:val="67"/>
        </w:trPr>
        <w:tc>
          <w:tcPr>
            <w:tcW w:w="2160" w:type="dxa"/>
            <w:vAlign w:val="bottom"/>
            <w:tcBorders>
              <w:bottom w:val="single" w:sz="8" w:color="009BDE"/>
            </w:tcBorders>
          </w:tcPr>
          <w:p>
            <w:pPr>
              <w:spacing w:after="0"/>
              <w:rPr>
                <w:sz w:val="5"/>
                <w:szCs w:val="5"/>
                <w:color w:val="auto"/>
              </w:rPr>
            </w:pPr>
          </w:p>
        </w:tc>
        <w:tc>
          <w:tcPr>
            <w:tcW w:w="1200" w:type="dxa"/>
            <w:vAlign w:val="bottom"/>
            <w:tcBorders>
              <w:bottom w:val="single" w:sz="8" w:color="009BDE"/>
            </w:tcBorders>
          </w:tcPr>
          <w:p>
            <w:pPr>
              <w:spacing w:after="0"/>
              <w:rPr>
                <w:sz w:val="5"/>
                <w:szCs w:val="5"/>
                <w:color w:val="auto"/>
              </w:rPr>
            </w:pPr>
          </w:p>
        </w:tc>
        <w:tc>
          <w:tcPr>
            <w:tcW w:w="110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124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160" w:type="dxa"/>
            <w:vAlign w:val="bottom"/>
          </w:tcPr>
          <w:p>
            <w:pPr>
              <w:jc w:val="right"/>
              <w:ind w:right="1826"/>
              <w:spacing w:after="0"/>
              <w:rPr>
                <w:sz w:val="20"/>
                <w:szCs w:val="20"/>
                <w:color w:val="auto"/>
              </w:rPr>
            </w:pPr>
            <w:r>
              <w:rPr>
                <w:rFonts w:ascii="Arial" w:cs="Arial" w:eastAsia="Arial" w:hAnsi="Arial"/>
                <w:sz w:val="11"/>
                <w:szCs w:val="11"/>
                <w:color w:val="auto"/>
              </w:rPr>
              <w:t>2018</w:t>
            </w:r>
          </w:p>
        </w:tc>
        <w:tc>
          <w:tcPr>
            <w:tcW w:w="1200" w:type="dxa"/>
            <w:vAlign w:val="bottom"/>
          </w:tcPr>
          <w:p>
            <w:pPr>
              <w:jc w:val="right"/>
              <w:ind w:right="106"/>
              <w:spacing w:after="0"/>
              <w:rPr>
                <w:sz w:val="20"/>
                <w:szCs w:val="20"/>
                <w:color w:val="auto"/>
              </w:rPr>
            </w:pPr>
            <w:r>
              <w:rPr>
                <w:rFonts w:ascii="Arial" w:cs="Arial" w:eastAsia="Arial" w:hAnsi="Arial"/>
                <w:sz w:val="11"/>
                <w:szCs w:val="11"/>
                <w:color w:val="auto"/>
              </w:rPr>
              <w:t>537,771</w:t>
            </w:r>
          </w:p>
        </w:tc>
        <w:tc>
          <w:tcPr>
            <w:tcW w:w="1100" w:type="dxa"/>
            <w:vAlign w:val="bottom"/>
          </w:tcPr>
          <w:p>
            <w:pPr>
              <w:jc w:val="right"/>
              <w:ind w:right="106"/>
              <w:spacing w:after="0"/>
              <w:rPr>
                <w:sz w:val="20"/>
                <w:szCs w:val="20"/>
                <w:color w:val="auto"/>
              </w:rPr>
            </w:pPr>
            <w:r>
              <w:rPr>
                <w:rFonts w:ascii="Arial" w:cs="Arial" w:eastAsia="Arial" w:hAnsi="Arial"/>
                <w:sz w:val="11"/>
                <w:szCs w:val="11"/>
                <w:color w:val="auto"/>
              </w:rPr>
              <w:t>276,967</w:t>
            </w:r>
          </w:p>
        </w:tc>
        <w:tc>
          <w:tcPr>
            <w:tcW w:w="820" w:type="dxa"/>
            <w:vAlign w:val="bottom"/>
          </w:tcPr>
          <w:p>
            <w:pPr>
              <w:jc w:val="right"/>
              <w:ind w:right="106"/>
              <w:spacing w:after="0"/>
              <w:rPr>
                <w:sz w:val="20"/>
                <w:szCs w:val="20"/>
                <w:color w:val="auto"/>
              </w:rPr>
            </w:pPr>
            <w:r>
              <w:rPr>
                <w:rFonts w:ascii="Arial" w:cs="Arial" w:eastAsia="Arial" w:hAnsi="Arial"/>
                <w:sz w:val="11"/>
                <w:szCs w:val="11"/>
                <w:color w:val="auto"/>
              </w:rPr>
              <w:t>239,292</w:t>
            </w:r>
          </w:p>
        </w:tc>
        <w:tc>
          <w:tcPr>
            <w:tcW w:w="1240" w:type="dxa"/>
            <w:vAlign w:val="bottom"/>
          </w:tcPr>
          <w:p>
            <w:pPr>
              <w:jc w:val="right"/>
              <w:ind w:right="106"/>
              <w:spacing w:after="0"/>
              <w:rPr>
                <w:sz w:val="20"/>
                <w:szCs w:val="20"/>
                <w:color w:val="auto"/>
              </w:rPr>
            </w:pPr>
            <w:r>
              <w:rPr>
                <w:rFonts w:ascii="Arial" w:cs="Arial" w:eastAsia="Arial" w:hAnsi="Arial"/>
                <w:sz w:val="11"/>
                <w:szCs w:val="11"/>
                <w:color w:val="auto"/>
              </w:rPr>
              <w:t>126,132,020</w:t>
            </w:r>
          </w:p>
        </w:tc>
        <w:tc>
          <w:tcPr>
            <w:tcW w:w="820" w:type="dxa"/>
            <w:vAlign w:val="bottom"/>
          </w:tcPr>
          <w:p>
            <w:pPr>
              <w:jc w:val="right"/>
              <w:spacing w:after="0"/>
              <w:rPr>
                <w:sz w:val="20"/>
                <w:szCs w:val="20"/>
                <w:color w:val="auto"/>
              </w:rPr>
            </w:pPr>
            <w:r>
              <w:rPr>
                <w:rFonts w:ascii="Arial" w:cs="Arial" w:eastAsia="Arial" w:hAnsi="Arial"/>
                <w:sz w:val="11"/>
                <w:szCs w:val="11"/>
                <w:color w:val="auto"/>
              </w:rPr>
              <w:t>0.84%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42545</wp:posOffset>
            </wp:positionV>
            <wp:extent cx="4663440" cy="571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13" w:lineRule="exact"/>
        <w:rPr>
          <w:sz w:val="20"/>
          <w:szCs w:val="20"/>
          <w:color w:val="auto"/>
        </w:rPr>
      </w:pPr>
    </w:p>
    <w:p>
      <w:pPr>
        <w:ind w:left="2260" w:hanging="288"/>
        <w:spacing w:after="0"/>
        <w:tabs>
          <w:tab w:leader="none" w:pos="2260" w:val="left"/>
        </w:tabs>
        <w:numPr>
          <w:ilvl w:val="0"/>
          <w:numId w:val="65"/>
        </w:numPr>
        <w:rPr>
          <w:rFonts w:ascii="Arial" w:cs="Arial" w:eastAsia="Arial" w:hAnsi="Arial"/>
          <w:sz w:val="10"/>
          <w:szCs w:val="10"/>
          <w:color w:val="auto"/>
        </w:rPr>
      </w:pPr>
      <w:r>
        <w:rPr>
          <w:rFonts w:ascii="Arial" w:cs="Arial" w:eastAsia="Arial" w:hAnsi="Arial"/>
          <w:sz w:val="10"/>
          <w:szCs w:val="10"/>
          <w:color w:val="auto"/>
        </w:rPr>
        <w:t>Hasbro did not grant any SARs in any of the prior five fiscal years.</w:t>
      </w:r>
    </w:p>
    <w:p>
      <w:pPr>
        <w:spacing w:after="0" w:line="47" w:lineRule="exact"/>
        <w:rPr>
          <w:rFonts w:ascii="Arial" w:cs="Arial" w:eastAsia="Arial" w:hAnsi="Arial"/>
          <w:sz w:val="10"/>
          <w:szCs w:val="10"/>
          <w:color w:val="auto"/>
        </w:rPr>
      </w:pPr>
    </w:p>
    <w:p>
      <w:pPr>
        <w:ind w:left="2260" w:right="1079" w:hanging="288"/>
        <w:spacing w:after="0" w:line="232" w:lineRule="auto"/>
        <w:tabs>
          <w:tab w:leader="none" w:pos="2260" w:val="left"/>
        </w:tabs>
        <w:numPr>
          <w:ilvl w:val="0"/>
          <w:numId w:val="65"/>
        </w:numPr>
        <w:rPr>
          <w:rFonts w:ascii="Arial" w:cs="Arial" w:eastAsia="Arial" w:hAnsi="Arial"/>
          <w:sz w:val="10"/>
          <w:szCs w:val="10"/>
          <w:color w:val="auto"/>
        </w:rPr>
      </w:pPr>
      <w:r>
        <w:rPr>
          <w:rFonts w:ascii="Arial" w:cs="Arial" w:eastAsia="Arial" w:hAnsi="Arial"/>
          <w:sz w:val="10"/>
          <w:szCs w:val="10"/>
          <w:color w:val="auto"/>
        </w:rPr>
        <w:t>Consists of restricted stock units or other restricted stock awards with a time-based vesting component which are granted in that year, and shares that are vested upon grant. Does not include share awards subject to future performance criteria.</w:t>
      </w:r>
    </w:p>
    <w:p>
      <w:pPr>
        <w:spacing w:after="0" w:line="47" w:lineRule="exact"/>
        <w:rPr>
          <w:rFonts w:ascii="Arial" w:cs="Arial" w:eastAsia="Arial" w:hAnsi="Arial"/>
          <w:sz w:val="10"/>
          <w:szCs w:val="10"/>
          <w:color w:val="auto"/>
        </w:rPr>
      </w:pPr>
    </w:p>
    <w:p>
      <w:pPr>
        <w:ind w:left="2260" w:right="859" w:hanging="288"/>
        <w:spacing w:after="0" w:line="341" w:lineRule="auto"/>
        <w:tabs>
          <w:tab w:leader="none" w:pos="2260" w:val="left"/>
        </w:tabs>
        <w:numPr>
          <w:ilvl w:val="0"/>
          <w:numId w:val="65"/>
        </w:numPr>
        <w:rPr>
          <w:rFonts w:ascii="Arial" w:cs="Arial" w:eastAsia="Arial" w:hAnsi="Arial"/>
          <w:sz w:val="8"/>
          <w:szCs w:val="8"/>
          <w:color w:val="auto"/>
        </w:rPr>
      </w:pPr>
      <w:r>
        <w:rPr>
          <w:rFonts w:ascii="Arial" w:cs="Arial" w:eastAsia="Arial" w:hAnsi="Arial"/>
          <w:sz w:val="8"/>
          <w:szCs w:val="8"/>
          <w:color w:val="auto"/>
        </w:rPr>
        <w:t>Consists of contingent stock performance awards or other awards subject to performance criteria earned for the three-year performance period ending in December of that year (so for example, the 2022 figure includes any contingent stock performance awards earned for the three-year performance period ending December 2022).</w:t>
      </w:r>
    </w:p>
    <w:p>
      <w:pPr>
        <w:spacing w:after="0" w:line="5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Company’s average unadjusted burn rate for the prior three years, as derived from the table above, was 0.78%.</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Awards Granted Under the 2003 Plan and Existing Plan Benefits</w:t>
      </w:r>
    </w:p>
    <w:p>
      <w:pPr>
        <w:spacing w:after="0" w:line="86"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The Company believes that the Amendments will provide enough shares to cover annual equity grants by the Company for approximately the next year based upon projected grant practices. The potential divestiture of our eOne film and television business, together with changing strategy and our ongoing review our plan design, may impact our current modeling, which is a reason for requesting a limited number of shares at this time. However, the period of time for which the shares available for future awards under the 2003 Plan will be sufficient may vary from the foregoing based on our stock price, participation rates in the plan, award sizes, award mix, payout levels for performance awards, or equity program plan design changes, among other factors.</w:t>
      </w:r>
    </w:p>
    <w:p>
      <w:pPr>
        <w:spacing w:after="0" w:line="96" w:lineRule="exact"/>
        <w:rPr>
          <w:sz w:val="20"/>
          <w:szCs w:val="20"/>
          <w:color w:val="auto"/>
        </w:rPr>
      </w:pPr>
    </w:p>
    <w:p>
      <w:pPr>
        <w:ind w:left="1980" w:right="839"/>
        <w:spacing w:after="0"/>
        <w:rPr>
          <w:sz w:val="20"/>
          <w:szCs w:val="20"/>
          <w:color w:val="auto"/>
        </w:rPr>
      </w:pPr>
      <w:r>
        <w:rPr>
          <w:rFonts w:ascii="Arial" w:cs="Arial" w:eastAsia="Arial" w:hAnsi="Arial"/>
          <w:sz w:val="11"/>
          <w:szCs w:val="11"/>
          <w:color w:val="auto"/>
        </w:rPr>
        <w:t>By way of updating the information regarding outstanding awards under the 2003 Plan which the Company reported in its Annual Report on Form 10-K for the year ended December 25, 2022, from December 26, 2022 through March 13, 2023, the Company granted options, restricted stock units, and contingent stock performance awards under the 2003 Plan covering an aggregate of 2,900,000 shares of Common Stock. These grants comprised the Company’s discretionary long-term incentive awards and annual grants of contingent stock performance awards, restricted stock units and stock options for fiscal 2023 to the Company’s officers and selected other employees.</w:t>
      </w:r>
    </w:p>
    <w:p>
      <w:pPr>
        <w:spacing w:after="0" w:line="88" w:lineRule="exact"/>
        <w:rPr>
          <w:sz w:val="20"/>
          <w:szCs w:val="20"/>
          <w:color w:val="auto"/>
        </w:rPr>
      </w:pPr>
    </w:p>
    <w:p>
      <w:pPr>
        <w:ind w:left="1980" w:right="859"/>
        <w:spacing w:after="0"/>
        <w:rPr>
          <w:sz w:val="20"/>
          <w:szCs w:val="20"/>
          <w:color w:val="auto"/>
        </w:rPr>
      </w:pPr>
      <w:r>
        <w:rPr>
          <w:rFonts w:ascii="Arial" w:cs="Arial" w:eastAsia="Arial" w:hAnsi="Arial"/>
          <w:sz w:val="11"/>
          <w:szCs w:val="11"/>
          <w:color w:val="auto"/>
        </w:rPr>
        <w:t>The awards that will be made and the amounts that will be paid pursuant to the 2003 Plan in the future are discretionary and are therefore not currently determinable. However, the following table sets forth the number of shares subject to options, restricted stock units, deferred stock awards and contingent stock performance awards (outstanding contingent stock performance awards for which the performance period has not ended are included at the target number of shares for such awards) granted under the 2003 Plan during the Company’s 2022 fiscal year, which began on December 27, 2021 and ended on December 25, 2022, to the named individuals, all current executive officers as a group, all current directors who are not executive officers and were not executive officers at the time of grant, as a group, and all employees, excluding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60325</wp:posOffset>
            </wp:positionV>
            <wp:extent cx="3971925" cy="21717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80</w:t>
      </w:r>
    </w:p>
    <w:p>
      <w:pPr>
        <w:sectPr>
          <w:pgSz w:w="11900" w:h="16838" w:orient="portrait"/>
          <w:cols w:equalWidth="0" w:num="1">
            <w:col w:w="10159"/>
          </w:cols>
          <w:pgMar w:left="300" w:top="372" w:right="1440" w:bottom="1440" w:gutter="0" w:footer="0" w:header="0"/>
        </w:sectPr>
      </w:pPr>
    </w:p>
    <w:bookmarkStart w:id="102" w:name="page103"/>
    <w:bookmarkEnd w:id="10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tbl>
      <w:tblPr>
        <w:tblLayout w:type="fixed"/>
        <w:tblInd w:w="1980" w:type="dxa"/>
        <w:tblCellMar>
          <w:top w:w="0" w:type="dxa"/>
          <w:left w:w="0" w:type="dxa"/>
          <w:bottom w:w="0" w:type="dxa"/>
          <w:right w:w="0" w:type="dxa"/>
        </w:tblCellMar>
      </w:tblPr>
      <w:tr>
        <w:trPr>
          <w:trHeight w:val="160"/>
        </w:trPr>
        <w:tc>
          <w:tcPr>
            <w:tcW w:w="4300" w:type="dxa"/>
            <w:vAlign w:val="bottom"/>
            <w:shd w:val="clear" w:color="auto" w:fill="CCEBF8"/>
          </w:tcPr>
          <w:p>
            <w:pPr>
              <w:spacing w:after="0"/>
              <w:rPr>
                <w:sz w:val="13"/>
                <w:szCs w:val="13"/>
                <w:color w:val="auto"/>
              </w:rPr>
            </w:pPr>
          </w:p>
        </w:tc>
        <w:tc>
          <w:tcPr>
            <w:tcW w:w="3040" w:type="dxa"/>
            <w:vAlign w:val="bottom"/>
            <w:shd w:val="clear" w:color="auto" w:fill="CCEBF8"/>
          </w:tcPr>
          <w:p>
            <w:pPr>
              <w:jc w:val="right"/>
              <w:ind w:right="6"/>
              <w:spacing w:after="0"/>
              <w:rPr>
                <w:sz w:val="20"/>
                <w:szCs w:val="20"/>
                <w:color w:val="auto"/>
              </w:rPr>
            </w:pPr>
            <w:r>
              <w:rPr>
                <w:rFonts w:ascii="Arial" w:cs="Arial" w:eastAsia="Arial" w:hAnsi="Arial"/>
                <w:sz w:val="11"/>
                <w:szCs w:val="11"/>
                <w:b w:val="1"/>
                <w:bCs w:val="1"/>
                <w:color w:val="009BDE"/>
              </w:rPr>
              <w:t>Granted Under the Plan During</w:t>
            </w:r>
          </w:p>
        </w:tc>
      </w:tr>
      <w:tr>
        <w:trPr>
          <w:trHeight w:val="151"/>
        </w:trPr>
        <w:tc>
          <w:tcPr>
            <w:tcW w:w="4300" w:type="dxa"/>
            <w:vAlign w:val="bottom"/>
            <w:shd w:val="clear" w:color="auto" w:fill="CCEBF8"/>
          </w:tcPr>
          <w:p>
            <w:pPr>
              <w:spacing w:after="0"/>
              <w:rPr>
                <w:sz w:val="20"/>
                <w:szCs w:val="20"/>
                <w:color w:val="auto"/>
              </w:rPr>
            </w:pPr>
            <w:r>
              <w:rPr>
                <w:rFonts w:ascii="Arial" w:cs="Arial" w:eastAsia="Arial" w:hAnsi="Arial"/>
                <w:sz w:val="11"/>
                <w:szCs w:val="11"/>
                <w:b w:val="1"/>
                <w:bCs w:val="1"/>
                <w:color w:val="009BDE"/>
              </w:rPr>
              <w:t>Name and Position</w:t>
            </w:r>
          </w:p>
        </w:tc>
        <w:tc>
          <w:tcPr>
            <w:tcW w:w="3040" w:type="dxa"/>
            <w:vAlign w:val="bottom"/>
            <w:shd w:val="clear" w:color="auto" w:fill="CCEBF8"/>
          </w:tcPr>
          <w:p>
            <w:pPr>
              <w:jc w:val="right"/>
              <w:spacing w:after="0"/>
              <w:rPr>
                <w:sz w:val="20"/>
                <w:szCs w:val="20"/>
                <w:color w:val="auto"/>
              </w:rPr>
            </w:pPr>
            <w:r>
              <w:rPr>
                <w:rFonts w:ascii="Arial" w:cs="Arial" w:eastAsia="Arial" w:hAnsi="Arial"/>
                <w:sz w:val="11"/>
                <w:szCs w:val="11"/>
                <w:b w:val="1"/>
                <w:bCs w:val="1"/>
                <w:color w:val="009BDE"/>
              </w:rPr>
              <w:t>the Company’s 2022 Fiscal Year</w:t>
            </w:r>
          </w:p>
        </w:tc>
      </w:tr>
      <w:tr>
        <w:trPr>
          <w:trHeight w:val="85"/>
        </w:trPr>
        <w:tc>
          <w:tcPr>
            <w:tcW w:w="4300" w:type="dxa"/>
            <w:vAlign w:val="bottom"/>
            <w:tcBorders>
              <w:bottom w:val="single" w:sz="8" w:color="009BDE"/>
            </w:tcBorders>
            <w:shd w:val="clear" w:color="auto" w:fill="CCEBF8"/>
          </w:tcPr>
          <w:p>
            <w:pPr>
              <w:spacing w:after="0"/>
              <w:rPr>
                <w:sz w:val="7"/>
                <w:szCs w:val="7"/>
                <w:color w:val="auto"/>
              </w:rPr>
            </w:pPr>
          </w:p>
        </w:tc>
        <w:tc>
          <w:tcPr>
            <w:tcW w:w="3040" w:type="dxa"/>
            <w:vAlign w:val="bottom"/>
            <w:tcBorders>
              <w:bottom w:val="single" w:sz="8" w:color="009BDE"/>
            </w:tcBorders>
            <w:shd w:val="clear" w:color="auto" w:fill="CCEBF8"/>
          </w:tcPr>
          <w:p>
            <w:pPr>
              <w:spacing w:after="0"/>
              <w:rPr>
                <w:sz w:val="7"/>
                <w:szCs w:val="7"/>
                <w:color w:val="auto"/>
              </w:rPr>
            </w:pPr>
          </w:p>
        </w:tc>
      </w:tr>
      <w:tr>
        <w:trPr>
          <w:trHeight w:val="179"/>
        </w:trPr>
        <w:tc>
          <w:tcPr>
            <w:tcW w:w="4300" w:type="dxa"/>
            <w:vAlign w:val="bottom"/>
          </w:tcPr>
          <w:p>
            <w:pPr>
              <w:ind w:left="40"/>
              <w:spacing w:after="0"/>
              <w:rPr>
                <w:sz w:val="20"/>
                <w:szCs w:val="20"/>
                <w:color w:val="auto"/>
              </w:rPr>
            </w:pPr>
            <w:r>
              <w:rPr>
                <w:rFonts w:ascii="Arial" w:cs="Arial" w:eastAsia="Arial" w:hAnsi="Arial"/>
                <w:sz w:val="11"/>
                <w:szCs w:val="11"/>
                <w:b w:val="1"/>
                <w:bCs w:val="1"/>
                <w:color w:val="auto"/>
              </w:rPr>
              <w:t>Richard Stoddart</w:t>
            </w:r>
          </w:p>
        </w:tc>
        <w:tc>
          <w:tcPr>
            <w:tcW w:w="3040" w:type="dxa"/>
            <w:vAlign w:val="bottom"/>
          </w:tcPr>
          <w:p>
            <w:pPr>
              <w:spacing w:after="0"/>
              <w:rPr>
                <w:sz w:val="15"/>
                <w:szCs w:val="15"/>
                <w:color w:val="auto"/>
              </w:rPr>
            </w:pPr>
          </w:p>
        </w:tc>
      </w:tr>
      <w:tr>
        <w:trPr>
          <w:trHeight w:val="139"/>
        </w:trPr>
        <w:tc>
          <w:tcPr>
            <w:tcW w:w="4300" w:type="dxa"/>
            <w:vAlign w:val="bottom"/>
          </w:tcPr>
          <w:p>
            <w:pPr>
              <w:ind w:left="40"/>
              <w:spacing w:after="0"/>
              <w:rPr>
                <w:sz w:val="20"/>
                <w:szCs w:val="20"/>
                <w:color w:val="auto"/>
              </w:rPr>
            </w:pPr>
            <w:r>
              <w:rPr>
                <w:rFonts w:ascii="Arial" w:cs="Arial" w:eastAsia="Arial" w:hAnsi="Arial"/>
                <w:sz w:val="11"/>
                <w:szCs w:val="11"/>
                <w:color w:val="auto"/>
              </w:rPr>
              <w:t>Chairman of the Board; Former Interim Chief Executive Officer</w:t>
            </w:r>
          </w:p>
        </w:tc>
        <w:tc>
          <w:tcPr>
            <w:tcW w:w="304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67"/>
        </w:trPr>
        <w:tc>
          <w:tcPr>
            <w:tcW w:w="4300" w:type="dxa"/>
            <w:vAlign w:val="bottom"/>
            <w:tcBorders>
              <w:bottom w:val="single" w:sz="8" w:color="009BDE"/>
            </w:tcBorders>
          </w:tcPr>
          <w:p>
            <w:pPr>
              <w:spacing w:after="0"/>
              <w:rPr>
                <w:sz w:val="5"/>
                <w:szCs w:val="5"/>
                <w:color w:val="auto"/>
              </w:rPr>
            </w:pPr>
          </w:p>
        </w:tc>
        <w:tc>
          <w:tcPr>
            <w:tcW w:w="3040" w:type="dxa"/>
            <w:vAlign w:val="bottom"/>
            <w:tcBorders>
              <w:bottom w:val="single" w:sz="8" w:color="009BDE"/>
            </w:tcBorders>
          </w:tcPr>
          <w:p>
            <w:pPr>
              <w:spacing w:after="0"/>
              <w:rPr>
                <w:sz w:val="5"/>
                <w:szCs w:val="5"/>
                <w:color w:val="auto"/>
              </w:rPr>
            </w:pPr>
          </w:p>
        </w:tc>
      </w:tr>
      <w:tr>
        <w:trPr>
          <w:trHeight w:val="179"/>
        </w:trPr>
        <w:tc>
          <w:tcPr>
            <w:tcW w:w="4300" w:type="dxa"/>
            <w:vAlign w:val="bottom"/>
          </w:tcPr>
          <w:p>
            <w:pPr>
              <w:ind w:left="40"/>
              <w:spacing w:after="0"/>
              <w:rPr>
                <w:sz w:val="20"/>
                <w:szCs w:val="20"/>
                <w:color w:val="auto"/>
              </w:rPr>
            </w:pPr>
            <w:r>
              <w:rPr>
                <w:rFonts w:ascii="Arial" w:cs="Arial" w:eastAsia="Arial" w:hAnsi="Arial"/>
                <w:sz w:val="11"/>
                <w:szCs w:val="11"/>
                <w:b w:val="1"/>
                <w:bCs w:val="1"/>
                <w:color w:val="auto"/>
              </w:rPr>
              <w:t>Chris Cocks</w:t>
            </w:r>
          </w:p>
        </w:tc>
        <w:tc>
          <w:tcPr>
            <w:tcW w:w="3040" w:type="dxa"/>
            <w:vAlign w:val="bottom"/>
          </w:tcPr>
          <w:p>
            <w:pPr>
              <w:spacing w:after="0"/>
              <w:rPr>
                <w:sz w:val="15"/>
                <w:szCs w:val="15"/>
                <w:color w:val="auto"/>
              </w:rPr>
            </w:pPr>
          </w:p>
        </w:tc>
      </w:tr>
      <w:tr>
        <w:trPr>
          <w:trHeight w:val="139"/>
        </w:trPr>
        <w:tc>
          <w:tcPr>
            <w:tcW w:w="4300" w:type="dxa"/>
            <w:vAlign w:val="bottom"/>
          </w:tcPr>
          <w:p>
            <w:pPr>
              <w:ind w:left="40"/>
              <w:spacing w:after="0"/>
              <w:rPr>
                <w:sz w:val="20"/>
                <w:szCs w:val="20"/>
                <w:color w:val="auto"/>
              </w:rPr>
            </w:pPr>
            <w:r>
              <w:rPr>
                <w:rFonts w:ascii="Arial" w:cs="Arial" w:eastAsia="Arial" w:hAnsi="Arial"/>
                <w:sz w:val="11"/>
                <w:szCs w:val="11"/>
                <w:color w:val="auto"/>
              </w:rPr>
              <w:t>Chief Executive Officer</w:t>
            </w:r>
          </w:p>
        </w:tc>
        <w:tc>
          <w:tcPr>
            <w:tcW w:w="3040" w:type="dxa"/>
            <w:vAlign w:val="bottom"/>
          </w:tcPr>
          <w:p>
            <w:pPr>
              <w:jc w:val="right"/>
              <w:spacing w:after="0"/>
              <w:rPr>
                <w:sz w:val="20"/>
                <w:szCs w:val="20"/>
                <w:color w:val="auto"/>
              </w:rPr>
            </w:pPr>
            <w:r>
              <w:rPr>
                <w:rFonts w:ascii="Arial" w:cs="Arial" w:eastAsia="Arial" w:hAnsi="Arial"/>
                <w:sz w:val="11"/>
                <w:szCs w:val="11"/>
                <w:color w:val="auto"/>
              </w:rPr>
              <w:t>158,079</w:t>
            </w:r>
          </w:p>
        </w:tc>
      </w:tr>
      <w:tr>
        <w:trPr>
          <w:trHeight w:val="67"/>
        </w:trPr>
        <w:tc>
          <w:tcPr>
            <w:tcW w:w="4300" w:type="dxa"/>
            <w:vAlign w:val="bottom"/>
            <w:tcBorders>
              <w:bottom w:val="single" w:sz="8" w:color="009BDE"/>
            </w:tcBorders>
          </w:tcPr>
          <w:p>
            <w:pPr>
              <w:spacing w:after="0"/>
              <w:rPr>
                <w:sz w:val="5"/>
                <w:szCs w:val="5"/>
                <w:color w:val="auto"/>
              </w:rPr>
            </w:pPr>
          </w:p>
        </w:tc>
        <w:tc>
          <w:tcPr>
            <w:tcW w:w="3040" w:type="dxa"/>
            <w:vAlign w:val="bottom"/>
            <w:tcBorders>
              <w:bottom w:val="single" w:sz="8" w:color="009BDE"/>
            </w:tcBorders>
          </w:tcPr>
          <w:p>
            <w:pPr>
              <w:spacing w:after="0"/>
              <w:rPr>
                <w:sz w:val="5"/>
                <w:szCs w:val="5"/>
                <w:color w:val="auto"/>
              </w:rPr>
            </w:pPr>
          </w:p>
        </w:tc>
      </w:tr>
      <w:tr>
        <w:trPr>
          <w:trHeight w:val="179"/>
        </w:trPr>
        <w:tc>
          <w:tcPr>
            <w:tcW w:w="4300" w:type="dxa"/>
            <w:vAlign w:val="bottom"/>
          </w:tcPr>
          <w:p>
            <w:pPr>
              <w:ind w:left="40"/>
              <w:spacing w:after="0"/>
              <w:rPr>
                <w:sz w:val="20"/>
                <w:szCs w:val="20"/>
                <w:color w:val="auto"/>
              </w:rPr>
            </w:pPr>
            <w:r>
              <w:rPr>
                <w:rFonts w:ascii="Arial" w:cs="Arial" w:eastAsia="Arial" w:hAnsi="Arial"/>
                <w:sz w:val="11"/>
                <w:szCs w:val="11"/>
                <w:b w:val="1"/>
                <w:bCs w:val="1"/>
                <w:color w:val="auto"/>
              </w:rPr>
              <w:t>Deborah Thomas</w:t>
            </w:r>
          </w:p>
        </w:tc>
        <w:tc>
          <w:tcPr>
            <w:tcW w:w="3040" w:type="dxa"/>
            <w:vAlign w:val="bottom"/>
          </w:tcPr>
          <w:p>
            <w:pPr>
              <w:spacing w:after="0"/>
              <w:rPr>
                <w:sz w:val="15"/>
                <w:szCs w:val="15"/>
                <w:color w:val="auto"/>
              </w:rPr>
            </w:pPr>
          </w:p>
        </w:tc>
      </w:tr>
      <w:tr>
        <w:trPr>
          <w:trHeight w:val="139"/>
        </w:trPr>
        <w:tc>
          <w:tcPr>
            <w:tcW w:w="4300" w:type="dxa"/>
            <w:vAlign w:val="bottom"/>
          </w:tcPr>
          <w:p>
            <w:pPr>
              <w:ind w:left="40"/>
              <w:spacing w:after="0"/>
              <w:rPr>
                <w:sz w:val="20"/>
                <w:szCs w:val="20"/>
                <w:color w:val="auto"/>
              </w:rPr>
            </w:pPr>
            <w:r>
              <w:rPr>
                <w:rFonts w:ascii="Arial" w:cs="Arial" w:eastAsia="Arial" w:hAnsi="Arial"/>
                <w:sz w:val="11"/>
                <w:szCs w:val="11"/>
                <w:color w:val="auto"/>
              </w:rPr>
              <w:t>Executive Vice President and Chief Financial Officer</w:t>
            </w:r>
          </w:p>
        </w:tc>
        <w:tc>
          <w:tcPr>
            <w:tcW w:w="3040" w:type="dxa"/>
            <w:vAlign w:val="bottom"/>
          </w:tcPr>
          <w:p>
            <w:pPr>
              <w:jc w:val="right"/>
              <w:spacing w:after="0"/>
              <w:rPr>
                <w:sz w:val="20"/>
                <w:szCs w:val="20"/>
                <w:color w:val="auto"/>
              </w:rPr>
            </w:pPr>
            <w:r>
              <w:rPr>
                <w:rFonts w:ascii="Arial" w:cs="Arial" w:eastAsia="Arial" w:hAnsi="Arial"/>
                <w:sz w:val="11"/>
                <w:szCs w:val="11"/>
                <w:color w:val="auto"/>
              </w:rPr>
              <w:t>96,956</w:t>
            </w:r>
          </w:p>
        </w:tc>
      </w:tr>
      <w:tr>
        <w:trPr>
          <w:trHeight w:val="67"/>
        </w:trPr>
        <w:tc>
          <w:tcPr>
            <w:tcW w:w="4300" w:type="dxa"/>
            <w:vAlign w:val="bottom"/>
            <w:tcBorders>
              <w:bottom w:val="single" w:sz="8" w:color="009BDE"/>
            </w:tcBorders>
          </w:tcPr>
          <w:p>
            <w:pPr>
              <w:spacing w:after="0"/>
              <w:rPr>
                <w:sz w:val="5"/>
                <w:szCs w:val="5"/>
                <w:color w:val="auto"/>
              </w:rPr>
            </w:pPr>
          </w:p>
        </w:tc>
        <w:tc>
          <w:tcPr>
            <w:tcW w:w="3040" w:type="dxa"/>
            <w:vAlign w:val="bottom"/>
            <w:tcBorders>
              <w:bottom w:val="single" w:sz="8" w:color="009BDE"/>
            </w:tcBorders>
          </w:tcPr>
          <w:p>
            <w:pPr>
              <w:spacing w:after="0"/>
              <w:rPr>
                <w:sz w:val="5"/>
                <w:szCs w:val="5"/>
                <w:color w:val="auto"/>
              </w:rPr>
            </w:pPr>
          </w:p>
        </w:tc>
      </w:tr>
      <w:tr>
        <w:trPr>
          <w:trHeight w:val="179"/>
        </w:trPr>
        <w:tc>
          <w:tcPr>
            <w:tcW w:w="4300" w:type="dxa"/>
            <w:vAlign w:val="bottom"/>
          </w:tcPr>
          <w:p>
            <w:pPr>
              <w:ind w:left="40"/>
              <w:spacing w:after="0"/>
              <w:rPr>
                <w:sz w:val="20"/>
                <w:szCs w:val="20"/>
                <w:color w:val="auto"/>
              </w:rPr>
            </w:pPr>
            <w:r>
              <w:rPr>
                <w:rFonts w:ascii="Arial" w:cs="Arial" w:eastAsia="Arial" w:hAnsi="Arial"/>
                <w:sz w:val="11"/>
                <w:szCs w:val="11"/>
                <w:b w:val="1"/>
                <w:bCs w:val="1"/>
                <w:color w:val="auto"/>
              </w:rPr>
              <w:t>Cynthia Williams</w:t>
            </w:r>
          </w:p>
        </w:tc>
        <w:tc>
          <w:tcPr>
            <w:tcW w:w="3040" w:type="dxa"/>
            <w:vAlign w:val="bottom"/>
          </w:tcPr>
          <w:p>
            <w:pPr>
              <w:spacing w:after="0"/>
              <w:rPr>
                <w:sz w:val="15"/>
                <w:szCs w:val="15"/>
                <w:color w:val="auto"/>
              </w:rPr>
            </w:pPr>
          </w:p>
        </w:tc>
      </w:tr>
      <w:tr>
        <w:trPr>
          <w:trHeight w:val="139"/>
        </w:trPr>
        <w:tc>
          <w:tcPr>
            <w:tcW w:w="4300" w:type="dxa"/>
            <w:vAlign w:val="bottom"/>
          </w:tcPr>
          <w:p>
            <w:pPr>
              <w:ind w:left="40"/>
              <w:spacing w:after="0"/>
              <w:rPr>
                <w:sz w:val="20"/>
                <w:szCs w:val="20"/>
                <w:color w:val="auto"/>
              </w:rPr>
            </w:pPr>
            <w:r>
              <w:rPr>
                <w:rFonts w:ascii="Arial" w:cs="Arial" w:eastAsia="Arial" w:hAnsi="Arial"/>
                <w:sz w:val="11"/>
                <w:szCs w:val="11"/>
                <w:color w:val="auto"/>
              </w:rPr>
              <w:t>President, Wizards of the Coast and Digital Gaming</w:t>
            </w:r>
          </w:p>
        </w:tc>
        <w:tc>
          <w:tcPr>
            <w:tcW w:w="3040" w:type="dxa"/>
            <w:vAlign w:val="bottom"/>
          </w:tcPr>
          <w:p>
            <w:pPr>
              <w:jc w:val="right"/>
              <w:spacing w:after="0"/>
              <w:rPr>
                <w:sz w:val="20"/>
                <w:szCs w:val="20"/>
                <w:color w:val="auto"/>
              </w:rPr>
            </w:pPr>
            <w:r>
              <w:rPr>
                <w:rFonts w:ascii="Arial" w:cs="Arial" w:eastAsia="Arial" w:hAnsi="Arial"/>
                <w:sz w:val="11"/>
                <w:szCs w:val="11"/>
                <w:color w:val="auto"/>
              </w:rPr>
              <w:t>51,641</w:t>
            </w:r>
          </w:p>
        </w:tc>
      </w:tr>
      <w:tr>
        <w:trPr>
          <w:trHeight w:val="67"/>
        </w:trPr>
        <w:tc>
          <w:tcPr>
            <w:tcW w:w="4300" w:type="dxa"/>
            <w:vAlign w:val="bottom"/>
            <w:tcBorders>
              <w:bottom w:val="single" w:sz="8" w:color="009BDE"/>
            </w:tcBorders>
          </w:tcPr>
          <w:p>
            <w:pPr>
              <w:spacing w:after="0"/>
              <w:rPr>
                <w:sz w:val="5"/>
                <w:szCs w:val="5"/>
                <w:color w:val="auto"/>
              </w:rPr>
            </w:pPr>
          </w:p>
        </w:tc>
        <w:tc>
          <w:tcPr>
            <w:tcW w:w="3040" w:type="dxa"/>
            <w:vAlign w:val="bottom"/>
            <w:tcBorders>
              <w:bottom w:val="single" w:sz="8" w:color="009BDE"/>
            </w:tcBorders>
          </w:tcPr>
          <w:p>
            <w:pPr>
              <w:spacing w:after="0"/>
              <w:rPr>
                <w:sz w:val="5"/>
                <w:szCs w:val="5"/>
                <w:color w:val="auto"/>
              </w:rPr>
            </w:pPr>
          </w:p>
        </w:tc>
      </w:tr>
      <w:tr>
        <w:trPr>
          <w:trHeight w:val="179"/>
        </w:trPr>
        <w:tc>
          <w:tcPr>
            <w:tcW w:w="4300" w:type="dxa"/>
            <w:vAlign w:val="bottom"/>
          </w:tcPr>
          <w:p>
            <w:pPr>
              <w:ind w:left="40"/>
              <w:spacing w:after="0"/>
              <w:rPr>
                <w:sz w:val="20"/>
                <w:szCs w:val="20"/>
                <w:color w:val="auto"/>
              </w:rPr>
            </w:pPr>
            <w:r>
              <w:rPr>
                <w:rFonts w:ascii="Arial" w:cs="Arial" w:eastAsia="Arial" w:hAnsi="Arial"/>
                <w:sz w:val="11"/>
                <w:szCs w:val="11"/>
                <w:b w:val="1"/>
                <w:bCs w:val="1"/>
                <w:color w:val="auto"/>
              </w:rPr>
              <w:t>Eric Nyman</w:t>
            </w:r>
          </w:p>
        </w:tc>
        <w:tc>
          <w:tcPr>
            <w:tcW w:w="3040" w:type="dxa"/>
            <w:vAlign w:val="bottom"/>
          </w:tcPr>
          <w:p>
            <w:pPr>
              <w:spacing w:after="0"/>
              <w:rPr>
                <w:sz w:val="15"/>
                <w:szCs w:val="15"/>
                <w:color w:val="auto"/>
              </w:rPr>
            </w:pPr>
          </w:p>
        </w:tc>
      </w:tr>
      <w:tr>
        <w:trPr>
          <w:trHeight w:val="139"/>
        </w:trPr>
        <w:tc>
          <w:tcPr>
            <w:tcW w:w="4300" w:type="dxa"/>
            <w:vAlign w:val="bottom"/>
          </w:tcPr>
          <w:p>
            <w:pPr>
              <w:ind w:left="40"/>
              <w:spacing w:after="0"/>
              <w:rPr>
                <w:sz w:val="20"/>
                <w:szCs w:val="20"/>
                <w:color w:val="auto"/>
              </w:rPr>
            </w:pPr>
            <w:r>
              <w:rPr>
                <w:rFonts w:ascii="Arial" w:cs="Arial" w:eastAsia="Arial" w:hAnsi="Arial"/>
                <w:sz w:val="11"/>
                <w:szCs w:val="11"/>
                <w:color w:val="auto"/>
              </w:rPr>
              <w:t>Former President and Chief Operating Officer</w:t>
            </w:r>
          </w:p>
        </w:tc>
        <w:tc>
          <w:tcPr>
            <w:tcW w:w="3040" w:type="dxa"/>
            <w:vAlign w:val="bottom"/>
          </w:tcPr>
          <w:p>
            <w:pPr>
              <w:jc w:val="right"/>
              <w:spacing w:after="0"/>
              <w:rPr>
                <w:sz w:val="20"/>
                <w:szCs w:val="20"/>
                <w:color w:val="auto"/>
              </w:rPr>
            </w:pPr>
            <w:r>
              <w:rPr>
                <w:rFonts w:ascii="Arial" w:cs="Arial" w:eastAsia="Arial" w:hAnsi="Arial"/>
                <w:sz w:val="11"/>
                <w:szCs w:val="11"/>
                <w:color w:val="auto"/>
              </w:rPr>
              <w:t>100,644</w:t>
            </w:r>
          </w:p>
        </w:tc>
      </w:tr>
      <w:tr>
        <w:trPr>
          <w:trHeight w:val="67"/>
        </w:trPr>
        <w:tc>
          <w:tcPr>
            <w:tcW w:w="4300" w:type="dxa"/>
            <w:vAlign w:val="bottom"/>
            <w:tcBorders>
              <w:bottom w:val="single" w:sz="8" w:color="009BDE"/>
            </w:tcBorders>
          </w:tcPr>
          <w:p>
            <w:pPr>
              <w:spacing w:after="0"/>
              <w:rPr>
                <w:sz w:val="5"/>
                <w:szCs w:val="5"/>
                <w:color w:val="auto"/>
              </w:rPr>
            </w:pPr>
          </w:p>
        </w:tc>
        <w:tc>
          <w:tcPr>
            <w:tcW w:w="3040" w:type="dxa"/>
            <w:vAlign w:val="bottom"/>
            <w:tcBorders>
              <w:bottom w:val="single" w:sz="8" w:color="009BDE"/>
            </w:tcBorders>
          </w:tcPr>
          <w:p>
            <w:pPr>
              <w:spacing w:after="0"/>
              <w:rPr>
                <w:sz w:val="5"/>
                <w:szCs w:val="5"/>
                <w:color w:val="auto"/>
              </w:rPr>
            </w:pPr>
          </w:p>
        </w:tc>
      </w:tr>
      <w:tr>
        <w:trPr>
          <w:trHeight w:val="179"/>
        </w:trPr>
        <w:tc>
          <w:tcPr>
            <w:tcW w:w="4300" w:type="dxa"/>
            <w:vAlign w:val="bottom"/>
          </w:tcPr>
          <w:p>
            <w:pPr>
              <w:ind w:left="40"/>
              <w:spacing w:after="0"/>
              <w:rPr>
                <w:sz w:val="20"/>
                <w:szCs w:val="20"/>
                <w:color w:val="auto"/>
              </w:rPr>
            </w:pPr>
            <w:r>
              <w:rPr>
                <w:rFonts w:ascii="Arial" w:cs="Arial" w:eastAsia="Arial" w:hAnsi="Arial"/>
                <w:sz w:val="11"/>
                <w:szCs w:val="11"/>
                <w:b w:val="1"/>
                <w:bCs w:val="1"/>
                <w:color w:val="auto"/>
              </w:rPr>
              <w:t>Darren Throop</w:t>
            </w:r>
          </w:p>
        </w:tc>
        <w:tc>
          <w:tcPr>
            <w:tcW w:w="3040" w:type="dxa"/>
            <w:vAlign w:val="bottom"/>
          </w:tcPr>
          <w:p>
            <w:pPr>
              <w:spacing w:after="0"/>
              <w:rPr>
                <w:sz w:val="15"/>
                <w:szCs w:val="15"/>
                <w:color w:val="auto"/>
              </w:rPr>
            </w:pPr>
          </w:p>
        </w:tc>
      </w:tr>
      <w:tr>
        <w:trPr>
          <w:trHeight w:val="139"/>
        </w:trPr>
        <w:tc>
          <w:tcPr>
            <w:tcW w:w="4300" w:type="dxa"/>
            <w:vAlign w:val="bottom"/>
          </w:tcPr>
          <w:p>
            <w:pPr>
              <w:ind w:left="40"/>
              <w:spacing w:after="0"/>
              <w:rPr>
                <w:sz w:val="20"/>
                <w:szCs w:val="20"/>
                <w:color w:val="auto"/>
              </w:rPr>
            </w:pPr>
            <w:r>
              <w:rPr>
                <w:rFonts w:ascii="Arial" w:cs="Arial" w:eastAsia="Arial" w:hAnsi="Arial"/>
                <w:sz w:val="11"/>
                <w:szCs w:val="11"/>
                <w:color w:val="auto"/>
              </w:rPr>
              <w:t>Former CEO of eOne</w:t>
            </w:r>
          </w:p>
        </w:tc>
        <w:tc>
          <w:tcPr>
            <w:tcW w:w="3040" w:type="dxa"/>
            <w:vAlign w:val="bottom"/>
          </w:tcPr>
          <w:p>
            <w:pPr>
              <w:jc w:val="right"/>
              <w:spacing w:after="0"/>
              <w:rPr>
                <w:sz w:val="20"/>
                <w:szCs w:val="20"/>
                <w:color w:val="auto"/>
              </w:rPr>
            </w:pPr>
            <w:r>
              <w:rPr>
                <w:rFonts w:ascii="Arial" w:cs="Arial" w:eastAsia="Arial" w:hAnsi="Arial"/>
                <w:sz w:val="11"/>
                <w:szCs w:val="11"/>
                <w:color w:val="auto"/>
              </w:rPr>
              <w:t>126,463</w:t>
            </w:r>
          </w:p>
        </w:tc>
      </w:tr>
      <w:tr>
        <w:trPr>
          <w:trHeight w:val="67"/>
        </w:trPr>
        <w:tc>
          <w:tcPr>
            <w:tcW w:w="4300" w:type="dxa"/>
            <w:vAlign w:val="bottom"/>
            <w:tcBorders>
              <w:bottom w:val="single" w:sz="8" w:color="009BDE"/>
            </w:tcBorders>
          </w:tcPr>
          <w:p>
            <w:pPr>
              <w:spacing w:after="0"/>
              <w:rPr>
                <w:sz w:val="5"/>
                <w:szCs w:val="5"/>
                <w:color w:val="auto"/>
              </w:rPr>
            </w:pPr>
          </w:p>
        </w:tc>
        <w:tc>
          <w:tcPr>
            <w:tcW w:w="3040" w:type="dxa"/>
            <w:vAlign w:val="bottom"/>
            <w:tcBorders>
              <w:bottom w:val="single" w:sz="8" w:color="009BDE"/>
            </w:tcBorders>
          </w:tcPr>
          <w:p>
            <w:pPr>
              <w:spacing w:after="0"/>
              <w:rPr>
                <w:sz w:val="5"/>
                <w:szCs w:val="5"/>
                <w:color w:val="auto"/>
              </w:rPr>
            </w:pPr>
          </w:p>
        </w:tc>
      </w:tr>
      <w:tr>
        <w:trPr>
          <w:trHeight w:val="183"/>
        </w:trPr>
        <w:tc>
          <w:tcPr>
            <w:tcW w:w="4300" w:type="dxa"/>
            <w:vAlign w:val="bottom"/>
          </w:tcPr>
          <w:p>
            <w:pPr>
              <w:ind w:left="40"/>
              <w:spacing w:after="0"/>
              <w:rPr>
                <w:sz w:val="20"/>
                <w:szCs w:val="20"/>
                <w:color w:val="auto"/>
              </w:rPr>
            </w:pPr>
            <w:r>
              <w:rPr>
                <w:rFonts w:ascii="Arial" w:cs="Arial" w:eastAsia="Arial" w:hAnsi="Arial"/>
                <w:sz w:val="11"/>
                <w:szCs w:val="11"/>
                <w:color w:val="auto"/>
              </w:rPr>
              <w:t>All current executive officers as a group (including the named people above)</w:t>
            </w:r>
          </w:p>
        </w:tc>
        <w:tc>
          <w:tcPr>
            <w:tcW w:w="3040" w:type="dxa"/>
            <w:vAlign w:val="bottom"/>
          </w:tcPr>
          <w:p>
            <w:pPr>
              <w:jc w:val="right"/>
              <w:spacing w:after="0"/>
              <w:rPr>
                <w:sz w:val="20"/>
                <w:szCs w:val="20"/>
                <w:color w:val="auto"/>
              </w:rPr>
            </w:pPr>
            <w:r>
              <w:rPr>
                <w:rFonts w:ascii="Arial" w:cs="Arial" w:eastAsia="Arial" w:hAnsi="Arial"/>
                <w:sz w:val="11"/>
                <w:szCs w:val="11"/>
                <w:color w:val="auto"/>
              </w:rPr>
              <w:t>472,636</w:t>
            </w:r>
          </w:p>
        </w:tc>
      </w:tr>
      <w:tr>
        <w:trPr>
          <w:trHeight w:val="67"/>
        </w:trPr>
        <w:tc>
          <w:tcPr>
            <w:tcW w:w="4300" w:type="dxa"/>
            <w:vAlign w:val="bottom"/>
            <w:tcBorders>
              <w:bottom w:val="single" w:sz="8" w:color="009BDE"/>
            </w:tcBorders>
          </w:tcPr>
          <w:p>
            <w:pPr>
              <w:spacing w:after="0"/>
              <w:rPr>
                <w:sz w:val="5"/>
                <w:szCs w:val="5"/>
                <w:color w:val="auto"/>
              </w:rPr>
            </w:pPr>
          </w:p>
        </w:tc>
        <w:tc>
          <w:tcPr>
            <w:tcW w:w="3040" w:type="dxa"/>
            <w:vAlign w:val="bottom"/>
            <w:tcBorders>
              <w:bottom w:val="single" w:sz="8" w:color="009BDE"/>
            </w:tcBorders>
          </w:tcPr>
          <w:p>
            <w:pPr>
              <w:spacing w:after="0"/>
              <w:rPr>
                <w:sz w:val="5"/>
                <w:szCs w:val="5"/>
                <w:color w:val="auto"/>
              </w:rPr>
            </w:pPr>
          </w:p>
        </w:tc>
      </w:tr>
      <w:tr>
        <w:trPr>
          <w:trHeight w:val="183"/>
        </w:trPr>
        <w:tc>
          <w:tcPr>
            <w:tcW w:w="4300" w:type="dxa"/>
            <w:vAlign w:val="bottom"/>
          </w:tcPr>
          <w:p>
            <w:pPr>
              <w:ind w:left="40"/>
              <w:spacing w:after="0"/>
              <w:rPr>
                <w:sz w:val="20"/>
                <w:szCs w:val="20"/>
                <w:color w:val="auto"/>
              </w:rPr>
            </w:pPr>
            <w:r>
              <w:rPr>
                <w:rFonts w:ascii="Arial" w:cs="Arial" w:eastAsia="Arial" w:hAnsi="Arial"/>
                <w:sz w:val="11"/>
                <w:szCs w:val="11"/>
                <w:color w:val="auto"/>
              </w:rPr>
              <w:t>All current directors who were not executive officers at the time of grant, as a group</w:t>
            </w:r>
          </w:p>
        </w:tc>
        <w:tc>
          <w:tcPr>
            <w:tcW w:w="3040" w:type="dxa"/>
            <w:vAlign w:val="bottom"/>
          </w:tcPr>
          <w:p>
            <w:pPr>
              <w:jc w:val="right"/>
              <w:spacing w:after="0"/>
              <w:rPr>
                <w:sz w:val="20"/>
                <w:szCs w:val="20"/>
                <w:color w:val="auto"/>
              </w:rPr>
            </w:pPr>
            <w:r>
              <w:rPr>
                <w:rFonts w:ascii="Arial" w:cs="Arial" w:eastAsia="Arial" w:hAnsi="Arial"/>
                <w:sz w:val="11"/>
                <w:szCs w:val="11"/>
                <w:color w:val="auto"/>
              </w:rPr>
              <w:t>23,700</w:t>
            </w:r>
          </w:p>
        </w:tc>
      </w:tr>
      <w:tr>
        <w:trPr>
          <w:trHeight w:val="67"/>
        </w:trPr>
        <w:tc>
          <w:tcPr>
            <w:tcW w:w="4300" w:type="dxa"/>
            <w:vAlign w:val="bottom"/>
            <w:tcBorders>
              <w:bottom w:val="single" w:sz="8" w:color="009BDE"/>
            </w:tcBorders>
          </w:tcPr>
          <w:p>
            <w:pPr>
              <w:spacing w:after="0"/>
              <w:rPr>
                <w:sz w:val="5"/>
                <w:szCs w:val="5"/>
                <w:color w:val="auto"/>
              </w:rPr>
            </w:pPr>
          </w:p>
        </w:tc>
        <w:tc>
          <w:tcPr>
            <w:tcW w:w="3040" w:type="dxa"/>
            <w:vAlign w:val="bottom"/>
            <w:tcBorders>
              <w:bottom w:val="single" w:sz="8" w:color="009BDE"/>
            </w:tcBorders>
          </w:tcPr>
          <w:p>
            <w:pPr>
              <w:spacing w:after="0"/>
              <w:rPr>
                <w:sz w:val="5"/>
                <w:szCs w:val="5"/>
                <w:color w:val="auto"/>
              </w:rPr>
            </w:pPr>
          </w:p>
        </w:tc>
      </w:tr>
      <w:tr>
        <w:trPr>
          <w:trHeight w:val="183"/>
        </w:trPr>
        <w:tc>
          <w:tcPr>
            <w:tcW w:w="4300" w:type="dxa"/>
            <w:vAlign w:val="bottom"/>
          </w:tcPr>
          <w:p>
            <w:pPr>
              <w:ind w:left="40"/>
              <w:spacing w:after="0"/>
              <w:rPr>
                <w:sz w:val="20"/>
                <w:szCs w:val="20"/>
                <w:color w:val="auto"/>
              </w:rPr>
            </w:pPr>
            <w:r>
              <w:rPr>
                <w:rFonts w:ascii="Arial" w:cs="Arial" w:eastAsia="Arial" w:hAnsi="Arial"/>
                <w:sz w:val="11"/>
                <w:szCs w:val="11"/>
                <w:color w:val="auto"/>
                <w:w w:val="98"/>
              </w:rPr>
              <w:t>All employees and officers, excluding current executive officers and directors, as a group</w:t>
            </w:r>
          </w:p>
        </w:tc>
        <w:tc>
          <w:tcPr>
            <w:tcW w:w="3040" w:type="dxa"/>
            <w:vAlign w:val="bottom"/>
          </w:tcPr>
          <w:p>
            <w:pPr>
              <w:jc w:val="right"/>
              <w:spacing w:after="0"/>
              <w:rPr>
                <w:sz w:val="20"/>
                <w:szCs w:val="20"/>
                <w:color w:val="auto"/>
              </w:rPr>
            </w:pPr>
            <w:r>
              <w:rPr>
                <w:rFonts w:ascii="Arial" w:cs="Arial" w:eastAsia="Arial" w:hAnsi="Arial"/>
                <w:sz w:val="11"/>
                <w:szCs w:val="11"/>
                <w:color w:val="auto"/>
              </w:rPr>
              <w:t>1,107,164</w:t>
            </w:r>
          </w:p>
        </w:tc>
      </w:tr>
      <w:tr>
        <w:trPr>
          <w:trHeight w:val="67"/>
        </w:trPr>
        <w:tc>
          <w:tcPr>
            <w:tcW w:w="4300" w:type="dxa"/>
            <w:vAlign w:val="bottom"/>
            <w:tcBorders>
              <w:bottom w:val="single" w:sz="8" w:color="009BDE"/>
            </w:tcBorders>
          </w:tcPr>
          <w:p>
            <w:pPr>
              <w:spacing w:after="0"/>
              <w:rPr>
                <w:sz w:val="5"/>
                <w:szCs w:val="5"/>
                <w:color w:val="auto"/>
              </w:rPr>
            </w:pPr>
          </w:p>
        </w:tc>
        <w:tc>
          <w:tcPr>
            <w:tcW w:w="3040" w:type="dxa"/>
            <w:vAlign w:val="bottom"/>
            <w:tcBorders>
              <w:bottom w:val="single" w:sz="8" w:color="009BDE"/>
            </w:tcBorders>
          </w:tcPr>
          <w:p>
            <w:pPr>
              <w:spacing w:after="0"/>
              <w:rPr>
                <w:sz w:val="5"/>
                <w:szCs w:val="5"/>
                <w:color w:val="auto"/>
              </w:rPr>
            </w:pPr>
          </w:p>
        </w:tc>
      </w:tr>
    </w:tbl>
    <w:p>
      <w:pPr>
        <w:spacing w:after="0" w:line="198"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009BDE"/>
        </w:rPr>
        <w:t>Summary of 2003 Plan, as Amended by the Amendments</w:t>
      </w:r>
    </w:p>
    <w:p>
      <w:pPr>
        <w:spacing w:after="0" w:line="86" w:lineRule="exact"/>
        <w:rPr>
          <w:sz w:val="20"/>
          <w:szCs w:val="20"/>
          <w:color w:val="auto"/>
        </w:rPr>
      </w:pPr>
    </w:p>
    <w:p>
      <w:pPr>
        <w:jc w:val="both"/>
        <w:ind w:left="1980" w:right="1079"/>
        <w:spacing w:after="0" w:line="242" w:lineRule="auto"/>
        <w:rPr>
          <w:sz w:val="20"/>
          <w:szCs w:val="20"/>
          <w:color w:val="auto"/>
        </w:rPr>
      </w:pPr>
      <w:r>
        <w:rPr>
          <w:rFonts w:ascii="Arial" w:cs="Arial" w:eastAsia="Arial" w:hAnsi="Arial"/>
          <w:sz w:val="11"/>
          <w:szCs w:val="11"/>
          <w:color w:val="auto"/>
        </w:rPr>
        <w:t xml:space="preserve">The following is a summary of the 2003 Plan, as amended by the Amendments, and is therefore not complete. A complete copy of the Amendments being considered by shareholders is attached to this Proxy Statement as </w:t>
      </w:r>
      <w:r>
        <w:rPr>
          <w:rFonts w:ascii="Arial" w:cs="Arial" w:eastAsia="Arial" w:hAnsi="Arial"/>
          <w:sz w:val="11"/>
          <w:szCs w:val="11"/>
          <w:i w:val="1"/>
          <w:iCs w:val="1"/>
          <w:u w:val="single" w:color="auto"/>
          <w:color w:val="auto"/>
        </w:rPr>
        <w:t>Appendix C</w:t>
      </w:r>
      <w:r>
        <w:rPr>
          <w:rFonts w:ascii="Arial" w:cs="Arial" w:eastAsia="Arial" w:hAnsi="Arial"/>
          <w:sz w:val="11"/>
          <w:szCs w:val="11"/>
          <w:color w:val="auto"/>
        </w:rPr>
        <w:t xml:space="preserve">, and a complete copy of the 2003 Plan, as it existed prior to the Amendments, is attached to this Proxy Statement as </w:t>
      </w:r>
      <w:r>
        <w:rPr>
          <w:rFonts w:ascii="Arial" w:cs="Arial" w:eastAsia="Arial" w:hAnsi="Arial"/>
          <w:sz w:val="11"/>
          <w:szCs w:val="11"/>
          <w:i w:val="1"/>
          <w:iCs w:val="1"/>
          <w:u w:val="single" w:color="auto"/>
          <w:color w:val="auto"/>
        </w:rPr>
        <w:t>Appendix D</w:t>
      </w:r>
      <w:r>
        <w:rPr>
          <w:rFonts w:ascii="Arial" w:cs="Arial" w:eastAsia="Arial" w:hAnsi="Arial"/>
          <w:sz w:val="11"/>
          <w:szCs w:val="11"/>
          <w:i w:val="1"/>
          <w:iCs w:val="1"/>
          <w:color w:val="auto"/>
        </w:rPr>
        <w:t>.</w:t>
      </w:r>
    </w:p>
    <w:p>
      <w:pPr>
        <w:spacing w:after="0" w:line="199"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Background</w:t>
      </w:r>
    </w:p>
    <w:p>
      <w:pPr>
        <w:spacing w:after="0" w:line="84" w:lineRule="exact"/>
        <w:rPr>
          <w:sz w:val="20"/>
          <w:szCs w:val="20"/>
          <w:color w:val="auto"/>
        </w:rPr>
      </w:pPr>
    </w:p>
    <w:p>
      <w:pPr>
        <w:ind w:left="1980" w:right="899"/>
        <w:spacing w:after="0" w:line="242" w:lineRule="auto"/>
        <w:rPr>
          <w:sz w:val="20"/>
          <w:szCs w:val="20"/>
          <w:color w:val="auto"/>
        </w:rPr>
      </w:pPr>
      <w:r>
        <w:rPr>
          <w:rFonts w:ascii="Arial" w:cs="Arial" w:eastAsia="Arial" w:hAnsi="Arial"/>
          <w:sz w:val="11"/>
          <w:szCs w:val="11"/>
          <w:color w:val="auto"/>
        </w:rPr>
        <w:t>The 2003 Plan is intended to attract and retain talented officers, employees and directors for the Company and its affiliates who are in a position to make significant contributions to the success of the Company, to reward such persons for making these contributions and to encourage such persons to take into account the long-term interests of the Company and enhancement of the Company’s value for its shareholders.</w:t>
      </w:r>
    </w:p>
    <w:p>
      <w:pPr>
        <w:spacing w:after="0" w:line="94" w:lineRule="exact"/>
        <w:rPr>
          <w:sz w:val="20"/>
          <w:szCs w:val="20"/>
          <w:color w:val="auto"/>
        </w:rPr>
      </w:pPr>
    </w:p>
    <w:p>
      <w:pPr>
        <w:ind w:left="1980" w:right="879"/>
        <w:spacing w:after="0" w:line="245" w:lineRule="auto"/>
        <w:rPr>
          <w:sz w:val="20"/>
          <w:szCs w:val="20"/>
          <w:color w:val="auto"/>
        </w:rPr>
      </w:pPr>
      <w:r>
        <w:rPr>
          <w:rFonts w:ascii="Arial" w:cs="Arial" w:eastAsia="Arial" w:hAnsi="Arial"/>
          <w:sz w:val="11"/>
          <w:szCs w:val="11"/>
          <w:color w:val="auto"/>
        </w:rPr>
        <w:t>The 2003 Plan was originally adopted by the Board on February 12, 2003 and was approved by the Company’s shareholders at the 2003 Annual Meeting of Shareholders. The Plan was amended by the Board and the shareholders in 2005, 2007, 2009, 2010, 2013, 2017 and 2020.</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Administration</w:t>
      </w:r>
    </w:p>
    <w:p>
      <w:pPr>
        <w:spacing w:after="0" w:line="84" w:lineRule="exact"/>
        <w:rPr>
          <w:sz w:val="20"/>
          <w:szCs w:val="20"/>
          <w:color w:val="auto"/>
        </w:rPr>
      </w:pPr>
    </w:p>
    <w:p>
      <w:pPr>
        <w:ind w:left="1980" w:right="879"/>
        <w:spacing w:after="0" w:line="241" w:lineRule="auto"/>
        <w:rPr>
          <w:sz w:val="20"/>
          <w:szCs w:val="20"/>
          <w:color w:val="auto"/>
        </w:rPr>
      </w:pPr>
      <w:r>
        <w:rPr>
          <w:rFonts w:ascii="Arial" w:cs="Arial" w:eastAsia="Arial" w:hAnsi="Arial"/>
          <w:sz w:val="11"/>
          <w:szCs w:val="11"/>
          <w:color w:val="auto"/>
        </w:rPr>
        <w:t>The 2003 Plan is administered by the Compensation Committee of the Board (the “Committee”), comprised entirely of independent directors. The Committee has the authority to establish rules for the administration of the 2003 Plan; to select the officers, employees and directors of the Company and its affiliates to whom awards are granted; to determine the types of awards to be granted and the number of shares covered by such awards; and to set the terms and conditions of such awards.</w:t>
      </w:r>
    </w:p>
    <w:p>
      <w:pPr>
        <w:spacing w:after="0" w:line="95" w:lineRule="exact"/>
        <w:rPr>
          <w:sz w:val="20"/>
          <w:szCs w:val="20"/>
          <w:color w:val="auto"/>
        </w:rPr>
      </w:pPr>
    </w:p>
    <w:p>
      <w:pPr>
        <w:ind w:left="1980" w:right="1059"/>
        <w:spacing w:after="0" w:line="241" w:lineRule="auto"/>
        <w:rPr>
          <w:sz w:val="20"/>
          <w:szCs w:val="20"/>
          <w:color w:val="auto"/>
        </w:rPr>
      </w:pPr>
      <w:r>
        <w:rPr>
          <w:rFonts w:ascii="Arial" w:cs="Arial" w:eastAsia="Arial" w:hAnsi="Arial"/>
          <w:sz w:val="11"/>
          <w:szCs w:val="11"/>
          <w:color w:val="auto"/>
        </w:rPr>
        <w:t>The Committee may also determine whether the payment of any proceeds of any award shall or may be deferred. The Committee may provide that awards denominated in stock earn dividends or dividend equivalents, except that dividends and dividend equivalents may not be paid or accrued with respect to (i) outstanding options or SARs or (ii) other Awards subject to performance criteria or time vesting criteria that have not yet been met. Determinations and interpretations of the Committee will be binding on all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3971925" cy="21717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81</w:t>
      </w:r>
    </w:p>
    <w:p>
      <w:pPr>
        <w:sectPr>
          <w:pgSz w:w="11900" w:h="16838" w:orient="portrait"/>
          <w:cols w:equalWidth="0" w:num="1">
            <w:col w:w="10159"/>
          </w:cols>
          <w:pgMar w:left="300" w:top="372" w:right="1440" w:bottom="1440" w:gutter="0" w:footer="0" w:header="0"/>
        </w:sectPr>
      </w:pPr>
    </w:p>
    <w:bookmarkStart w:id="103" w:name="page104"/>
    <w:bookmarkEnd w:id="10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Eligibility</w:t>
      </w:r>
    </w:p>
    <w:p>
      <w:pPr>
        <w:spacing w:after="0" w:line="84" w:lineRule="exact"/>
        <w:rPr>
          <w:sz w:val="20"/>
          <w:szCs w:val="20"/>
          <w:color w:val="auto"/>
        </w:rPr>
      </w:pPr>
    </w:p>
    <w:p>
      <w:pPr>
        <w:ind w:left="1980" w:right="859"/>
        <w:spacing w:after="0"/>
        <w:rPr>
          <w:sz w:val="20"/>
          <w:szCs w:val="20"/>
          <w:color w:val="auto"/>
        </w:rPr>
      </w:pPr>
      <w:r>
        <w:rPr>
          <w:rFonts w:ascii="Arial" w:cs="Arial" w:eastAsia="Arial" w:hAnsi="Arial"/>
          <w:sz w:val="11"/>
          <w:szCs w:val="11"/>
          <w:color w:val="auto"/>
        </w:rPr>
        <w:t>Officers, employees and directors of the Company and of any other entity, including a subsidiary or joint venture, that is directly or indirectly controlled by the Company (collectively “affiliates”) are eligible to receive awards under the 2003 Plan, as are other persons who have service relationships with the Company which are covered by the 2003 Plan’s definition of “Employment.” At December 25, 2022, the Company employed approximately 6,490 persons worldwide. As of December 25, 2022 there are an aggregate of approximately 1,140 individuals, consisting of 6 executive officers, 1,022 employees and 12 non-employee directors holding equity awards granted under the 2003 Plan.</w:t>
      </w:r>
    </w:p>
    <w:p>
      <w:pPr>
        <w:spacing w:after="0" w:line="97" w:lineRule="exact"/>
        <w:rPr>
          <w:sz w:val="20"/>
          <w:szCs w:val="20"/>
          <w:color w:val="auto"/>
        </w:rPr>
      </w:pPr>
    </w:p>
    <w:p>
      <w:pPr>
        <w:ind w:left="1980" w:right="1299"/>
        <w:spacing w:after="0" w:line="245" w:lineRule="auto"/>
        <w:rPr>
          <w:sz w:val="20"/>
          <w:szCs w:val="20"/>
          <w:color w:val="auto"/>
        </w:rPr>
      </w:pPr>
      <w:r>
        <w:rPr>
          <w:rFonts w:ascii="Arial" w:cs="Arial" w:eastAsia="Arial" w:hAnsi="Arial"/>
          <w:sz w:val="11"/>
          <w:szCs w:val="11"/>
          <w:color w:val="auto"/>
        </w:rPr>
        <w:t>Incentive stock options (“ISOs”) may only be granted to employees of the Company or of a “parent corporation” or “subsidiary corporation” of the Company as those terms are defined in Section 424 of the Code.</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Awards</w:t>
      </w:r>
    </w:p>
    <w:p>
      <w:pPr>
        <w:spacing w:after="0" w:line="84" w:lineRule="exact"/>
        <w:rPr>
          <w:sz w:val="20"/>
          <w:szCs w:val="20"/>
          <w:color w:val="auto"/>
        </w:rPr>
      </w:pPr>
    </w:p>
    <w:p>
      <w:pPr>
        <w:ind w:left="1980" w:right="899"/>
        <w:spacing w:after="0" w:line="293" w:lineRule="auto"/>
        <w:rPr>
          <w:sz w:val="20"/>
          <w:szCs w:val="20"/>
          <w:color w:val="auto"/>
        </w:rPr>
      </w:pPr>
      <w:r>
        <w:rPr>
          <w:rFonts w:ascii="Arial" w:cs="Arial" w:eastAsia="Arial" w:hAnsi="Arial"/>
          <w:sz w:val="10"/>
          <w:szCs w:val="10"/>
          <w:color w:val="auto"/>
        </w:rPr>
        <w:t>The 2003 Plan permits granting awards for: (1) stock options, including ISOs meeting the requirements of Section 422 of the Code; (2) SARs; (3) stock awards, including restricted and unrestricted stock, restricted stock units and other deferred stock awards; (4) performance awards; and (5) cash awards.</w:t>
      </w:r>
    </w:p>
    <w:p>
      <w:pPr>
        <w:spacing w:after="0" w:line="175"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Shares Available and Limits on Awards</w:t>
      </w:r>
    </w:p>
    <w:p>
      <w:pPr>
        <w:spacing w:after="0" w:line="84" w:lineRule="exact"/>
        <w:rPr>
          <w:sz w:val="20"/>
          <w:szCs w:val="20"/>
          <w:color w:val="auto"/>
        </w:rPr>
      </w:pPr>
    </w:p>
    <w:p>
      <w:pPr>
        <w:ind w:left="1980" w:right="919"/>
        <w:spacing w:after="0"/>
        <w:rPr>
          <w:sz w:val="20"/>
          <w:szCs w:val="20"/>
          <w:color w:val="auto"/>
        </w:rPr>
      </w:pPr>
      <w:r>
        <w:rPr>
          <w:rFonts w:ascii="Arial" w:cs="Arial" w:eastAsia="Arial" w:hAnsi="Arial"/>
          <w:sz w:val="11"/>
          <w:szCs w:val="11"/>
          <w:color w:val="auto"/>
        </w:rPr>
        <w:t>If the Amendments are approved, 1,100,000 shares will be added to the authorized shares under the 2003 Plan. Based on the number of outstanding awards as of December 25, 2022, approximately 6,837,153 shares of Common Stock would be available for future awards under the 2003 Plan (assuming that outstanding contingent stock performance awards are earned at their target level). These 6,837,153 available shares represent only approximately 4.9% of the outstanding Common Stock as of December 25, 2022. After the Amendments are adopted, 5,650,000 shares will be available for future Full-Value Awards to be made under the 2003 Plan.</w:t>
      </w:r>
    </w:p>
    <w:p>
      <w:pPr>
        <w:spacing w:after="0" w:line="97" w:lineRule="exact"/>
        <w:rPr>
          <w:sz w:val="20"/>
          <w:szCs w:val="20"/>
          <w:color w:val="auto"/>
        </w:rPr>
      </w:pPr>
    </w:p>
    <w:p>
      <w:pPr>
        <w:ind w:left="1980" w:right="979"/>
        <w:spacing w:after="0" w:line="241" w:lineRule="auto"/>
        <w:rPr>
          <w:sz w:val="20"/>
          <w:szCs w:val="20"/>
          <w:color w:val="auto"/>
        </w:rPr>
      </w:pPr>
      <w:r>
        <w:rPr>
          <w:rFonts w:ascii="Arial" w:cs="Arial" w:eastAsia="Arial" w:hAnsi="Arial"/>
          <w:sz w:val="11"/>
          <w:szCs w:val="11"/>
          <w:color w:val="auto"/>
        </w:rPr>
        <w:t>The number of shares that may be subject to options or SARs granted to any one individual may not exceed 2,000,000 in any calendar year. The maximum benefit that may be paid to any person under other awards which are granted in any calendar year will be: (i) to the extent paid in shares, 1,000,000 shares, (ii) to the extent such awards are denominated in shares but paid in cash, 1,000,000 shares multiplied by the fair market value of the shares on the date of payment under such awards, and (iii) to the extent otherwise paid in cash, $10 million.</w:t>
      </w:r>
    </w:p>
    <w:p>
      <w:pPr>
        <w:spacing w:after="0" w:line="86" w:lineRule="exact"/>
        <w:rPr>
          <w:sz w:val="20"/>
          <w:szCs w:val="20"/>
          <w:color w:val="auto"/>
        </w:rPr>
      </w:pPr>
    </w:p>
    <w:p>
      <w:pPr>
        <w:ind w:left="1980" w:right="859"/>
        <w:spacing w:after="0"/>
        <w:rPr>
          <w:sz w:val="20"/>
          <w:szCs w:val="20"/>
          <w:color w:val="auto"/>
        </w:rPr>
      </w:pPr>
      <w:r>
        <w:rPr>
          <w:rFonts w:ascii="Arial" w:cs="Arial" w:eastAsia="Arial" w:hAnsi="Arial"/>
          <w:sz w:val="11"/>
          <w:szCs w:val="11"/>
          <w:color w:val="auto"/>
        </w:rPr>
        <w:t>If any shares subject to an option or award under the 2003 Plan are forfeited or if any such option or award terminates, the shares previously covered by such option or award will be available for future grant or award under the plan. If another company is acquired by the Company or an affiliate in the future, any grants or awards made and any of the Company’s shares delivered upon the assumption of or in substitution for outstanding grants made by the acquired company may be deemed to be granted or awarded under the 2003 Plan, but will not decrease the number of shares available for grant or award under the 2003 Plan.</w:t>
      </w:r>
    </w:p>
    <w:p>
      <w:pPr>
        <w:spacing w:after="0" w:line="97"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In the event of any stock dividend, stock split, combination or exchange of shares, recapitalization or other change in the Company’s capital structure, the Committee will make appropriate adjustments to reflect such change with respect to (i) the aggregate number of shares that may be issued under the 2003 Plan and the limits on certain types of awards under the 2003 Plan; (ii) the number of shares subject to awards under the 2003 Plan; and/or (iii) the price per share for any outstanding stock options, SARs and other awards under the 2003 Plan. To the extent consistent with applicable rules, the Committee may make adjustments of the type described in the preceding sentence to take into account other events and circumstances if the Committee determines such adjustments are appropriate to preserve the value of awards under the 2003 Plan.</w:t>
      </w:r>
    </w:p>
    <w:p>
      <w:pPr>
        <w:spacing w:after="0" w:line="201"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Additional Terms of Awards</w:t>
      </w:r>
    </w:p>
    <w:p>
      <w:pPr>
        <w:spacing w:after="0" w:line="74" w:lineRule="exact"/>
        <w:rPr>
          <w:sz w:val="20"/>
          <w:szCs w:val="20"/>
          <w:color w:val="auto"/>
        </w:rPr>
      </w:pPr>
    </w:p>
    <w:p>
      <w:pPr>
        <w:jc w:val="both"/>
        <w:ind w:left="1980" w:right="879"/>
        <w:spacing w:after="0" w:line="251" w:lineRule="auto"/>
        <w:rPr>
          <w:sz w:val="20"/>
          <w:szCs w:val="20"/>
          <w:color w:val="auto"/>
        </w:rPr>
      </w:pPr>
      <w:r>
        <w:rPr>
          <w:rFonts w:ascii="Arial" w:cs="Arial" w:eastAsia="Arial" w:hAnsi="Arial"/>
          <w:sz w:val="11"/>
          <w:szCs w:val="11"/>
          <w:i w:val="1"/>
          <w:iCs w:val="1"/>
          <w:color w:val="auto"/>
        </w:rPr>
        <w:t xml:space="preserve">Options. </w:t>
      </w:r>
      <w:r>
        <w:rPr>
          <w:rFonts w:ascii="Arial" w:cs="Arial" w:eastAsia="Arial" w:hAnsi="Arial"/>
          <w:sz w:val="11"/>
          <w:szCs w:val="11"/>
          <w:color w:val="auto"/>
        </w:rPr>
        <w:t>The Committee establishes the exercise price per share for options, the term of options (which cannot exceed ten years), the time at which they</w:t>
      </w:r>
      <w:r>
        <w:rPr>
          <w:rFonts w:ascii="Arial" w:cs="Arial" w:eastAsia="Arial" w:hAnsi="Arial"/>
          <w:sz w:val="11"/>
          <w:szCs w:val="11"/>
          <w:i w:val="1"/>
          <w:iCs w:val="1"/>
          <w:color w:val="auto"/>
        </w:rPr>
        <w:t xml:space="preserve"> </w:t>
      </w:r>
      <w:r>
        <w:rPr>
          <w:rFonts w:ascii="Arial" w:cs="Arial" w:eastAsia="Arial" w:hAnsi="Arial"/>
          <w:sz w:val="11"/>
          <w:szCs w:val="11"/>
          <w:color w:val="auto"/>
        </w:rPr>
        <w:t>may be exercised and such other terms as the Committee deems appropriate, except that the exercise price of each option shall be not less than the Fair Market Value (as defined below) of the Common Stock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56515</wp:posOffset>
            </wp:positionV>
            <wp:extent cx="3971925" cy="21717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26"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82</w:t>
      </w:r>
    </w:p>
    <w:p>
      <w:pPr>
        <w:sectPr>
          <w:pgSz w:w="11900" w:h="16838" w:orient="portrait"/>
          <w:cols w:equalWidth="0" w:num="1">
            <w:col w:w="10159"/>
          </w:cols>
          <w:pgMar w:left="300" w:top="372" w:right="1440" w:bottom="1440" w:gutter="0" w:footer="0" w:header="0"/>
        </w:sectPr>
      </w:pPr>
    </w:p>
    <w:bookmarkStart w:id="104" w:name="page105"/>
    <w:bookmarkEnd w:id="10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919"/>
        <w:spacing w:after="0" w:line="241" w:lineRule="auto"/>
        <w:rPr>
          <w:sz w:val="20"/>
          <w:szCs w:val="20"/>
          <w:color w:val="auto"/>
        </w:rPr>
      </w:pPr>
      <w:r>
        <w:rPr>
          <w:rFonts w:ascii="Arial" w:cs="Arial" w:eastAsia="Arial" w:hAnsi="Arial"/>
          <w:sz w:val="11"/>
          <w:szCs w:val="11"/>
          <w:color w:val="auto"/>
        </w:rPr>
        <w:t>“Fair Market Value” for purposes of the 2003 Plan is the average of the high and low sales prices of the Common Stock, or, if no sales of Common Stock were made on that date, the average of the high and low prices of Common Stock as reported for the preceding day on which sales of Common Stock were made. On December 25, 2022, the average of the high and low sales prices of the Common Stock, as reported in the Wall Street Journal, was $57.86.</w:t>
      </w:r>
    </w:p>
    <w:p>
      <w:pPr>
        <w:spacing w:after="0" w:line="95" w:lineRule="exact"/>
        <w:rPr>
          <w:sz w:val="20"/>
          <w:szCs w:val="20"/>
          <w:color w:val="auto"/>
        </w:rPr>
      </w:pPr>
    </w:p>
    <w:p>
      <w:pPr>
        <w:ind w:left="1980" w:right="899"/>
        <w:spacing w:after="0"/>
        <w:rPr>
          <w:sz w:val="20"/>
          <w:szCs w:val="20"/>
          <w:color w:val="auto"/>
        </w:rPr>
      </w:pPr>
      <w:r>
        <w:rPr>
          <w:rFonts w:ascii="Arial" w:cs="Arial" w:eastAsia="Arial" w:hAnsi="Arial"/>
          <w:sz w:val="11"/>
          <w:szCs w:val="11"/>
          <w:color w:val="auto"/>
        </w:rPr>
        <w:t>Subject to the limitations described below, options will become exercisable at such time or times, and on and subject to such conditions, as the Committee may specify. Except for a total of 5% of the shares authorized under the 2003 Plan which may be granted pursuant to shorter vesting periods, stock options shall vest in one or more installments over a total vesting period of not less than three years, and options, SARS, restricted stock and deferred stock cannot begin to vest until one year from the date of grant. Notwithstanding the foregoing, the Committee may provide for the acceleration of vesting of stock options upon the death, disability, retirement or other termination of employment or service of the participant. Unless the Committee determines otherwise, payment of the purchase price in full in cash is required upon option exercise.</w:t>
      </w:r>
    </w:p>
    <w:p>
      <w:pPr>
        <w:spacing w:after="0" w:line="86" w:lineRule="exact"/>
        <w:rPr>
          <w:sz w:val="20"/>
          <w:szCs w:val="20"/>
          <w:color w:val="auto"/>
        </w:rPr>
      </w:pPr>
    </w:p>
    <w:p>
      <w:pPr>
        <w:ind w:left="1980" w:right="939"/>
        <w:spacing w:after="0" w:line="247" w:lineRule="auto"/>
        <w:rPr>
          <w:sz w:val="20"/>
          <w:szCs w:val="20"/>
          <w:color w:val="auto"/>
        </w:rPr>
      </w:pPr>
      <w:r>
        <w:rPr>
          <w:rFonts w:ascii="Arial" w:cs="Arial" w:eastAsia="Arial" w:hAnsi="Arial"/>
          <w:sz w:val="11"/>
          <w:szCs w:val="11"/>
          <w:i w:val="1"/>
          <w:iCs w:val="1"/>
          <w:color w:val="auto"/>
        </w:rPr>
        <w:t xml:space="preserve">Stock Appreciation Rights. </w:t>
      </w:r>
      <w:r>
        <w:rPr>
          <w:rFonts w:ascii="Arial" w:cs="Arial" w:eastAsia="Arial" w:hAnsi="Arial"/>
          <w:sz w:val="11"/>
          <w:szCs w:val="11"/>
          <w:color w:val="auto"/>
        </w:rPr>
        <w:t>The holder of a SAR will be entitled to receive the excess of the fair market value, calculated as of the exercise date, of a</w:t>
      </w:r>
      <w:r>
        <w:rPr>
          <w:rFonts w:ascii="Arial" w:cs="Arial" w:eastAsia="Arial" w:hAnsi="Arial"/>
          <w:sz w:val="11"/>
          <w:szCs w:val="11"/>
          <w:i w:val="1"/>
          <w:iCs w:val="1"/>
          <w:color w:val="auto"/>
        </w:rPr>
        <w:t xml:space="preserve"> </w:t>
      </w:r>
      <w:r>
        <w:rPr>
          <w:rFonts w:ascii="Arial" w:cs="Arial" w:eastAsia="Arial" w:hAnsi="Arial"/>
          <w:sz w:val="11"/>
          <w:szCs w:val="11"/>
          <w:color w:val="auto"/>
        </w:rPr>
        <w:t>specified number of shares over the grant price of the SAR. The strike price of a SAR must be no less than the fair market value of the stock on the date of grant. SARs need not be granted in tandem with stock options. SARs are also subject to the same minimum vesting period requirements set forth above for stock options.</w:t>
      </w:r>
    </w:p>
    <w:p>
      <w:pPr>
        <w:spacing w:after="0" w:line="73" w:lineRule="exact"/>
        <w:rPr>
          <w:sz w:val="20"/>
          <w:szCs w:val="20"/>
          <w:color w:val="auto"/>
        </w:rPr>
      </w:pPr>
    </w:p>
    <w:p>
      <w:pPr>
        <w:ind w:left="1980" w:right="1019"/>
        <w:spacing w:after="0" w:line="247" w:lineRule="auto"/>
        <w:rPr>
          <w:sz w:val="20"/>
          <w:szCs w:val="20"/>
          <w:color w:val="auto"/>
        </w:rPr>
      </w:pPr>
      <w:r>
        <w:rPr>
          <w:rFonts w:ascii="Arial" w:cs="Arial" w:eastAsia="Arial" w:hAnsi="Arial"/>
          <w:sz w:val="11"/>
          <w:szCs w:val="11"/>
          <w:i w:val="1"/>
          <w:iCs w:val="1"/>
          <w:color w:val="auto"/>
        </w:rPr>
        <w:t xml:space="preserve">Stock Awards, Restricted Stock Awards and Restricted Stock Units. </w:t>
      </w:r>
      <w:r>
        <w:rPr>
          <w:rFonts w:ascii="Arial" w:cs="Arial" w:eastAsia="Arial" w:hAnsi="Arial"/>
          <w:sz w:val="11"/>
          <w:szCs w:val="11"/>
          <w:color w:val="auto"/>
        </w:rPr>
        <w:t>The 2003 Plan provides for the award of restricted stock subject to forfeiture,</w:t>
      </w:r>
      <w:r>
        <w:rPr>
          <w:rFonts w:ascii="Arial" w:cs="Arial" w:eastAsia="Arial" w:hAnsi="Arial"/>
          <w:sz w:val="11"/>
          <w:szCs w:val="11"/>
          <w:i w:val="1"/>
          <w:iCs w:val="1"/>
          <w:color w:val="auto"/>
        </w:rPr>
        <w:t xml:space="preserve"> </w:t>
      </w:r>
      <w:r>
        <w:rPr>
          <w:rFonts w:ascii="Arial" w:cs="Arial" w:eastAsia="Arial" w:hAnsi="Arial"/>
          <w:sz w:val="11"/>
          <w:szCs w:val="11"/>
          <w:color w:val="auto"/>
        </w:rPr>
        <w:t>restricted stock units and other forms of deferred stock providing for the delivery of stock in the future subject to specified conditions, and unrestricted stock which is immediately vested. A stock award may provide the recipient with all of the rights of a shareholder of the Company, including the right to vote and receive any dividends, subject to the limitations set forth in the 2003 Plan.</w:t>
      </w:r>
    </w:p>
    <w:p>
      <w:pPr>
        <w:spacing w:after="0" w:line="92" w:lineRule="exact"/>
        <w:rPr>
          <w:sz w:val="20"/>
          <w:szCs w:val="20"/>
          <w:color w:val="auto"/>
        </w:rPr>
      </w:pPr>
    </w:p>
    <w:p>
      <w:pPr>
        <w:ind w:left="1980" w:right="839"/>
        <w:spacing w:after="0" w:line="239" w:lineRule="auto"/>
        <w:rPr>
          <w:sz w:val="20"/>
          <w:szCs w:val="20"/>
          <w:color w:val="auto"/>
        </w:rPr>
      </w:pPr>
      <w:r>
        <w:rPr>
          <w:rFonts w:ascii="Arial" w:cs="Arial" w:eastAsia="Arial" w:hAnsi="Arial"/>
          <w:sz w:val="11"/>
          <w:szCs w:val="11"/>
          <w:color w:val="auto"/>
        </w:rPr>
        <w:t>Stock awards and awards of restricted stock units or other forms of deferred stock generally will be subject to certain conditions established by the Committee, including continuous service with the Company, achievement of specific business objectives, and other measurements of individual, business unit or Company performance. Except for 5% of the shares authorized under the 2003 Plan which may be granted subject to shorter vesting periods or may be vested upon grant (which is what the Company currently does for its annual stock grants to non-employee directors, which are vested upon grant), stock awards and restricted stock units shall vest in one or more installments over a total vesting period of not less than three years from the date of grant, and may not begin to vest until one year from the date of grant. Notwithstanding the foregoing, the Committee may provide for the acceleration of vesting of stock awards or restricted stock units upon the death, disability, retirement or other termination of employment or service of the participant or as otherwise described herein.</w:t>
      </w:r>
    </w:p>
    <w:p>
      <w:pPr>
        <w:spacing w:after="0" w:line="89" w:lineRule="exact"/>
        <w:rPr>
          <w:sz w:val="20"/>
          <w:szCs w:val="20"/>
          <w:color w:val="auto"/>
        </w:rPr>
      </w:pPr>
    </w:p>
    <w:p>
      <w:pPr>
        <w:ind w:left="1980" w:right="859"/>
        <w:spacing w:after="0" w:line="267" w:lineRule="auto"/>
        <w:rPr>
          <w:sz w:val="20"/>
          <w:szCs w:val="20"/>
          <w:color w:val="auto"/>
        </w:rPr>
      </w:pPr>
      <w:r>
        <w:rPr>
          <w:rFonts w:ascii="Arial" w:cs="Arial" w:eastAsia="Arial" w:hAnsi="Arial"/>
          <w:sz w:val="10"/>
          <w:szCs w:val="10"/>
          <w:i w:val="1"/>
          <w:iCs w:val="1"/>
          <w:color w:val="auto"/>
        </w:rPr>
        <w:t xml:space="preserve">Performance Awards. </w:t>
      </w:r>
      <w:r>
        <w:rPr>
          <w:rFonts w:ascii="Arial" w:cs="Arial" w:eastAsia="Arial" w:hAnsi="Arial"/>
          <w:sz w:val="10"/>
          <w:szCs w:val="10"/>
          <w:color w:val="auto"/>
        </w:rPr>
        <w:t>The Committee may grant awards under the 2003 Plan other than options and SARs which are designed to qualify as</w:t>
      </w:r>
      <w:r>
        <w:rPr>
          <w:rFonts w:ascii="Arial" w:cs="Arial" w:eastAsia="Arial" w:hAnsi="Arial"/>
          <w:sz w:val="10"/>
          <w:szCs w:val="10"/>
          <w:i w:val="1"/>
          <w:iCs w:val="1"/>
          <w:color w:val="auto"/>
        </w:rPr>
        <w:t xml:space="preserve"> </w:t>
      </w:r>
      <w:r>
        <w:rPr>
          <w:rFonts w:ascii="Arial" w:cs="Arial" w:eastAsia="Arial" w:hAnsi="Arial"/>
          <w:sz w:val="10"/>
          <w:szCs w:val="10"/>
          <w:color w:val="auto"/>
        </w:rPr>
        <w:t>performance-based compensation. The performance goals for each participant under a performance award shall be objectively determinable measures of performance based on any one or a combination of the following criteria: cash net earnings; core brands growth; core brands net revenues; cost control; earnings before income taxes; earnings before interest and taxes; earnings before interest, taxes and depreciation; earnings before interest, taxes, depreciation and amortization; economic value added; free cash flow; gross profit; net cash provided by operating activities; net earnings; earnings per share; net earnings per share; net revenues; operating margin; operating profit; return on assets; return on capital; return on capital investment; return on net revenues; return on shareholders’ equity; sales; stock price; total shareholder return on common stock relative to S&amp;P 500 Index; total shareholder return on common stock relative to Russell 1000 Consumer Discretionary Index; total shareholder return on common stock relative to any index of companies or groups of companies or one or more specific companies; and working capital. These business criteria may be measured on a consolidated basis or on a segment, divisional, sector or other business unit basis (herein collectively “business unit”), all as selected by the Committee in each individual case. Satisfaction of performance criteria may, in the Administrator’s discretion, be determined to the extent applicable, (i) in accordance with generally accepted accounting principles applied on a consistent basis and/or (ii) exclusive of designated (a) changes in accounting principles,</w:t>
      </w:r>
    </w:p>
    <w:p>
      <w:pPr>
        <w:spacing w:after="0" w:line="115" w:lineRule="exact"/>
        <w:rPr>
          <w:sz w:val="20"/>
          <w:szCs w:val="20"/>
          <w:color w:val="auto"/>
        </w:rPr>
      </w:pPr>
    </w:p>
    <w:p>
      <w:pPr>
        <w:jc w:val="both"/>
        <w:ind w:left="1980" w:right="1239" w:hanging="8"/>
        <w:spacing w:after="0" w:line="242" w:lineRule="auto"/>
        <w:tabs>
          <w:tab w:leader="none" w:pos="2142" w:val="left"/>
        </w:tabs>
        <w:numPr>
          <w:ilvl w:val="0"/>
          <w:numId w:val="66"/>
        </w:numPr>
        <w:rPr>
          <w:rFonts w:ascii="Arial" w:cs="Arial" w:eastAsia="Arial" w:hAnsi="Arial"/>
          <w:sz w:val="11"/>
          <w:szCs w:val="11"/>
          <w:color w:val="auto"/>
        </w:rPr>
      </w:pPr>
      <w:r>
        <w:rPr>
          <w:rFonts w:ascii="Arial" w:cs="Arial" w:eastAsia="Arial" w:hAnsi="Arial"/>
          <w:sz w:val="11"/>
          <w:szCs w:val="11"/>
          <w:color w:val="auto"/>
        </w:rPr>
        <w:t>extraordinary items, (c) material restructurings, (d) material nonrecurring items, (e) material non-budgeted items and (f) results of operations of acquisitions or divestitures consummated during the fiscal year; each of the items in this section (ii) being excluded to the extent authorized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59055</wp:posOffset>
            </wp:positionV>
            <wp:extent cx="3971925" cy="21717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83</w:t>
      </w:r>
    </w:p>
    <w:p>
      <w:pPr>
        <w:sectPr>
          <w:pgSz w:w="11900" w:h="16838" w:orient="portrait"/>
          <w:cols w:equalWidth="0" w:num="1">
            <w:col w:w="10159"/>
          </w:cols>
          <w:pgMar w:left="300" w:top="372" w:right="1440" w:bottom="1440" w:gutter="0" w:footer="0" w:header="0"/>
        </w:sectPr>
      </w:pPr>
    </w:p>
    <w:bookmarkStart w:id="105" w:name="page106"/>
    <w:bookmarkEnd w:id="10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1019"/>
        <w:spacing w:after="0" w:line="242" w:lineRule="auto"/>
        <w:rPr>
          <w:sz w:val="20"/>
          <w:szCs w:val="20"/>
          <w:color w:val="auto"/>
        </w:rPr>
      </w:pPr>
      <w:r>
        <w:rPr>
          <w:rFonts w:ascii="Arial" w:cs="Arial" w:eastAsia="Arial" w:hAnsi="Arial"/>
          <w:sz w:val="11"/>
          <w:szCs w:val="11"/>
          <w:color w:val="auto"/>
        </w:rPr>
        <w:t>The percentage vesting of any stock award and/or cash award shall in each case be based on the percentage of the performance goal achieved, as determined by the Committee, although the Committee generally has the discretion to reduce, or refuse to make (but not to increase), payments under stock or cash awards otherwise payable as a result of the achievement of a designated percentage of a performance goal.</w:t>
      </w:r>
    </w:p>
    <w:p>
      <w:pPr>
        <w:spacing w:after="0" w:line="84" w:lineRule="exact"/>
        <w:rPr>
          <w:sz w:val="20"/>
          <w:szCs w:val="20"/>
          <w:color w:val="auto"/>
        </w:rPr>
      </w:pPr>
    </w:p>
    <w:p>
      <w:pPr>
        <w:ind w:left="1980" w:right="919"/>
        <w:spacing w:after="0" w:line="264" w:lineRule="auto"/>
        <w:rPr>
          <w:sz w:val="20"/>
          <w:szCs w:val="20"/>
          <w:color w:val="auto"/>
        </w:rPr>
      </w:pPr>
      <w:r>
        <w:rPr>
          <w:rFonts w:ascii="Arial" w:cs="Arial" w:eastAsia="Arial" w:hAnsi="Arial"/>
          <w:sz w:val="11"/>
          <w:szCs w:val="11"/>
          <w:i w:val="1"/>
          <w:iCs w:val="1"/>
          <w:color w:val="auto"/>
        </w:rPr>
        <w:t xml:space="preserve">Cash Awards. </w:t>
      </w:r>
      <w:r>
        <w:rPr>
          <w:rFonts w:ascii="Arial" w:cs="Arial" w:eastAsia="Arial" w:hAnsi="Arial"/>
          <w:sz w:val="11"/>
          <w:szCs w:val="11"/>
          <w:color w:val="auto"/>
        </w:rPr>
        <w:t>Cash awards generally will be subject to certain conditions established by the Committee, including continuous service with the Company,</w:t>
      </w:r>
      <w:r>
        <w:rPr>
          <w:rFonts w:ascii="Arial" w:cs="Arial" w:eastAsia="Arial" w:hAnsi="Arial"/>
          <w:sz w:val="11"/>
          <w:szCs w:val="11"/>
          <w:i w:val="1"/>
          <w:iCs w:val="1"/>
          <w:color w:val="auto"/>
        </w:rPr>
        <w:t xml:space="preserve"> </w:t>
      </w:r>
      <w:r>
        <w:rPr>
          <w:rFonts w:ascii="Arial" w:cs="Arial" w:eastAsia="Arial" w:hAnsi="Arial"/>
          <w:sz w:val="11"/>
          <w:szCs w:val="11"/>
          <w:color w:val="auto"/>
        </w:rPr>
        <w:t>achievement of specific business objectives, or other measurements of individual, business unit or Company performance.</w:t>
      </w:r>
    </w:p>
    <w:p>
      <w:pPr>
        <w:spacing w:after="0" w:line="73" w:lineRule="exact"/>
        <w:rPr>
          <w:sz w:val="20"/>
          <w:szCs w:val="20"/>
          <w:color w:val="auto"/>
        </w:rPr>
      </w:pPr>
    </w:p>
    <w:p>
      <w:pPr>
        <w:ind w:left="1980" w:right="859"/>
        <w:spacing w:after="0" w:line="251" w:lineRule="auto"/>
        <w:rPr>
          <w:sz w:val="20"/>
          <w:szCs w:val="20"/>
          <w:color w:val="auto"/>
        </w:rPr>
      </w:pPr>
      <w:r>
        <w:rPr>
          <w:rFonts w:ascii="Arial" w:cs="Arial" w:eastAsia="Arial" w:hAnsi="Arial"/>
          <w:sz w:val="11"/>
          <w:szCs w:val="11"/>
          <w:i w:val="1"/>
          <w:iCs w:val="1"/>
          <w:color w:val="auto"/>
        </w:rPr>
        <w:t xml:space="preserve">General. </w:t>
      </w:r>
      <w:r>
        <w:rPr>
          <w:rFonts w:ascii="Arial" w:cs="Arial" w:eastAsia="Arial" w:hAnsi="Arial"/>
          <w:sz w:val="11"/>
          <w:szCs w:val="11"/>
          <w:color w:val="auto"/>
        </w:rPr>
        <w:t>Awards may be granted for no cash consideration or for such minimal cash consideration as may be required by applicable law. Awards may</w:t>
      </w:r>
      <w:r>
        <w:rPr>
          <w:rFonts w:ascii="Arial" w:cs="Arial" w:eastAsia="Arial" w:hAnsi="Arial"/>
          <w:sz w:val="11"/>
          <w:szCs w:val="11"/>
          <w:i w:val="1"/>
          <w:iCs w:val="1"/>
          <w:color w:val="auto"/>
        </w:rPr>
        <w:t xml:space="preserve"> </w:t>
      </w:r>
      <w:r>
        <w:rPr>
          <w:rFonts w:ascii="Arial" w:cs="Arial" w:eastAsia="Arial" w:hAnsi="Arial"/>
          <w:sz w:val="11"/>
          <w:szCs w:val="11"/>
          <w:color w:val="auto"/>
        </w:rPr>
        <w:t>provide that upon their exercise or vesting the holder will receive cash, Common Stock or any combination thereof as the Committee shall determine. Any shares of stock deliverable under the 2003 Plan may consist in whole or in part of authorized and unissued shares or treasury shares.</w:t>
      </w:r>
    </w:p>
    <w:p>
      <w:pPr>
        <w:spacing w:after="0" w:line="81" w:lineRule="exact"/>
        <w:rPr>
          <w:sz w:val="20"/>
          <w:szCs w:val="20"/>
          <w:color w:val="auto"/>
        </w:rPr>
      </w:pPr>
    </w:p>
    <w:p>
      <w:pPr>
        <w:ind w:left="1980" w:right="899"/>
        <w:spacing w:after="0"/>
        <w:rPr>
          <w:sz w:val="20"/>
          <w:szCs w:val="20"/>
          <w:color w:val="auto"/>
        </w:rPr>
      </w:pPr>
      <w:r>
        <w:rPr>
          <w:rFonts w:ascii="Arial" w:cs="Arial" w:eastAsia="Arial" w:hAnsi="Arial"/>
          <w:sz w:val="11"/>
          <w:szCs w:val="11"/>
          <w:color w:val="auto"/>
        </w:rPr>
        <w:t>Neither ISOs, nor, except as the Committee otherwise expressly provides in compliance with the following sentence, other awards may be transferred other than by will, by the laws of descent and distribution, or pursuant to a qualified domestic relations order or other domestic relations order, and during a participant’s lifetime ISOs (and, except as the Committee otherwise expressly provides, other non-transferable awards requiring exercise) may be exercised only by the participant. In no case will the Administrator allow awards under the 2003 Plan to be transferred for value to persons who are not related or previously related to the award recipient. The intent of this prohibition is to prohibit programs pursuant to which award recipients would be able to sell awards in the open market to unrelated parties.</w:t>
      </w:r>
    </w:p>
    <w:p>
      <w:pPr>
        <w:spacing w:after="0" w:line="86" w:lineRule="exact"/>
        <w:rPr>
          <w:sz w:val="20"/>
          <w:szCs w:val="20"/>
          <w:color w:val="auto"/>
        </w:rPr>
      </w:pPr>
    </w:p>
    <w:p>
      <w:pPr>
        <w:ind w:left="1980" w:right="999"/>
        <w:spacing w:after="0" w:line="248" w:lineRule="auto"/>
        <w:rPr>
          <w:sz w:val="20"/>
          <w:szCs w:val="20"/>
          <w:color w:val="auto"/>
        </w:rPr>
      </w:pPr>
      <w:r>
        <w:rPr>
          <w:rFonts w:ascii="Arial" w:cs="Arial" w:eastAsia="Arial" w:hAnsi="Arial"/>
          <w:sz w:val="11"/>
          <w:szCs w:val="11"/>
          <w:i w:val="1"/>
          <w:iCs w:val="1"/>
          <w:color w:val="auto"/>
        </w:rPr>
        <w:t xml:space="preserve">Change in Control. </w:t>
      </w:r>
      <w:r>
        <w:rPr>
          <w:rFonts w:ascii="Arial" w:cs="Arial" w:eastAsia="Arial" w:hAnsi="Arial"/>
          <w:sz w:val="11"/>
          <w:szCs w:val="11"/>
          <w:color w:val="auto"/>
        </w:rPr>
        <w:t>The 2003 Plan provides that if a participant’s employment by the Company is terminated by the Company without Cause during the</w:t>
      </w:r>
      <w:r>
        <w:rPr>
          <w:rFonts w:ascii="Arial" w:cs="Arial" w:eastAsia="Arial" w:hAnsi="Arial"/>
          <w:sz w:val="11"/>
          <w:szCs w:val="11"/>
          <w:i w:val="1"/>
          <w:iCs w:val="1"/>
          <w:color w:val="auto"/>
        </w:rPr>
        <w:t xml:space="preserve"> </w:t>
      </w:r>
      <w:r>
        <w:rPr>
          <w:rFonts w:ascii="Arial" w:cs="Arial" w:eastAsia="Arial" w:hAnsi="Arial"/>
          <w:sz w:val="11"/>
          <w:szCs w:val="11"/>
          <w:color w:val="auto"/>
        </w:rPr>
        <w:t>twenty-four (24) month period following a Change in Control, or a participant resigns from the Company for Good Reason during the twenty-four</w:t>
      </w:r>
    </w:p>
    <w:p>
      <w:pPr>
        <w:spacing w:after="0" w:line="1" w:lineRule="exact"/>
        <w:rPr>
          <w:sz w:val="20"/>
          <w:szCs w:val="20"/>
          <w:color w:val="auto"/>
        </w:rPr>
      </w:pPr>
    </w:p>
    <w:p>
      <w:pPr>
        <w:ind w:left="1980" w:right="1059" w:hanging="8"/>
        <w:spacing w:after="0" w:line="245" w:lineRule="auto"/>
        <w:tabs>
          <w:tab w:leader="none" w:pos="2202" w:val="left"/>
        </w:tabs>
        <w:numPr>
          <w:ilvl w:val="0"/>
          <w:numId w:val="67"/>
        </w:numPr>
        <w:rPr>
          <w:rFonts w:ascii="Arial" w:cs="Arial" w:eastAsia="Arial" w:hAnsi="Arial"/>
          <w:sz w:val="11"/>
          <w:szCs w:val="11"/>
          <w:color w:val="auto"/>
        </w:rPr>
      </w:pPr>
      <w:r>
        <w:rPr>
          <w:rFonts w:ascii="Arial" w:cs="Arial" w:eastAsia="Arial" w:hAnsi="Arial"/>
          <w:sz w:val="11"/>
          <w:szCs w:val="11"/>
          <w:color w:val="auto"/>
        </w:rPr>
        <w:t>month period following a Change in Control, all of such participant’s awards outstanding on such date become 100% vested and the value will be paid in either cash or shares of the Company’s Common Stock, in the discretion of the Committee, as soon as practicable.</w:t>
      </w:r>
    </w:p>
    <w:p>
      <w:pPr>
        <w:spacing w:after="0" w:line="93" w:lineRule="exact"/>
        <w:rPr>
          <w:sz w:val="20"/>
          <w:szCs w:val="20"/>
          <w:color w:val="auto"/>
        </w:rPr>
      </w:pPr>
    </w:p>
    <w:p>
      <w:pPr>
        <w:ind w:left="1980" w:right="859"/>
        <w:spacing w:after="0" w:line="265" w:lineRule="auto"/>
        <w:rPr>
          <w:sz w:val="20"/>
          <w:szCs w:val="20"/>
          <w:color w:val="auto"/>
        </w:rPr>
      </w:pPr>
      <w:r>
        <w:rPr>
          <w:rFonts w:ascii="Arial" w:cs="Arial" w:eastAsia="Arial" w:hAnsi="Arial"/>
          <w:sz w:val="10"/>
          <w:szCs w:val="10"/>
          <w:color w:val="auto"/>
        </w:rPr>
        <w:t>The 2003 Plan provides following a Reorganization Event, the Administrator may generally take any one or more of the following actions as to all (or any portion of) outstanding Awards on such terms as the Administrator determines in its sole discretion: (i) provide that such Awards shall be assumed, or other Awards shall be substituted, by the acquiring or succeeding entity (or an affiliate thereof), (ii) upon written notice to a participant, provide that all of the participant’s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(but only in connection with a termination of the participant’s employment), (iv) in the event of a Reorganization Event under the terms of which holders of stock will receive upon consummation thereof a cash payment for each share of stock surrendered, make or provide for a cash payment to participants with respect to each Award held by a participant equal to (A) the number of shares of stock subject to the vested portion of the Award (after giving effect to any acceleration of vesting that occurs upon or immediately prior to such Reorganization Event in connection with the termination of the participant’s employment) multiplied by (B) the excess, if any, of (I) the acquisition price over (II) the exercise, measurement or purchase price of such Award and any applicable tax withholdings, in exchange for the termination of such Award, (v) provide that, in connection with a liquidation or dissolution of the Company, Awards that are vested shall convert into the right to receive liquidation proceeds (if applicable, net of the exercise, measurement or purchase price thereof and any applicable tax withholdings) and (vi) any combination of the foregoing. In taking any of the actions permitted the Administrator is not be obligated by the 2003 Plan to treat all Awards, all Awards held by a participant, or all Awards of the same type, identically.</w:t>
      </w:r>
    </w:p>
    <w:p>
      <w:pPr>
        <w:spacing w:after="0" w:line="316"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Amendment or Termination</w:t>
      </w:r>
    </w:p>
    <w:p>
      <w:pPr>
        <w:spacing w:after="0" w:line="84" w:lineRule="exact"/>
        <w:rPr>
          <w:sz w:val="20"/>
          <w:szCs w:val="20"/>
          <w:color w:val="auto"/>
        </w:rPr>
      </w:pPr>
    </w:p>
    <w:p>
      <w:pPr>
        <w:ind w:left="1980" w:right="939"/>
        <w:spacing w:after="0"/>
        <w:rPr>
          <w:sz w:val="20"/>
          <w:szCs w:val="20"/>
          <w:color w:val="auto"/>
        </w:rPr>
      </w:pPr>
      <w:r>
        <w:rPr>
          <w:rFonts w:ascii="Arial" w:cs="Arial" w:eastAsia="Arial" w:hAnsi="Arial"/>
          <w:sz w:val="11"/>
          <w:szCs w:val="11"/>
          <w:color w:val="auto"/>
        </w:rPr>
        <w:t>The Board or the Committee may terminate the 2003 Plan at any time, and shall have the right to amend or modify the 2003 Plan at any time, and from time to time, provided, however, that no material amendment to the terms of the 2003 Plan, including an amendment to reprice options or SARs granted under the 2003 Plan, shall become effective without shareholder approval. If shareholders approve the proposed Amendments, the 2003 Plan will terminate on December 31, 2028, unless terminated earlier by the Board or the Committee. Absent shareholder approval of the Amendments, the 2003 Plan expires on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60325</wp:posOffset>
            </wp:positionV>
            <wp:extent cx="3971925" cy="21717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3"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84</w:t>
      </w:r>
    </w:p>
    <w:p>
      <w:pPr>
        <w:sectPr>
          <w:pgSz w:w="11900" w:h="16838" w:orient="portrait"/>
          <w:cols w:equalWidth="0" w:num="1">
            <w:col w:w="10159"/>
          </w:cols>
          <w:pgMar w:left="300" w:top="372" w:right="1440" w:bottom="1440" w:gutter="0" w:footer="0" w:header="0"/>
        </w:sectPr>
      </w:pPr>
    </w:p>
    <w:bookmarkStart w:id="106" w:name="page107"/>
    <w:bookmarkEnd w:id="10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United States Federal Income Tax Consequences of Certain Awards</w:t>
      </w:r>
    </w:p>
    <w:p>
      <w:pPr>
        <w:spacing w:after="0" w:line="84"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following is a summary of the principal United States federal income tax consequences generally applicable to certain awards under the 2003 Plan.</w:t>
      </w:r>
    </w:p>
    <w:p>
      <w:pPr>
        <w:spacing w:after="0" w:line="1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Note that there may be state, local, foreign and other taxes applicable to participants in the 2003 Plan.</w:t>
      </w:r>
    </w:p>
    <w:p>
      <w:pPr>
        <w:spacing w:after="0" w:line="99" w:lineRule="exact"/>
        <w:rPr>
          <w:sz w:val="20"/>
          <w:szCs w:val="20"/>
          <w:color w:val="auto"/>
        </w:rPr>
      </w:pPr>
    </w:p>
    <w:p>
      <w:pPr>
        <w:ind w:left="1980" w:right="839"/>
        <w:spacing w:after="0"/>
        <w:rPr>
          <w:sz w:val="20"/>
          <w:szCs w:val="20"/>
          <w:color w:val="auto"/>
        </w:rPr>
      </w:pPr>
      <w:r>
        <w:rPr>
          <w:rFonts w:ascii="Arial" w:cs="Arial" w:eastAsia="Arial" w:hAnsi="Arial"/>
          <w:sz w:val="11"/>
          <w:szCs w:val="11"/>
          <w:color w:val="auto"/>
        </w:rPr>
        <w:t>The grant of a stock option or SAR under the 2003 Plan will generally create no immediate tax consequences for the recipient or for the Company or an affiliate employing such individual (the “employer”). An employee exercising an ISO has no taxable income for regular income tax purposes (but the alternative minimum tax may apply) in connection with the exercise, and no tax deduction is available to the employer. In general, an ISO that is exercised by the recipient more than three months following termination of employment is treated as a non-ISO for federal income tax purposes, as are stock options granted to an employee and otherwise qualifying as ISOs to the extent that in the aggregate they first become exercisable in any calendar year for stock having a grant-date value in excess of $100,000.</w:t>
      </w:r>
    </w:p>
    <w:p>
      <w:pPr>
        <w:spacing w:after="0" w:line="96" w:lineRule="exact"/>
        <w:rPr>
          <w:sz w:val="20"/>
          <w:szCs w:val="20"/>
          <w:color w:val="auto"/>
        </w:rPr>
      </w:pPr>
    </w:p>
    <w:p>
      <w:pPr>
        <w:ind w:left="1980" w:right="999"/>
        <w:spacing w:after="0" w:line="241" w:lineRule="auto"/>
        <w:rPr>
          <w:sz w:val="20"/>
          <w:szCs w:val="20"/>
          <w:color w:val="auto"/>
        </w:rPr>
      </w:pPr>
      <w:r>
        <w:rPr>
          <w:rFonts w:ascii="Arial" w:cs="Arial" w:eastAsia="Arial" w:hAnsi="Arial"/>
          <w:sz w:val="11"/>
          <w:szCs w:val="11"/>
          <w:color w:val="auto"/>
        </w:rPr>
        <w:t>Upon exercising a stock option other than an ISO, the optionee has ordinary income equal to the excess of the fair market value of the shares acquired on the date of exercise over the option exercise price, and a corresponding tax deduction is available to the employer. Upon exercising a SAR, the amount of any cash received and the fair market value on the exercise date of any shares or other property received are taxable to the recipient as ordinary income and a corresponding deduction is available to the employer.</w:t>
      </w:r>
    </w:p>
    <w:p>
      <w:pPr>
        <w:spacing w:after="0" w:line="86" w:lineRule="exact"/>
        <w:rPr>
          <w:sz w:val="20"/>
          <w:szCs w:val="20"/>
          <w:color w:val="auto"/>
        </w:rPr>
      </w:pPr>
    </w:p>
    <w:p>
      <w:pPr>
        <w:ind w:left="1980" w:right="879"/>
        <w:spacing w:after="0" w:line="239" w:lineRule="auto"/>
        <w:rPr>
          <w:sz w:val="20"/>
          <w:szCs w:val="20"/>
          <w:color w:val="auto"/>
        </w:rPr>
      </w:pPr>
      <w:r>
        <w:rPr>
          <w:rFonts w:ascii="Arial" w:cs="Arial" w:eastAsia="Arial" w:hAnsi="Arial"/>
          <w:sz w:val="11"/>
          <w:szCs w:val="11"/>
          <w:color w:val="auto"/>
        </w:rPr>
        <w:t>The tax consequence to an optionee of a disposition of shares acquired through the exercise of a SAR or a stock option will depend on how long the shares have been held and upon whether the shares were acquired by exercising an ISO or by exercising a SAR or a stock option other than an ISO. An employee who disposes of shares acquired upon exercise of an ISO, if the disposition occurs within one year following the date of exercise or within two years from the date of grant of the ISO, will have income, taxable at ordinary income rates, equal in general to the spread at exercise (or, with limited exceptions, to the gain on disposition, if less), and a corresponding deduction will be available to the employer. Any additional gain recognized in the disposition will be taxed as a capital gain, either at long-term or at short-term gain rates depending on the employee’s tax holding period in the shares. If the employee does not dispose of the shares until after the expiration of these one and two-year holding periods, any gain or loss recognized on a subsequent sale or exchange is treated as a long-term capital gain or loss, and no corresponding tax deduction is available to the employer. Any gain or loss recognized upon a sale or exchange of shares acquired upon exercise of a stock option other than an ISO or a SAR will be taxed as a capital gain or loss, long-term or short-term depending on the holder’s tax holding period in the shares. No deduction is available to the employer in respect of these capital gains or losses.</w:t>
      </w:r>
    </w:p>
    <w:p>
      <w:pPr>
        <w:spacing w:after="0" w:line="99" w:lineRule="exact"/>
        <w:rPr>
          <w:sz w:val="20"/>
          <w:szCs w:val="20"/>
          <w:color w:val="auto"/>
        </w:rPr>
      </w:pPr>
    </w:p>
    <w:p>
      <w:pPr>
        <w:ind w:left="1980" w:right="839"/>
        <w:spacing w:after="0" w:line="239" w:lineRule="auto"/>
        <w:rPr>
          <w:sz w:val="20"/>
          <w:szCs w:val="20"/>
          <w:color w:val="auto"/>
        </w:rPr>
      </w:pPr>
      <w:r>
        <w:rPr>
          <w:rFonts w:ascii="Arial" w:cs="Arial" w:eastAsia="Arial" w:hAnsi="Arial"/>
          <w:sz w:val="11"/>
          <w:szCs w:val="11"/>
          <w:color w:val="auto"/>
        </w:rPr>
        <w:t>If cash, shares of Common Stock or other property is transferred under or in settlement of other awards under the 2003 Plan, including if shares are earned by a recipient pursuant to a contingent stock performance award which provides the opportunity to earn shares if the Company meets certain performance targets over a stated performance period, or if a recipient earns shares under a restricted stock unit grant, the recipient will generally recognize ordinary income at the time the property or shares are transferred to or earned by the recipient equal to the excess of (a) the cash (if any) transferred, plus the fair market value of the vested shares or other vested property (if any) transferred over (b) the amount (if any) paid for such shares or other property by the participant, and a corresponding deduction will be available to the employer. If any of the transferred shares or other property is unvested (subject to a substantial risk of forfeiture), the ordinary income associated with the transfer will be includible and measured only when the property vests (and the associated deduction will be similarly delayed), unless the award recipient makes a special election to take the awarded shares or other property into income at the time of transfer.</w:t>
      </w:r>
    </w:p>
    <w:p>
      <w:pPr>
        <w:spacing w:after="0" w:line="99" w:lineRule="exact"/>
        <w:rPr>
          <w:sz w:val="20"/>
          <w:szCs w:val="20"/>
          <w:color w:val="auto"/>
        </w:rPr>
      </w:pPr>
    </w:p>
    <w:p>
      <w:pPr>
        <w:ind w:left="1980" w:right="1119"/>
        <w:spacing w:after="0" w:line="278" w:lineRule="auto"/>
        <w:rPr>
          <w:sz w:val="20"/>
          <w:szCs w:val="20"/>
          <w:color w:val="auto"/>
        </w:rPr>
      </w:pPr>
      <w:r>
        <w:rPr>
          <w:rFonts w:ascii="Arial" w:cs="Arial" w:eastAsia="Arial" w:hAnsi="Arial"/>
          <w:sz w:val="10"/>
          <w:szCs w:val="10"/>
          <w:color w:val="auto"/>
        </w:rPr>
        <w:t>Some awards under the 2003 Plan could constitute or give rise to “nonqualified deferred compensation” subject to Section 409A of the Code. Where applicable, Section 409A regulates, among other things, both the deferral of compensation and the time and manner in which previously deferred amounts may be paid. The summary above assumes that the awards are exempt from, or comply with, the requirements of Section 409A.</w:t>
      </w:r>
    </w:p>
    <w:p>
      <w:pPr>
        <w:spacing w:after="0" w:line="182"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Approval</w:t>
      </w:r>
    </w:p>
    <w:p>
      <w:pPr>
        <w:spacing w:after="0" w:line="84" w:lineRule="exact"/>
        <w:rPr>
          <w:sz w:val="20"/>
          <w:szCs w:val="20"/>
          <w:color w:val="auto"/>
        </w:rPr>
      </w:pPr>
    </w:p>
    <w:p>
      <w:pPr>
        <w:ind w:left="1980" w:right="879"/>
        <w:spacing w:after="0" w:line="241" w:lineRule="auto"/>
        <w:rPr>
          <w:sz w:val="20"/>
          <w:szCs w:val="20"/>
          <w:color w:val="auto"/>
        </w:rPr>
      </w:pPr>
      <w:r>
        <w:rPr>
          <w:rFonts w:ascii="Arial" w:cs="Arial" w:eastAsia="Arial" w:hAnsi="Arial"/>
          <w:sz w:val="11"/>
          <w:szCs w:val="11"/>
          <w:color w:val="auto"/>
        </w:rPr>
        <w:t>The affirmative vote of a majority of the shares of Common Stock present (in person or by proxy) and entitled to vote at the Meeting on the Amendments to the 2003 Plan is required for approval of the Amendments. Abstentions are considered shares entitled to vote on the proposal and as such abstentions are the equivalent of a vote against the proposal. In contrast, broker non-votes are not counted as present and entitled to vote on the proposal for purposes of determining if the proposal receives an affirmative vote of a majority of the shares present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3971925" cy="21717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85</w:t>
      </w:r>
    </w:p>
    <w:p>
      <w:pPr>
        <w:sectPr>
          <w:pgSz w:w="11900" w:h="16838" w:orient="portrait"/>
          <w:cols w:equalWidth="0" w:num="1">
            <w:col w:w="10159"/>
          </w:cols>
          <w:pgMar w:left="300" w:top="372" w:right="1440" w:bottom="1440" w:gutter="0" w:footer="0" w:header="0"/>
        </w:sectPr>
      </w:pPr>
    </w:p>
    <w:bookmarkStart w:id="107" w:name="page108"/>
    <w:bookmarkEnd w:id="10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279"/>
        <w:spacing w:after="0" w:line="242" w:lineRule="auto"/>
        <w:rPr>
          <w:sz w:val="20"/>
          <w:szCs w:val="20"/>
          <w:color w:val="auto"/>
        </w:rPr>
      </w:pPr>
      <w:r>
        <w:rPr>
          <w:rFonts w:ascii="Arial" w:cs="Arial" w:eastAsia="Arial" w:hAnsi="Arial"/>
          <w:sz w:val="22"/>
          <w:szCs w:val="22"/>
          <w:color w:val="0060ED"/>
        </w:rPr>
        <w:t>Proposal to Ratify the Selection of KPMG LLP as the Company’s Independent Registered Public Accounting Firm for the 2023 Fiscal Year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55245</wp:posOffset>
            </wp:positionV>
            <wp:extent cx="4526280" cy="40005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4526280" cy="400050"/>
                    </a:xfrm>
                    <a:prstGeom prst="rect">
                      <a:avLst/>
                    </a:prstGeom>
                    <a:noFill/>
                  </pic:spPr>
                </pic:pic>
              </a:graphicData>
            </a:graphic>
          </wp:anchor>
        </w:drawing>
      </w:r>
    </w:p>
    <w:p>
      <w:pPr>
        <w:spacing w:after="0" w:line="90" w:lineRule="exact"/>
        <w:rPr>
          <w:sz w:val="20"/>
          <w:szCs w:val="20"/>
          <w:color w:val="auto"/>
        </w:rPr>
      </w:pPr>
    </w:p>
    <w:p>
      <w:pPr>
        <w:ind w:left="2080" w:right="2399"/>
        <w:spacing w:after="0" w:line="263" w:lineRule="auto"/>
        <w:rPr>
          <w:sz w:val="20"/>
          <w:szCs w:val="20"/>
          <w:color w:val="auto"/>
        </w:rPr>
      </w:pPr>
      <w:r>
        <w:rPr>
          <w:rFonts w:ascii="Arial" w:cs="Arial" w:eastAsia="Arial" w:hAnsi="Arial"/>
          <w:sz w:val="14"/>
          <w:szCs w:val="14"/>
          <w:b w:val="1"/>
          <w:bCs w:val="1"/>
          <w:color w:val="009BDE"/>
        </w:rPr>
        <w:t>THE BOARD OF DIRECTORS UNANIMOUSLY RECOMMENDS A VOTE “</w:t>
      </w:r>
      <w:r>
        <w:rPr>
          <w:rFonts w:ascii="Arial" w:cs="Arial" w:eastAsia="Arial" w:hAnsi="Arial"/>
          <w:sz w:val="14"/>
          <w:szCs w:val="14"/>
          <w:b w:val="1"/>
          <w:bCs w:val="1"/>
          <w:u w:val="single" w:color="auto"/>
          <w:color w:val="009BDE"/>
        </w:rPr>
        <w:t>FOR</w:t>
      </w:r>
      <w:r>
        <w:rPr>
          <w:rFonts w:ascii="Arial" w:cs="Arial" w:eastAsia="Arial" w:hAnsi="Arial"/>
          <w:sz w:val="14"/>
          <w:szCs w:val="14"/>
          <w:b w:val="1"/>
          <w:bCs w:val="1"/>
          <w:color w:val="009BDE"/>
        </w:rPr>
        <w:t>” RATIFICATION OF THE SELECTION OF KPMG AS THE COMPANY’S INDEPENDENT REGISTERED PUBLIC ACCOUNTING FIRM FOR FISCAL 2023.</w:t>
      </w:r>
    </w:p>
    <w:p>
      <w:pPr>
        <w:spacing w:after="0" w:line="178" w:lineRule="exact"/>
        <w:rPr>
          <w:sz w:val="20"/>
          <w:szCs w:val="20"/>
          <w:color w:val="auto"/>
        </w:rPr>
      </w:pPr>
    </w:p>
    <w:p>
      <w:pPr>
        <w:ind w:left="1980" w:right="859"/>
        <w:spacing w:after="0" w:line="241" w:lineRule="auto"/>
        <w:rPr>
          <w:sz w:val="20"/>
          <w:szCs w:val="20"/>
          <w:color w:val="auto"/>
        </w:rPr>
      </w:pPr>
      <w:r>
        <w:rPr>
          <w:rFonts w:ascii="Arial" w:cs="Arial" w:eastAsia="Arial" w:hAnsi="Arial"/>
          <w:sz w:val="11"/>
          <w:szCs w:val="11"/>
          <w:color w:val="auto"/>
        </w:rPr>
        <w:t>The Audit Committee has selected KPMG LLP (“KPMG”), independent registered public accounting firm, to perform the integrated audit of the consolidated financial statements and effectiveness of internal control over financial reporting of the Company for the fiscal year ending December 31, 2023 (“Fiscal 2023”), and the Company’s Board has ratified this selection. A representative of KPMG is expected to be present at the Annual Meeting, will have the opportunity to make a statement if so desired, and will be available to respond to appropriate questions.</w:t>
      </w:r>
    </w:p>
    <w:p>
      <w:pPr>
        <w:spacing w:after="0" w:line="95" w:lineRule="exact"/>
        <w:rPr>
          <w:sz w:val="20"/>
          <w:szCs w:val="20"/>
          <w:color w:val="auto"/>
        </w:rPr>
      </w:pPr>
    </w:p>
    <w:p>
      <w:pPr>
        <w:ind w:left="1980" w:right="859"/>
        <w:spacing w:after="0"/>
        <w:rPr>
          <w:sz w:val="20"/>
          <w:szCs w:val="20"/>
          <w:color w:val="auto"/>
        </w:rPr>
      </w:pPr>
      <w:r>
        <w:rPr>
          <w:rFonts w:ascii="Arial" w:cs="Arial" w:eastAsia="Arial" w:hAnsi="Arial"/>
          <w:sz w:val="11"/>
          <w:szCs w:val="11"/>
          <w:color w:val="auto"/>
        </w:rPr>
        <w:t>The Board is submitting the selection of KPMG as the Company’s independent registered public accounting firm for Fiscal 2023 to the shareholders for their ratification. The Audit Committee of the Board bears the ultimate responsibility for selecting the Company’s independent registered public accounting firm and makes the selection it deems best for the Company and the Company’s shareholders. As such, the failure by the shareholders to ratify the selection of the independent registered public accounting firm made by the Audit Committee will not require the Audit Committee to alter its decision. Similarly, ratification of the selection of KPMG as the independent registered public accounting firm does not limit the Committee’s ability to change this selection in the future if it deems appropriate. The Report of the Audit Committee following this proposal contains a discussion of the factors considered by the Audit Committee in selecting the independent registered public accounting firm.</w:t>
      </w:r>
    </w:p>
    <w:p>
      <w:pPr>
        <w:spacing w:after="0" w:line="87" w:lineRule="exact"/>
        <w:rPr>
          <w:sz w:val="20"/>
          <w:szCs w:val="20"/>
          <w:color w:val="auto"/>
        </w:rPr>
      </w:pPr>
    </w:p>
    <w:p>
      <w:pPr>
        <w:ind w:left="1980" w:right="899"/>
        <w:spacing w:after="0" w:line="245" w:lineRule="auto"/>
        <w:rPr>
          <w:sz w:val="20"/>
          <w:szCs w:val="20"/>
          <w:color w:val="auto"/>
        </w:rPr>
      </w:pPr>
      <w:r>
        <w:rPr>
          <w:rFonts w:ascii="Arial" w:cs="Arial" w:eastAsia="Arial" w:hAnsi="Arial"/>
          <w:sz w:val="11"/>
          <w:szCs w:val="11"/>
          <w:color w:val="auto"/>
        </w:rPr>
        <w:t>In connection with submitting the selection of KPMG as the Company’s independent registered public accounting firm for Fiscal 2023 to the shareholders for their ratification the Audit Committee notes:</w:t>
      </w:r>
    </w:p>
    <w:p>
      <w:pPr>
        <w:spacing w:after="0" w:line="93" w:lineRule="exact"/>
        <w:rPr>
          <w:sz w:val="20"/>
          <w:szCs w:val="20"/>
          <w:color w:val="auto"/>
        </w:rPr>
      </w:pPr>
    </w:p>
    <w:p>
      <w:pPr>
        <w:ind w:left="2120" w:right="899" w:hanging="148"/>
        <w:spacing w:after="0" w:line="242" w:lineRule="auto"/>
        <w:tabs>
          <w:tab w:leader="none" w:pos="2120" w:val="left"/>
        </w:tabs>
        <w:numPr>
          <w:ilvl w:val="0"/>
          <w:numId w:val="68"/>
        </w:numPr>
        <w:rPr>
          <w:rFonts w:ascii="Arial" w:cs="Arial" w:eastAsia="Arial" w:hAnsi="Arial"/>
          <w:sz w:val="11"/>
          <w:szCs w:val="11"/>
          <w:color w:val="auto"/>
        </w:rPr>
      </w:pPr>
      <w:r>
        <w:rPr>
          <w:rFonts w:ascii="Arial" w:cs="Arial" w:eastAsia="Arial" w:hAnsi="Arial"/>
          <w:sz w:val="11"/>
          <w:szCs w:val="11"/>
          <w:color w:val="auto"/>
        </w:rPr>
        <w:t>The Audit Committee is directly responsible for the appointment, compensation, retention and oversight of the independent registered public accounting firm retained to audit the Company’s financial statements. The Audit Committee has appointed KPMG LLP as the Company’s independent external auditor for Fiscal 2023.</w:t>
      </w:r>
    </w:p>
    <w:p>
      <w:pPr>
        <w:spacing w:after="0" w:line="76" w:lineRule="exact"/>
        <w:rPr>
          <w:rFonts w:ascii="Arial" w:cs="Arial" w:eastAsia="Arial" w:hAnsi="Arial"/>
          <w:sz w:val="11"/>
          <w:szCs w:val="11"/>
          <w:color w:val="auto"/>
        </w:rPr>
      </w:pPr>
    </w:p>
    <w:p>
      <w:pPr>
        <w:jc w:val="both"/>
        <w:ind w:left="2120" w:right="999" w:hanging="148"/>
        <w:spacing w:after="0" w:line="241" w:lineRule="auto"/>
        <w:tabs>
          <w:tab w:leader="none" w:pos="2120" w:val="left"/>
        </w:tabs>
        <w:numPr>
          <w:ilvl w:val="0"/>
          <w:numId w:val="68"/>
        </w:numPr>
        <w:rPr>
          <w:rFonts w:ascii="Arial" w:cs="Arial" w:eastAsia="Arial" w:hAnsi="Arial"/>
          <w:sz w:val="11"/>
          <w:szCs w:val="11"/>
          <w:color w:val="auto"/>
        </w:rPr>
      </w:pPr>
      <w:r>
        <w:rPr>
          <w:rFonts w:ascii="Arial" w:cs="Arial" w:eastAsia="Arial" w:hAnsi="Arial"/>
          <w:sz w:val="11"/>
          <w:szCs w:val="11"/>
          <w:color w:val="auto"/>
        </w:rPr>
        <w:t>Peat, Marwick, Mitchell &amp; Co. was retained by the Company as its external auditor and issued an auditors’ report in connection with the Company’s initial public offering of stock in 1968. KPMG was formed in 1987 when Peat Marwick International and Klynveld Main Goerdeler merged along with their respective member firms. As such, KPMG, or a predecessor firm of KPMG, has been retained as the Company’s external auditor since at least 1968.</w:t>
      </w:r>
    </w:p>
    <w:p>
      <w:pPr>
        <w:spacing w:after="0" w:line="76" w:lineRule="exact"/>
        <w:rPr>
          <w:rFonts w:ascii="Arial" w:cs="Arial" w:eastAsia="Arial" w:hAnsi="Arial"/>
          <w:sz w:val="11"/>
          <w:szCs w:val="11"/>
          <w:color w:val="auto"/>
        </w:rPr>
      </w:pPr>
    </w:p>
    <w:p>
      <w:pPr>
        <w:ind w:left="2120" w:right="1119" w:hanging="148"/>
        <w:spacing w:after="0" w:line="241" w:lineRule="auto"/>
        <w:tabs>
          <w:tab w:leader="none" w:pos="2120" w:val="left"/>
        </w:tabs>
        <w:numPr>
          <w:ilvl w:val="0"/>
          <w:numId w:val="68"/>
        </w:numPr>
        <w:rPr>
          <w:rFonts w:ascii="Arial" w:cs="Arial" w:eastAsia="Arial" w:hAnsi="Arial"/>
          <w:sz w:val="11"/>
          <w:szCs w:val="11"/>
          <w:color w:val="auto"/>
        </w:rPr>
      </w:pPr>
      <w:r>
        <w:rPr>
          <w:rFonts w:ascii="Arial" w:cs="Arial" w:eastAsia="Arial" w:hAnsi="Arial"/>
          <w:sz w:val="11"/>
          <w:szCs w:val="11"/>
          <w:color w:val="auto"/>
        </w:rPr>
        <w:t>In order to assure continuing auditor independence, the Audit Committee periodically considers whether there should be a regular rotation of the independent external audit firm. Among other things, the Audit Committee considers the importance of the external audit firm’s understanding our business, the firm’s expertise and qualifications, external audit firms we retain for other company purposes, such as M&amp;A, tax and other advisory services, and firms retained by our competitors.</w:t>
      </w:r>
    </w:p>
    <w:p>
      <w:pPr>
        <w:spacing w:after="0" w:line="76" w:lineRule="exact"/>
        <w:rPr>
          <w:rFonts w:ascii="Arial" w:cs="Arial" w:eastAsia="Arial" w:hAnsi="Arial"/>
          <w:sz w:val="11"/>
          <w:szCs w:val="11"/>
          <w:color w:val="auto"/>
        </w:rPr>
      </w:pPr>
    </w:p>
    <w:p>
      <w:pPr>
        <w:ind w:left="2120" w:right="1079" w:hanging="148"/>
        <w:spacing w:after="0" w:line="245" w:lineRule="auto"/>
        <w:tabs>
          <w:tab w:leader="none" w:pos="2120" w:val="left"/>
        </w:tabs>
        <w:numPr>
          <w:ilvl w:val="0"/>
          <w:numId w:val="68"/>
        </w:numPr>
        <w:rPr>
          <w:rFonts w:ascii="Arial" w:cs="Arial" w:eastAsia="Arial" w:hAnsi="Arial"/>
          <w:sz w:val="11"/>
          <w:szCs w:val="11"/>
          <w:color w:val="auto"/>
        </w:rPr>
      </w:pPr>
      <w:r>
        <w:rPr>
          <w:rFonts w:ascii="Arial" w:cs="Arial" w:eastAsia="Arial" w:hAnsi="Arial"/>
          <w:sz w:val="11"/>
          <w:szCs w:val="11"/>
          <w:color w:val="auto"/>
        </w:rPr>
        <w:t>In conjunction with the mandated rotation of KPMG’s lead engagement partner for the Company, the Audit Committee and its Chair are involved in reviewing and considering the selection of the replacement lead engagement partner, which occurred most recently in fiscal 2022.</w:t>
      </w:r>
    </w:p>
    <w:p>
      <w:pPr>
        <w:spacing w:after="0" w:line="74" w:lineRule="exact"/>
        <w:rPr>
          <w:rFonts w:ascii="Arial" w:cs="Arial" w:eastAsia="Arial" w:hAnsi="Arial"/>
          <w:sz w:val="11"/>
          <w:szCs w:val="11"/>
          <w:color w:val="auto"/>
        </w:rPr>
      </w:pPr>
    </w:p>
    <w:p>
      <w:pPr>
        <w:ind w:left="2120" w:right="959" w:hanging="148"/>
        <w:spacing w:after="0" w:line="245" w:lineRule="auto"/>
        <w:tabs>
          <w:tab w:leader="none" w:pos="2120" w:val="left"/>
        </w:tabs>
        <w:numPr>
          <w:ilvl w:val="0"/>
          <w:numId w:val="68"/>
        </w:numPr>
        <w:rPr>
          <w:rFonts w:ascii="Arial" w:cs="Arial" w:eastAsia="Arial" w:hAnsi="Arial"/>
          <w:sz w:val="11"/>
          <w:szCs w:val="11"/>
          <w:color w:val="auto"/>
        </w:rPr>
      </w:pPr>
      <w:r>
        <w:rPr>
          <w:rFonts w:ascii="Arial" w:cs="Arial" w:eastAsia="Arial" w:hAnsi="Arial"/>
          <w:sz w:val="11"/>
          <w:szCs w:val="11"/>
          <w:color w:val="auto"/>
        </w:rPr>
        <w:t>The members of the Audit Committee and the Board believe that the continued retention of KPMG LLP to serve as the Company’s external auditor is in the best interests of the Company and its investors.</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Approval</w:t>
      </w:r>
    </w:p>
    <w:p>
      <w:pPr>
        <w:spacing w:after="0" w:line="84" w:lineRule="exact"/>
        <w:rPr>
          <w:sz w:val="20"/>
          <w:szCs w:val="20"/>
          <w:color w:val="auto"/>
        </w:rPr>
      </w:pPr>
    </w:p>
    <w:p>
      <w:pPr>
        <w:ind w:left="1980" w:right="919"/>
        <w:spacing w:after="0" w:line="242" w:lineRule="auto"/>
        <w:rPr>
          <w:sz w:val="20"/>
          <w:szCs w:val="20"/>
          <w:color w:val="auto"/>
        </w:rPr>
      </w:pPr>
      <w:r>
        <w:rPr>
          <w:rFonts w:ascii="Arial" w:cs="Arial" w:eastAsia="Arial" w:hAnsi="Arial"/>
          <w:sz w:val="11"/>
          <w:szCs w:val="11"/>
          <w:color w:val="auto"/>
        </w:rPr>
        <w:t>The affirmative vote of a majority of the shares of Common Stock present (in person or by proxy) and entitled to vote at the Annual Meeting on the ratification of the selection of KPMG is required for approval. Abstentions are considered shares entitled to vote on the proposal and as such abstentions are the equivalent of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59055</wp:posOffset>
            </wp:positionV>
            <wp:extent cx="3971925" cy="21717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0"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86</w:t>
      </w:r>
    </w:p>
    <w:p>
      <w:pPr>
        <w:sectPr>
          <w:pgSz w:w="11900" w:h="16838" w:orient="portrait"/>
          <w:cols w:equalWidth="0" w:num="1">
            <w:col w:w="10159"/>
          </w:cols>
          <w:pgMar w:left="300" w:top="372" w:right="1440" w:bottom="1440" w:gutter="0" w:footer="0" w:header="0"/>
        </w:sectPr>
      </w:pPr>
    </w:p>
    <w:bookmarkStart w:id="108" w:name="page109"/>
    <w:bookmarkEnd w:id="10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Report of the Audit Committee of the Board of Directors</w:t>
      </w:r>
    </w:p>
    <w:p>
      <w:pPr>
        <w:spacing w:after="0" w:line="97" w:lineRule="exact"/>
        <w:rPr>
          <w:sz w:val="20"/>
          <w:szCs w:val="20"/>
          <w:color w:val="auto"/>
        </w:rPr>
      </w:pPr>
    </w:p>
    <w:p>
      <w:pPr>
        <w:ind w:left="1980" w:right="1159"/>
        <w:spacing w:after="0" w:line="293" w:lineRule="auto"/>
        <w:rPr>
          <w:sz w:val="20"/>
          <w:szCs w:val="20"/>
          <w:color w:val="auto"/>
        </w:rPr>
      </w:pPr>
      <w:r>
        <w:rPr>
          <w:rFonts w:ascii="Arial" w:cs="Arial" w:eastAsia="Arial" w:hAnsi="Arial"/>
          <w:sz w:val="10"/>
          <w:szCs w:val="10"/>
          <w:color w:val="auto"/>
        </w:rPr>
        <w:t>The Audit Committee is comprised solely of non-employee directors, each of whom has been determined by the Board to be independent under the Company’s Standards for Director Independence and the requirements of The NASDAQ Stock Market’s corporate governance listing standards.</w:t>
      </w:r>
    </w:p>
    <w:p>
      <w:pPr>
        <w:spacing w:after="0" w:line="7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All six of the Audit Committee members possess significant financial, business and accounting expertise.</w:t>
      </w:r>
    </w:p>
    <w:p>
      <w:pPr>
        <w:spacing w:after="0" w:line="99" w:lineRule="exact"/>
        <w:rPr>
          <w:sz w:val="20"/>
          <w:szCs w:val="20"/>
          <w:color w:val="auto"/>
        </w:rPr>
      </w:pPr>
    </w:p>
    <w:p>
      <w:pPr>
        <w:ind w:left="2120" w:right="899" w:hanging="148"/>
        <w:spacing w:after="0" w:line="242" w:lineRule="auto"/>
        <w:tabs>
          <w:tab w:leader="none" w:pos="2120" w:val="left"/>
        </w:tabs>
        <w:numPr>
          <w:ilvl w:val="0"/>
          <w:numId w:val="69"/>
        </w:numPr>
        <w:rPr>
          <w:rFonts w:ascii="Arial" w:cs="Arial" w:eastAsia="Arial" w:hAnsi="Arial"/>
          <w:sz w:val="11"/>
          <w:szCs w:val="11"/>
          <w:color w:val="auto"/>
        </w:rPr>
      </w:pPr>
      <w:r>
        <w:rPr>
          <w:rFonts w:ascii="Arial" w:cs="Arial" w:eastAsia="Arial" w:hAnsi="Arial"/>
          <w:sz w:val="11"/>
          <w:szCs w:val="11"/>
          <w:color w:val="auto"/>
        </w:rPr>
        <w:t>Ms. Cochran, Chair of the Committee, joined the Madrona Venture Group as a partner in 2017 and became Managing Director in 2018. Prior to that, Ms. Cochran served in senior finance positions with several companies, most recently as Chief Financial Officer of King Digital Entertainment plc from 2013 to 2016, and as Chief Financial Officer of Clearwire, Inc. prior to that.</w:t>
      </w:r>
    </w:p>
    <w:p>
      <w:pPr>
        <w:spacing w:after="0" w:line="76" w:lineRule="exact"/>
        <w:rPr>
          <w:rFonts w:ascii="Arial" w:cs="Arial" w:eastAsia="Arial" w:hAnsi="Arial"/>
          <w:sz w:val="11"/>
          <w:szCs w:val="11"/>
          <w:color w:val="auto"/>
        </w:rPr>
      </w:pPr>
    </w:p>
    <w:p>
      <w:pPr>
        <w:ind w:left="2120" w:right="939" w:hanging="148"/>
        <w:spacing w:after="0" w:line="245" w:lineRule="auto"/>
        <w:tabs>
          <w:tab w:leader="none" w:pos="2120" w:val="left"/>
        </w:tabs>
        <w:numPr>
          <w:ilvl w:val="0"/>
          <w:numId w:val="69"/>
        </w:numPr>
        <w:rPr>
          <w:rFonts w:ascii="Arial" w:cs="Arial" w:eastAsia="Arial" w:hAnsi="Arial"/>
          <w:sz w:val="11"/>
          <w:szCs w:val="11"/>
          <w:color w:val="auto"/>
        </w:rPr>
      </w:pPr>
      <w:r>
        <w:rPr>
          <w:rFonts w:ascii="Arial" w:cs="Arial" w:eastAsia="Arial" w:hAnsi="Arial"/>
          <w:sz w:val="11"/>
          <w:szCs w:val="11"/>
          <w:color w:val="auto"/>
        </w:rPr>
        <w:t>Mr. Bronfin has served as Senior Managing Director of Hearst Ventures, a strategic investment division of diversified media, information and services company Hearst Corporation, since 2013. Prior to that, he was President of Hearst Interactive Media.</w:t>
      </w:r>
    </w:p>
    <w:p>
      <w:pPr>
        <w:spacing w:after="0" w:line="74" w:lineRule="exact"/>
        <w:rPr>
          <w:rFonts w:ascii="Arial" w:cs="Arial" w:eastAsia="Arial" w:hAnsi="Arial"/>
          <w:sz w:val="11"/>
          <w:szCs w:val="11"/>
          <w:color w:val="auto"/>
        </w:rPr>
      </w:pPr>
    </w:p>
    <w:p>
      <w:pPr>
        <w:ind w:left="2120" w:right="859" w:hanging="148"/>
        <w:spacing w:after="0" w:line="242" w:lineRule="auto"/>
        <w:tabs>
          <w:tab w:leader="none" w:pos="2120" w:val="left"/>
        </w:tabs>
        <w:numPr>
          <w:ilvl w:val="0"/>
          <w:numId w:val="69"/>
        </w:numPr>
        <w:rPr>
          <w:rFonts w:ascii="Arial" w:cs="Arial" w:eastAsia="Arial" w:hAnsi="Arial"/>
          <w:sz w:val="11"/>
          <w:szCs w:val="11"/>
          <w:color w:val="auto"/>
        </w:rPr>
      </w:pPr>
      <w:r>
        <w:rPr>
          <w:rFonts w:ascii="Arial" w:cs="Arial" w:eastAsia="Arial" w:hAnsi="Arial"/>
          <w:sz w:val="11"/>
          <w:szCs w:val="11"/>
          <w:color w:val="auto"/>
        </w:rPr>
        <w:t>Ms. Gersh has served in senior operating and executive positions with several media and brand-driven companies. Most recently Ms. Gersh was Chief Executive Officer of Alexander Wang. Prior to that Ms. Gersh served as President and Chief Executive Officer of Goop, Inc., and prior thereto as President and Chief Executive Officer of Martha Stewart Living Omnimedia, Inc.</w:t>
      </w:r>
    </w:p>
    <w:p>
      <w:pPr>
        <w:spacing w:after="0" w:line="76" w:lineRule="exact"/>
        <w:rPr>
          <w:rFonts w:ascii="Arial" w:cs="Arial" w:eastAsia="Arial" w:hAnsi="Arial"/>
          <w:sz w:val="11"/>
          <w:szCs w:val="11"/>
          <w:color w:val="auto"/>
        </w:rPr>
      </w:pPr>
    </w:p>
    <w:p>
      <w:pPr>
        <w:ind w:left="2120" w:right="959" w:hanging="148"/>
        <w:spacing w:after="0" w:line="245" w:lineRule="auto"/>
        <w:tabs>
          <w:tab w:leader="none" w:pos="2120" w:val="left"/>
        </w:tabs>
        <w:numPr>
          <w:ilvl w:val="0"/>
          <w:numId w:val="69"/>
        </w:numPr>
        <w:rPr>
          <w:rFonts w:ascii="Arial" w:cs="Arial" w:eastAsia="Arial" w:hAnsi="Arial"/>
          <w:sz w:val="11"/>
          <w:szCs w:val="11"/>
          <w:color w:val="auto"/>
        </w:rPr>
      </w:pPr>
      <w:r>
        <w:rPr>
          <w:rFonts w:ascii="Arial" w:cs="Arial" w:eastAsia="Arial" w:hAnsi="Arial"/>
          <w:sz w:val="11"/>
          <w:szCs w:val="11"/>
          <w:color w:val="auto"/>
        </w:rPr>
        <w:t>Mr. Jorgensen has served in senior executive positions with leading digital gaming and technology companies, including as Chief Financial Officer of Electronic Arts Inc. and PayPal Holdings, Inc., and has over 20 years of experience in finance across other industries.</w:t>
      </w:r>
    </w:p>
    <w:p>
      <w:pPr>
        <w:spacing w:after="0" w:line="74" w:lineRule="exact"/>
        <w:rPr>
          <w:rFonts w:ascii="Arial" w:cs="Arial" w:eastAsia="Arial" w:hAnsi="Arial"/>
          <w:sz w:val="11"/>
          <w:szCs w:val="11"/>
          <w:color w:val="auto"/>
        </w:rPr>
      </w:pPr>
    </w:p>
    <w:p>
      <w:pPr>
        <w:ind w:left="2120" w:right="1019" w:hanging="148"/>
        <w:spacing w:after="0" w:line="242" w:lineRule="auto"/>
        <w:tabs>
          <w:tab w:leader="none" w:pos="2120" w:val="left"/>
        </w:tabs>
        <w:numPr>
          <w:ilvl w:val="0"/>
          <w:numId w:val="69"/>
        </w:numPr>
        <w:rPr>
          <w:rFonts w:ascii="Arial" w:cs="Arial" w:eastAsia="Arial" w:hAnsi="Arial"/>
          <w:sz w:val="11"/>
          <w:szCs w:val="11"/>
          <w:color w:val="auto"/>
        </w:rPr>
      </w:pPr>
      <w:r>
        <w:rPr>
          <w:rFonts w:ascii="Arial" w:cs="Arial" w:eastAsia="Arial" w:hAnsi="Arial"/>
          <w:sz w:val="11"/>
          <w:szCs w:val="11"/>
          <w:color w:val="auto"/>
        </w:rPr>
        <w:t>Ms. Leinbach served as Executive Vice President and Chief Financial Officer of Ryder System, Inc. from 2003 to 2006. Prior thereto her twenty-one year career with Ryder included multiple senior operating and financial roles, including service as controller and chief financial officer of several of Ryder’s subsidiaries.</w:t>
      </w:r>
    </w:p>
    <w:p>
      <w:pPr>
        <w:spacing w:after="0" w:line="76" w:lineRule="exact"/>
        <w:rPr>
          <w:rFonts w:ascii="Arial" w:cs="Arial" w:eastAsia="Arial" w:hAnsi="Arial"/>
          <w:sz w:val="11"/>
          <w:szCs w:val="11"/>
          <w:color w:val="auto"/>
        </w:rPr>
      </w:pPr>
    </w:p>
    <w:p>
      <w:pPr>
        <w:ind w:left="2120" w:right="879" w:hanging="148"/>
        <w:spacing w:after="0" w:line="242" w:lineRule="auto"/>
        <w:tabs>
          <w:tab w:leader="none" w:pos="2120" w:val="left"/>
        </w:tabs>
        <w:numPr>
          <w:ilvl w:val="0"/>
          <w:numId w:val="69"/>
        </w:numPr>
        <w:rPr>
          <w:rFonts w:ascii="Arial" w:cs="Arial" w:eastAsia="Arial" w:hAnsi="Arial"/>
          <w:sz w:val="11"/>
          <w:szCs w:val="11"/>
          <w:color w:val="auto"/>
        </w:rPr>
      </w:pPr>
      <w:r>
        <w:rPr>
          <w:rFonts w:ascii="Arial" w:cs="Arial" w:eastAsia="Arial" w:hAnsi="Arial"/>
          <w:sz w:val="11"/>
          <w:szCs w:val="11"/>
          <w:color w:val="auto"/>
        </w:rPr>
        <w:t>Ms. Zecher Higgins has over thirty-five years of business and operating experience across a number of companies and industries, including in her role as President and Chief Executive Officer of Houghton Mifflin Harcourt Company from 2011 to 2016, and currently as Chief Executive Officer and Managing Partner of the Barkley Group.</w:t>
      </w:r>
    </w:p>
    <w:p>
      <w:pPr>
        <w:spacing w:after="0" w:line="85" w:lineRule="exact"/>
        <w:rPr>
          <w:sz w:val="20"/>
          <w:szCs w:val="20"/>
          <w:color w:val="auto"/>
        </w:rPr>
      </w:pPr>
    </w:p>
    <w:p>
      <w:pPr>
        <w:ind w:left="1980" w:right="2699"/>
        <w:spacing w:after="0" w:line="293" w:lineRule="auto"/>
        <w:rPr>
          <w:sz w:val="20"/>
          <w:szCs w:val="20"/>
          <w:color w:val="auto"/>
        </w:rPr>
      </w:pPr>
      <w:r>
        <w:rPr>
          <w:rFonts w:ascii="Arial" w:cs="Arial" w:eastAsia="Arial" w:hAnsi="Arial"/>
          <w:sz w:val="10"/>
          <w:szCs w:val="10"/>
          <w:color w:val="auto"/>
        </w:rPr>
        <w:t>The Audit Committee operates under a written charter, which is available on the Company’s website at https://hasbro.gcs-web.com/corporate-governance. Under the charter, the Audit Committee’s primary purpose is to:</w:t>
      </w:r>
    </w:p>
    <w:p>
      <w:pPr>
        <w:spacing w:after="0" w:line="52" w:lineRule="exact"/>
        <w:rPr>
          <w:sz w:val="20"/>
          <w:szCs w:val="20"/>
          <w:color w:val="auto"/>
        </w:rPr>
      </w:pPr>
    </w:p>
    <w:p>
      <w:pPr>
        <w:ind w:left="2120" w:right="999" w:hanging="148"/>
        <w:spacing w:after="0" w:line="245" w:lineRule="auto"/>
        <w:tabs>
          <w:tab w:leader="none" w:pos="2120" w:val="left"/>
        </w:tabs>
        <w:numPr>
          <w:ilvl w:val="0"/>
          <w:numId w:val="70"/>
        </w:numPr>
        <w:rPr>
          <w:rFonts w:ascii="Arial" w:cs="Arial" w:eastAsia="Arial" w:hAnsi="Arial"/>
          <w:sz w:val="11"/>
          <w:szCs w:val="11"/>
          <w:color w:val="auto"/>
        </w:rPr>
      </w:pPr>
      <w:r>
        <w:rPr>
          <w:rFonts w:ascii="Arial" w:cs="Arial" w:eastAsia="Arial" w:hAnsi="Arial"/>
          <w:sz w:val="11"/>
          <w:szCs w:val="11"/>
          <w:color w:val="auto"/>
        </w:rPr>
        <w:t>Appoint the independent registered public accounting firm (hereafter referred to as the independent auditors) and oversee the independent auditors’ work; and</w:t>
      </w:r>
    </w:p>
    <w:p>
      <w:pPr>
        <w:spacing w:after="0" w:line="74" w:lineRule="exact"/>
        <w:rPr>
          <w:rFonts w:ascii="Arial" w:cs="Arial" w:eastAsia="Arial" w:hAnsi="Arial"/>
          <w:sz w:val="11"/>
          <w:szCs w:val="11"/>
          <w:color w:val="auto"/>
        </w:rPr>
      </w:pPr>
    </w:p>
    <w:p>
      <w:pPr>
        <w:ind w:left="2120" w:hanging="148"/>
        <w:spacing w:after="0"/>
        <w:tabs>
          <w:tab w:leader="none" w:pos="2120" w:val="left"/>
        </w:tabs>
        <w:numPr>
          <w:ilvl w:val="0"/>
          <w:numId w:val="70"/>
        </w:numPr>
        <w:rPr>
          <w:rFonts w:ascii="Arial" w:cs="Arial" w:eastAsia="Arial" w:hAnsi="Arial"/>
          <w:sz w:val="11"/>
          <w:szCs w:val="11"/>
          <w:color w:val="auto"/>
        </w:rPr>
      </w:pPr>
      <w:r>
        <w:rPr>
          <w:rFonts w:ascii="Arial" w:cs="Arial" w:eastAsia="Arial" w:hAnsi="Arial"/>
          <w:sz w:val="11"/>
          <w:szCs w:val="11"/>
          <w:color w:val="auto"/>
        </w:rPr>
        <w:t>Assist the Board in its oversight of the:</w:t>
      </w:r>
    </w:p>
    <w:p>
      <w:pPr>
        <w:spacing w:after="0" w:line="53" w:lineRule="exact"/>
        <w:rPr>
          <w:rFonts w:ascii="Arial" w:cs="Arial" w:eastAsia="Arial" w:hAnsi="Arial"/>
          <w:sz w:val="11"/>
          <w:szCs w:val="11"/>
          <w:color w:val="auto"/>
        </w:rPr>
      </w:pPr>
    </w:p>
    <w:p>
      <w:pPr>
        <w:ind w:left="2260" w:hanging="144"/>
        <w:spacing w:after="0"/>
        <w:tabs>
          <w:tab w:leader="none" w:pos="2260" w:val="left"/>
        </w:tabs>
        <w:numPr>
          <w:ilvl w:val="1"/>
          <w:numId w:val="70"/>
        </w:numPr>
        <w:rPr>
          <w:rFonts w:ascii="Arial" w:cs="Arial" w:eastAsia="Arial" w:hAnsi="Arial"/>
          <w:sz w:val="8"/>
          <w:szCs w:val="8"/>
          <w:color w:val="auto"/>
        </w:rPr>
      </w:pPr>
      <w:r>
        <w:rPr>
          <w:rFonts w:ascii="Arial" w:cs="Arial" w:eastAsia="Arial" w:hAnsi="Arial"/>
          <w:sz w:val="11"/>
          <w:szCs w:val="11"/>
          <w:color w:val="auto"/>
        </w:rPr>
        <w:t>Integrity of the Company’s consolidated financial statements and financial reporting;</w:t>
      </w:r>
    </w:p>
    <w:p>
      <w:pPr>
        <w:spacing w:after="0" w:line="53" w:lineRule="exact"/>
        <w:rPr>
          <w:rFonts w:ascii="Arial" w:cs="Arial" w:eastAsia="Arial" w:hAnsi="Arial"/>
          <w:sz w:val="8"/>
          <w:szCs w:val="8"/>
          <w:color w:val="auto"/>
        </w:rPr>
      </w:pPr>
    </w:p>
    <w:p>
      <w:pPr>
        <w:ind w:left="2260" w:hanging="144"/>
        <w:spacing w:after="0"/>
        <w:tabs>
          <w:tab w:leader="none" w:pos="2260" w:val="left"/>
        </w:tabs>
        <w:numPr>
          <w:ilvl w:val="1"/>
          <w:numId w:val="70"/>
        </w:numPr>
        <w:rPr>
          <w:rFonts w:ascii="Arial" w:cs="Arial" w:eastAsia="Arial" w:hAnsi="Arial"/>
          <w:sz w:val="8"/>
          <w:szCs w:val="8"/>
          <w:color w:val="auto"/>
        </w:rPr>
      </w:pPr>
      <w:r>
        <w:rPr>
          <w:rFonts w:ascii="Arial" w:cs="Arial" w:eastAsia="Arial" w:hAnsi="Arial"/>
          <w:sz w:val="11"/>
          <w:szCs w:val="11"/>
          <w:color w:val="auto"/>
        </w:rPr>
        <w:t>Company’s compliance with legal and regulatory requirements;</w:t>
      </w:r>
    </w:p>
    <w:p>
      <w:pPr>
        <w:spacing w:after="0" w:line="53" w:lineRule="exact"/>
        <w:rPr>
          <w:rFonts w:ascii="Arial" w:cs="Arial" w:eastAsia="Arial" w:hAnsi="Arial"/>
          <w:sz w:val="8"/>
          <w:szCs w:val="8"/>
          <w:color w:val="auto"/>
        </w:rPr>
      </w:pPr>
    </w:p>
    <w:p>
      <w:pPr>
        <w:ind w:left="2260" w:hanging="144"/>
        <w:spacing w:after="0"/>
        <w:tabs>
          <w:tab w:leader="none" w:pos="2260" w:val="left"/>
        </w:tabs>
        <w:numPr>
          <w:ilvl w:val="1"/>
          <w:numId w:val="70"/>
        </w:numPr>
        <w:rPr>
          <w:rFonts w:ascii="Arial" w:cs="Arial" w:eastAsia="Arial" w:hAnsi="Arial"/>
          <w:sz w:val="8"/>
          <w:szCs w:val="8"/>
          <w:color w:val="auto"/>
        </w:rPr>
      </w:pPr>
      <w:r>
        <w:rPr>
          <w:rFonts w:ascii="Arial" w:cs="Arial" w:eastAsia="Arial" w:hAnsi="Arial"/>
          <w:sz w:val="11"/>
          <w:szCs w:val="11"/>
          <w:color w:val="auto"/>
        </w:rPr>
        <w:t>Company’s system of internal controls;</w:t>
      </w:r>
    </w:p>
    <w:p>
      <w:pPr>
        <w:spacing w:after="0" w:line="53" w:lineRule="exact"/>
        <w:rPr>
          <w:rFonts w:ascii="Arial" w:cs="Arial" w:eastAsia="Arial" w:hAnsi="Arial"/>
          <w:sz w:val="8"/>
          <w:szCs w:val="8"/>
          <w:color w:val="auto"/>
        </w:rPr>
      </w:pPr>
    </w:p>
    <w:p>
      <w:pPr>
        <w:ind w:left="2260" w:hanging="144"/>
        <w:spacing w:after="0"/>
        <w:tabs>
          <w:tab w:leader="none" w:pos="2260" w:val="left"/>
        </w:tabs>
        <w:numPr>
          <w:ilvl w:val="1"/>
          <w:numId w:val="70"/>
        </w:numPr>
        <w:rPr>
          <w:rFonts w:ascii="Arial" w:cs="Arial" w:eastAsia="Arial" w:hAnsi="Arial"/>
          <w:sz w:val="8"/>
          <w:szCs w:val="8"/>
          <w:color w:val="auto"/>
        </w:rPr>
      </w:pPr>
      <w:r>
        <w:rPr>
          <w:rFonts w:ascii="Arial" w:cs="Arial" w:eastAsia="Arial" w:hAnsi="Arial"/>
          <w:sz w:val="11"/>
          <w:szCs w:val="11"/>
          <w:color w:val="auto"/>
        </w:rPr>
        <w:t>Company’s significant financial and other risks and exposures;</w:t>
      </w:r>
    </w:p>
    <w:p>
      <w:pPr>
        <w:spacing w:after="0" w:line="53" w:lineRule="exact"/>
        <w:rPr>
          <w:rFonts w:ascii="Arial" w:cs="Arial" w:eastAsia="Arial" w:hAnsi="Arial"/>
          <w:sz w:val="8"/>
          <w:szCs w:val="8"/>
          <w:color w:val="auto"/>
        </w:rPr>
      </w:pPr>
    </w:p>
    <w:p>
      <w:pPr>
        <w:ind w:left="2260" w:hanging="144"/>
        <w:spacing w:after="0"/>
        <w:tabs>
          <w:tab w:leader="none" w:pos="2260" w:val="left"/>
        </w:tabs>
        <w:numPr>
          <w:ilvl w:val="1"/>
          <w:numId w:val="70"/>
        </w:numPr>
        <w:rPr>
          <w:rFonts w:ascii="Arial" w:cs="Arial" w:eastAsia="Arial" w:hAnsi="Arial"/>
          <w:sz w:val="8"/>
          <w:szCs w:val="8"/>
          <w:color w:val="auto"/>
        </w:rPr>
      </w:pPr>
      <w:r>
        <w:rPr>
          <w:rFonts w:ascii="Arial" w:cs="Arial" w:eastAsia="Arial" w:hAnsi="Arial"/>
          <w:sz w:val="11"/>
          <w:szCs w:val="11"/>
          <w:color w:val="auto"/>
        </w:rPr>
        <w:t>Independent auditors’ qualifications and independence; and</w:t>
      </w:r>
    </w:p>
    <w:p>
      <w:pPr>
        <w:spacing w:after="0" w:line="53" w:lineRule="exact"/>
        <w:rPr>
          <w:rFonts w:ascii="Arial" w:cs="Arial" w:eastAsia="Arial" w:hAnsi="Arial"/>
          <w:sz w:val="8"/>
          <w:szCs w:val="8"/>
          <w:color w:val="auto"/>
        </w:rPr>
      </w:pPr>
    </w:p>
    <w:p>
      <w:pPr>
        <w:ind w:left="2260" w:hanging="144"/>
        <w:spacing w:after="0"/>
        <w:tabs>
          <w:tab w:leader="none" w:pos="2260" w:val="left"/>
        </w:tabs>
        <w:numPr>
          <w:ilvl w:val="1"/>
          <w:numId w:val="70"/>
        </w:numPr>
        <w:rPr>
          <w:rFonts w:ascii="Arial" w:cs="Arial" w:eastAsia="Arial" w:hAnsi="Arial"/>
          <w:sz w:val="8"/>
          <w:szCs w:val="8"/>
          <w:color w:val="auto"/>
        </w:rPr>
      </w:pPr>
      <w:r>
        <w:rPr>
          <w:rFonts w:ascii="Arial" w:cs="Arial" w:eastAsia="Arial" w:hAnsi="Arial"/>
          <w:sz w:val="11"/>
          <w:szCs w:val="11"/>
          <w:color w:val="auto"/>
        </w:rPr>
        <w:t>Performance of the Company’s internal audit function and independent auditors.</w:t>
      </w:r>
    </w:p>
    <w:p>
      <w:pPr>
        <w:spacing w:after="0" w:line="99" w:lineRule="exact"/>
        <w:rPr>
          <w:sz w:val="20"/>
          <w:szCs w:val="20"/>
          <w:color w:val="auto"/>
        </w:rPr>
      </w:pPr>
    </w:p>
    <w:p>
      <w:pPr>
        <w:ind w:left="1980" w:right="1019"/>
        <w:spacing w:after="0" w:line="273" w:lineRule="auto"/>
        <w:rPr>
          <w:sz w:val="20"/>
          <w:szCs w:val="20"/>
          <w:color w:val="auto"/>
        </w:rPr>
      </w:pPr>
      <w:r>
        <w:rPr>
          <w:rFonts w:ascii="Arial" w:cs="Arial" w:eastAsia="Arial" w:hAnsi="Arial"/>
          <w:sz w:val="10"/>
          <w:szCs w:val="10"/>
          <w:color w:val="auto"/>
        </w:rPr>
        <w:t>In carrying out these responsibilities the Audit Committee reviews all earnings releases and quarterly and annual financial reports prepared by management, and discusses such releases and reports with management, prior to their issuance and filing with the SEC. The Audit Committee supervises the relationship between the Company and the independent auditors and has direct responsibility for the appointment and compensation of the independent auditors, as well as for reviewing and approving the scope of the audit and all audit and permitted non-audit services.</w:t>
      </w:r>
    </w:p>
    <w:p>
      <w:pPr>
        <w:spacing w:after="0" w:line="80" w:lineRule="exact"/>
        <w:rPr>
          <w:sz w:val="20"/>
          <w:szCs w:val="20"/>
          <w:color w:val="auto"/>
        </w:rPr>
      </w:pPr>
    </w:p>
    <w:p>
      <w:pPr>
        <w:ind w:left="1980" w:right="1279"/>
        <w:spacing w:after="0" w:line="293" w:lineRule="auto"/>
        <w:rPr>
          <w:sz w:val="20"/>
          <w:szCs w:val="20"/>
          <w:color w:val="auto"/>
        </w:rPr>
      </w:pPr>
      <w:r>
        <w:rPr>
          <w:rFonts w:ascii="Arial" w:cs="Arial" w:eastAsia="Arial" w:hAnsi="Arial"/>
          <w:sz w:val="10"/>
          <w:szCs w:val="10"/>
          <w:color w:val="auto"/>
        </w:rPr>
        <w:t>The Committee met eleven (11) times during 2022. Many of the Committee’s meetings include executive sessions in which the Committee meets separately with the independent auditors, the Company’s head of internal audit and with other members of the Company’s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43815</wp:posOffset>
            </wp:positionV>
            <wp:extent cx="3971925" cy="21717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06"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87</w:t>
      </w:r>
    </w:p>
    <w:p>
      <w:pPr>
        <w:sectPr>
          <w:pgSz w:w="11900" w:h="16838" w:orient="portrait"/>
          <w:cols w:equalWidth="0" w:num="1">
            <w:col w:w="10159"/>
          </w:cols>
          <w:pgMar w:left="300" w:top="372" w:right="1440" w:bottom="1440" w:gutter="0" w:footer="0" w:header="0"/>
        </w:sectPr>
      </w:pPr>
    </w:p>
    <w:bookmarkStart w:id="109" w:name="page110"/>
    <w:bookmarkEnd w:id="10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899"/>
        <w:spacing w:after="0" w:line="270" w:lineRule="auto"/>
        <w:rPr>
          <w:sz w:val="20"/>
          <w:szCs w:val="20"/>
          <w:color w:val="auto"/>
        </w:rPr>
      </w:pPr>
      <w:r>
        <w:rPr>
          <w:rFonts w:ascii="Arial" w:cs="Arial" w:eastAsia="Arial" w:hAnsi="Arial"/>
          <w:sz w:val="10"/>
          <w:szCs w:val="10"/>
          <w:color w:val="auto"/>
        </w:rPr>
        <w:t>As part of its oversight function, the Audit Committee discusses with the Company’s internal auditor and independent auditors, with and without management present, the overall scope and plans for their respective audits, and the Committee approves such audit plans. The Audit Committee reviews the Company’s programs and key initiatives to implement and maintain effective internal controls over financial reporting and disclosure controls, including the Company’s code of conduct. The Audit Committee maintains procedures for receipt, retention and treatment of complaints regarding accounting, internal accounting controls and auditing matters, as well as a policy regarding the hiring of former employees of the independent auditor.</w:t>
      </w:r>
    </w:p>
    <w:p>
      <w:pPr>
        <w:spacing w:after="0" w:line="82" w:lineRule="exact"/>
        <w:rPr>
          <w:sz w:val="20"/>
          <w:szCs w:val="20"/>
          <w:color w:val="auto"/>
        </w:rPr>
      </w:pPr>
    </w:p>
    <w:p>
      <w:pPr>
        <w:jc w:val="both"/>
        <w:ind w:left="1980" w:right="939"/>
        <w:spacing w:after="0" w:line="242" w:lineRule="auto"/>
        <w:rPr>
          <w:sz w:val="20"/>
          <w:szCs w:val="20"/>
          <w:color w:val="auto"/>
        </w:rPr>
      </w:pPr>
      <w:r>
        <w:rPr>
          <w:rFonts w:ascii="Arial" w:cs="Arial" w:eastAsia="Arial" w:hAnsi="Arial"/>
          <w:sz w:val="11"/>
          <w:szCs w:val="11"/>
          <w:color w:val="auto"/>
        </w:rPr>
        <w:t>The Audit Committee assists the Board in risk oversight for the Company by reviewing and discussing with management, internal auditors, internal legal and compliance personnel and the independent auditors the Company’s significant financial and other risks and exposures, and guidelines and policies relating to enterprise risk assessment and risk management, including the Company’s procedures for monitoring and controlling such risks.</w:t>
      </w:r>
    </w:p>
    <w:p>
      <w:pPr>
        <w:spacing w:after="0" w:line="94" w:lineRule="exact"/>
        <w:rPr>
          <w:sz w:val="20"/>
          <w:szCs w:val="20"/>
          <w:color w:val="auto"/>
        </w:rPr>
      </w:pPr>
    </w:p>
    <w:p>
      <w:pPr>
        <w:ind w:left="1980" w:right="979"/>
        <w:spacing w:after="0"/>
        <w:rPr>
          <w:sz w:val="20"/>
          <w:szCs w:val="20"/>
          <w:color w:val="auto"/>
        </w:rPr>
      </w:pPr>
      <w:r>
        <w:rPr>
          <w:rFonts w:ascii="Arial" w:cs="Arial" w:eastAsia="Arial" w:hAnsi="Arial"/>
          <w:sz w:val="11"/>
          <w:szCs w:val="11"/>
          <w:color w:val="auto"/>
        </w:rPr>
        <w:t>The Audit Committee meets with the Company’s head of internal audit, and with the independent auditors, with and without management present, to discuss the results of their audits, the evaluations of the Company’s internal controls and the overall quality of the Company’s financial reporting. The Audit Committee reviews and discusses with management and the independent auditors all annual and quarterly consolidated financial statements and Management’s Discussion and Analysis of Financial Condition and Results of Operations prior to their filing with the SEC. The Audit Committee also discusses with management, on a quarterly basis, management’s evaluation of the Company’s internal controls over financial reporting and disclosure controls.</w:t>
      </w:r>
    </w:p>
    <w:p>
      <w:pPr>
        <w:spacing w:after="0" w:line="87" w:lineRule="exact"/>
        <w:rPr>
          <w:sz w:val="20"/>
          <w:szCs w:val="20"/>
          <w:color w:val="auto"/>
        </w:rPr>
      </w:pPr>
    </w:p>
    <w:p>
      <w:pPr>
        <w:ind w:left="1980" w:right="879"/>
        <w:spacing w:after="0" w:line="239" w:lineRule="auto"/>
        <w:rPr>
          <w:sz w:val="20"/>
          <w:szCs w:val="20"/>
          <w:color w:val="auto"/>
        </w:rPr>
      </w:pPr>
      <w:r>
        <w:rPr>
          <w:rFonts w:ascii="Arial" w:cs="Arial" w:eastAsia="Arial" w:hAnsi="Arial"/>
          <w:sz w:val="11"/>
          <w:szCs w:val="11"/>
          <w:color w:val="auto"/>
        </w:rPr>
        <w:t>The Audit Committee is directly responsible for the appointment, compensation, retention and oversight of the Company’s independent auditors. In selecting the independent auditor the Audit Committee reviews the recent and historical performance of the current independent auditors and their expertise and capability in handling the types and breadth of issues facing the Company and the geographic reach of the Company’s business, discusses with management their view on the performance of the auditor, reviews and discusses the results of the most recent Public Company Accounting Oversight Board (United States) (PCAOB) and peer reviews of the current independent auditor, as well as any significant regulatory or legal proceedings involving the independent auditor, considers the tenure of the independent auditors, including the benefits from knowledge gained by the auditors of the Company’s business over time, reviews the reasonableness of the independent auditors’ fees, discusses alternate potential choices for independent auditor and considers the relative merits of retaining the current independent auditor as compared to appointing another independent auditor. In order to assure continuing auditor independence, the Audit Committee periodically considers whether there should be a rotation of the independent audit firm. Among other things, the Audit Committee considers the importance of the external audit firm’s understanding of our business, the firm’s expertise and qualifications, external audit firms we retain for other company purposes, such as M&amp;A, tax and other advisory services, and firms retained by our competitors.</w:t>
      </w:r>
    </w:p>
    <w:p>
      <w:pPr>
        <w:spacing w:after="0" w:line="100" w:lineRule="exact"/>
        <w:rPr>
          <w:sz w:val="20"/>
          <w:szCs w:val="20"/>
          <w:color w:val="auto"/>
        </w:rPr>
      </w:pPr>
    </w:p>
    <w:p>
      <w:pPr>
        <w:ind w:left="1980" w:right="859"/>
        <w:spacing w:after="0"/>
        <w:rPr>
          <w:sz w:val="20"/>
          <w:szCs w:val="20"/>
          <w:color w:val="auto"/>
        </w:rPr>
      </w:pPr>
      <w:r>
        <w:rPr>
          <w:rFonts w:ascii="Arial" w:cs="Arial" w:eastAsia="Arial" w:hAnsi="Arial"/>
          <w:sz w:val="11"/>
          <w:szCs w:val="11"/>
          <w:color w:val="auto"/>
        </w:rPr>
        <w:t>The Audit Committee is directly responsible for approving the fees of the independent auditors and in doing so they review fee benchmarking information regarding audit and non-audit fees paid by multinational companies which are comparable in terms of size, complexity, and type of financial and accounting issues to the Company. When the audit engagement partner is due to rotate off the Company’s audit team following five years of service, such as was the case for fiscal year 2022, the Audit Committee and its Chair will meet with the potential candidates within the independent auditors to replace the audit engagement partner and the Committee is involved in reviewing and considering the selection of the audit engagement partner to ensure the Company receives the highest quality replacement.</w:t>
      </w:r>
    </w:p>
    <w:p>
      <w:pPr>
        <w:spacing w:after="0" w:line="96" w:lineRule="exact"/>
        <w:rPr>
          <w:sz w:val="20"/>
          <w:szCs w:val="20"/>
          <w:color w:val="auto"/>
        </w:rPr>
      </w:pPr>
    </w:p>
    <w:p>
      <w:pPr>
        <w:ind w:left="1980" w:right="859"/>
        <w:spacing w:after="0" w:line="241" w:lineRule="auto"/>
        <w:rPr>
          <w:sz w:val="20"/>
          <w:szCs w:val="20"/>
          <w:color w:val="auto"/>
        </w:rPr>
      </w:pPr>
      <w:r>
        <w:rPr>
          <w:rFonts w:ascii="Arial" w:cs="Arial" w:eastAsia="Arial" w:hAnsi="Arial"/>
          <w:sz w:val="11"/>
          <w:szCs w:val="11"/>
          <w:color w:val="auto"/>
        </w:rPr>
        <w:t>While the Audit Committee selects the independent auditors and oversees their work, the independent auditors are responsible for performing an independent integrated audit of the Company’s consolidated financial statements and effectiveness of internal control over financial reporting and issuing an opinion as to whether the consolidated financial statements conform with accounting principles generally accepted in the United States of America and an opinion as to the effectiveness of internal control over financial reporting.</w:t>
      </w:r>
    </w:p>
    <w:p>
      <w:pPr>
        <w:spacing w:after="0" w:line="86" w:lineRule="exact"/>
        <w:rPr>
          <w:sz w:val="20"/>
          <w:szCs w:val="20"/>
          <w:color w:val="auto"/>
        </w:rPr>
      </w:pPr>
    </w:p>
    <w:p>
      <w:pPr>
        <w:ind w:left="1980" w:right="939"/>
        <w:spacing w:after="0" w:line="242" w:lineRule="auto"/>
        <w:rPr>
          <w:sz w:val="20"/>
          <w:szCs w:val="20"/>
          <w:color w:val="auto"/>
        </w:rPr>
      </w:pPr>
      <w:r>
        <w:rPr>
          <w:rFonts w:ascii="Arial" w:cs="Arial" w:eastAsia="Arial" w:hAnsi="Arial"/>
          <w:sz w:val="11"/>
          <w:szCs w:val="11"/>
          <w:color w:val="auto"/>
        </w:rPr>
        <w:t>The Audit Committee has reviewed and discussed with management and the independent auditors the Company’s audited consolidated financial statements for the fiscal year ended December 25, 2022 and the Company’s report on the effectiveness of internal controls over financial reporting as of December 25, 2022, as well as the independent auditors’ audit of those financial statements and the Company’s internal controls over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59055</wp:posOffset>
            </wp:positionV>
            <wp:extent cx="3971925" cy="21717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0"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88</w:t>
      </w:r>
    </w:p>
    <w:p>
      <w:pPr>
        <w:sectPr>
          <w:pgSz w:w="11900" w:h="16838" w:orient="portrait"/>
          <w:cols w:equalWidth="0" w:num="1">
            <w:col w:w="10159"/>
          </w:cols>
          <w:pgMar w:left="300" w:top="372" w:right="1440" w:bottom="1440" w:gutter="0" w:footer="0" w:header="0"/>
        </w:sectPr>
      </w:pPr>
    </w:p>
    <w:bookmarkStart w:id="110" w:name="page111"/>
    <w:bookmarkEnd w:id="11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919"/>
        <w:spacing w:after="0"/>
        <w:rPr>
          <w:sz w:val="20"/>
          <w:szCs w:val="20"/>
          <w:color w:val="auto"/>
        </w:rPr>
      </w:pPr>
      <w:r>
        <w:rPr>
          <w:rFonts w:ascii="Arial" w:cs="Arial" w:eastAsia="Arial" w:hAnsi="Arial"/>
          <w:sz w:val="11"/>
          <w:szCs w:val="11"/>
          <w:color w:val="auto"/>
        </w:rPr>
        <w:t>reporting. The Audit Committee has also reviewed and discussed with the independent auditors the matters required to be discussed by the PCAOB and the SEC. In addition, the Audit Committee discussed with the independent auditors the audit and permitted non-audit services they provide to the Company and any other matters that might impact their independence from management, the Audit Committee has determined that the approved non-audit services being provided by the independent auditor do not impact the auditor’s independence, and the Audit Committee has received from the independent auditors the written disclosures and letters required by the applicable requirements of the PCAOB.</w:t>
      </w:r>
    </w:p>
    <w:p>
      <w:pPr>
        <w:spacing w:after="0" w:line="97" w:lineRule="exact"/>
        <w:rPr>
          <w:sz w:val="20"/>
          <w:szCs w:val="20"/>
          <w:color w:val="auto"/>
        </w:rPr>
      </w:pPr>
    </w:p>
    <w:p>
      <w:pPr>
        <w:ind w:left="1980" w:right="879"/>
        <w:spacing w:after="0" w:line="241" w:lineRule="auto"/>
        <w:rPr>
          <w:sz w:val="20"/>
          <w:szCs w:val="20"/>
          <w:color w:val="auto"/>
        </w:rPr>
      </w:pPr>
      <w:r>
        <w:rPr>
          <w:rFonts w:ascii="Arial" w:cs="Arial" w:eastAsia="Arial" w:hAnsi="Arial"/>
          <w:sz w:val="11"/>
          <w:szCs w:val="11"/>
          <w:color w:val="auto"/>
        </w:rPr>
        <w:t>Based on its review and discussions with management and the independent auditors referred to in the preceding paragraph and the other oversight actions discussed above, the Audit Committee recommended to the Board and the Board approved the inclusion of the audited consolidated financial statements for the fiscal year ended December 25, 2022 in the Company’s Annual Report on Form 10-K for filing with the SEC. The Audit Committee has also selected, and the Board has approved the selection of, KPMG LLP as the independent auditor for fiscal 2023.</w:t>
      </w:r>
    </w:p>
    <w:p>
      <w:pPr>
        <w:spacing w:after="0" w:line="9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Report issued by the members of the Audit Committee as of the 2022 fiscal year end.</w:t>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Hope F. Cochran (Chair)</w:t>
      </w:r>
    </w:p>
    <w:p>
      <w:pPr>
        <w:spacing w:after="0" w:line="9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Kenneth A. Bronfin</w:t>
      </w:r>
    </w:p>
    <w:p>
      <w:pPr>
        <w:spacing w:after="0" w:line="9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Lisa Gersh</w:t>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Blake Jorgensen</w:t>
      </w:r>
    </w:p>
    <w:p>
      <w:pPr>
        <w:spacing w:after="0" w:line="9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Tracy A. Leinbach</w:t>
      </w:r>
    </w:p>
    <w:p>
      <w:pPr>
        <w:spacing w:after="0" w:line="9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Linda Zecher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61595</wp:posOffset>
            </wp:positionV>
            <wp:extent cx="3971925" cy="21717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5"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89</w:t>
      </w:r>
    </w:p>
    <w:p>
      <w:pPr>
        <w:sectPr>
          <w:pgSz w:w="11900" w:h="16838" w:orient="portrait"/>
          <w:cols w:equalWidth="0" w:num="1">
            <w:col w:w="10159"/>
          </w:cols>
          <w:pgMar w:left="300" w:top="372" w:right="1440" w:bottom="1440" w:gutter="0" w:footer="0" w:header="0"/>
        </w:sectPr>
      </w:pPr>
    </w:p>
    <w:bookmarkStart w:id="111" w:name="page112"/>
    <w:bookmarkEnd w:id="11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spacing w:after="0" w:line="245" w:lineRule="auto"/>
        <w:rPr>
          <w:sz w:val="20"/>
          <w:szCs w:val="20"/>
          <w:color w:val="auto"/>
        </w:rPr>
      </w:pPr>
      <w:r>
        <w:rPr>
          <w:rFonts w:ascii="Arial" w:cs="Arial" w:eastAsia="Arial" w:hAnsi="Arial"/>
          <w:sz w:val="22"/>
          <w:szCs w:val="22"/>
          <w:color w:val="0060ED"/>
        </w:rPr>
        <w:t>Additional Information Regarding Independent Registered Public Accounting Firm</w:t>
      </w:r>
    </w:p>
    <w:p>
      <w:pPr>
        <w:spacing w:after="0" w:line="85" w:lineRule="exact"/>
        <w:rPr>
          <w:sz w:val="20"/>
          <w:szCs w:val="20"/>
          <w:color w:val="auto"/>
        </w:rPr>
      </w:pPr>
    </w:p>
    <w:p>
      <w:pPr>
        <w:jc w:val="both"/>
        <w:ind w:left="1980" w:right="939"/>
        <w:spacing w:after="0" w:line="242" w:lineRule="auto"/>
        <w:rPr>
          <w:sz w:val="20"/>
          <w:szCs w:val="20"/>
          <w:color w:val="auto"/>
        </w:rPr>
      </w:pPr>
      <w:r>
        <w:rPr>
          <w:rFonts w:ascii="Arial" w:cs="Arial" w:eastAsia="Arial" w:hAnsi="Arial"/>
          <w:sz w:val="11"/>
          <w:szCs w:val="11"/>
          <w:color w:val="auto"/>
        </w:rPr>
        <w:t>The following table presents fees for professional audit services rendered by KPMG LLP for the integrated audits of the Company’s annual consolidated financial statements and effectiveness of internal control over financial reporting for fiscal 2022 and 2021, as well as fees for other services rendered by KPMG to the Company during fiscal 2022 and 2021.</w:t>
      </w:r>
    </w:p>
    <w:p>
      <w:pPr>
        <w:spacing w:after="0" w:line="156" w:lineRule="exact"/>
        <w:rPr>
          <w:sz w:val="20"/>
          <w:szCs w:val="20"/>
          <w:color w:val="auto"/>
        </w:rPr>
      </w:pPr>
    </w:p>
    <w:tbl>
      <w:tblPr>
        <w:tblLayout w:type="fixed"/>
        <w:tblInd w:w="1980" w:type="dxa"/>
        <w:tblCellMar>
          <w:top w:w="0" w:type="dxa"/>
          <w:left w:w="0" w:type="dxa"/>
          <w:bottom w:w="0" w:type="dxa"/>
          <w:right w:w="0" w:type="dxa"/>
        </w:tblCellMar>
      </w:tblPr>
      <w:tr>
        <w:trPr>
          <w:trHeight w:val="176"/>
        </w:trPr>
        <w:tc>
          <w:tcPr>
            <w:tcW w:w="5720" w:type="dxa"/>
            <w:vAlign w:val="bottom"/>
            <w:shd w:val="clear" w:color="auto" w:fill="CCEBF8"/>
          </w:tcPr>
          <w:p>
            <w:pPr>
              <w:spacing w:after="0"/>
              <w:rPr>
                <w:sz w:val="15"/>
                <w:szCs w:val="15"/>
                <w:color w:val="auto"/>
              </w:rPr>
            </w:pPr>
          </w:p>
        </w:tc>
        <w:tc>
          <w:tcPr>
            <w:tcW w:w="240" w:type="dxa"/>
            <w:vAlign w:val="bottom"/>
            <w:shd w:val="clear" w:color="auto" w:fill="CCEBF8"/>
          </w:tcPr>
          <w:p>
            <w:pPr>
              <w:spacing w:after="0"/>
              <w:rPr>
                <w:sz w:val="15"/>
                <w:szCs w:val="15"/>
                <w:color w:val="auto"/>
              </w:rPr>
            </w:pPr>
          </w:p>
        </w:tc>
        <w:tc>
          <w:tcPr>
            <w:tcW w:w="600" w:type="dxa"/>
            <w:vAlign w:val="bottom"/>
            <w:shd w:val="clear" w:color="auto" w:fill="CCEBF8"/>
          </w:tcPr>
          <w:p>
            <w:pPr>
              <w:jc w:val="right"/>
              <w:ind w:right="226"/>
              <w:spacing w:after="0"/>
              <w:rPr>
                <w:sz w:val="20"/>
                <w:szCs w:val="20"/>
                <w:color w:val="auto"/>
              </w:rPr>
            </w:pPr>
            <w:r>
              <w:rPr>
                <w:rFonts w:ascii="Arial" w:cs="Arial" w:eastAsia="Arial" w:hAnsi="Arial"/>
                <w:sz w:val="11"/>
                <w:szCs w:val="11"/>
                <w:b w:val="1"/>
                <w:bCs w:val="1"/>
                <w:color w:val="009BDE"/>
              </w:rPr>
              <w:t>2022</w:t>
            </w:r>
          </w:p>
        </w:tc>
        <w:tc>
          <w:tcPr>
            <w:tcW w:w="200" w:type="dxa"/>
            <w:vAlign w:val="bottom"/>
            <w:shd w:val="clear" w:color="auto" w:fill="CCEBF8"/>
          </w:tcPr>
          <w:p>
            <w:pPr>
              <w:spacing w:after="0"/>
              <w:rPr>
                <w:sz w:val="15"/>
                <w:szCs w:val="15"/>
                <w:color w:val="auto"/>
              </w:rPr>
            </w:pPr>
          </w:p>
        </w:tc>
        <w:tc>
          <w:tcPr>
            <w:tcW w:w="580" w:type="dxa"/>
            <w:vAlign w:val="bottom"/>
            <w:shd w:val="clear" w:color="auto" w:fill="CCEBF8"/>
          </w:tcPr>
          <w:p>
            <w:pPr>
              <w:jc w:val="right"/>
              <w:ind w:right="186"/>
              <w:spacing w:after="0"/>
              <w:rPr>
                <w:sz w:val="20"/>
                <w:szCs w:val="20"/>
                <w:color w:val="auto"/>
              </w:rPr>
            </w:pPr>
            <w:r>
              <w:rPr>
                <w:rFonts w:ascii="Arial" w:cs="Arial" w:eastAsia="Arial" w:hAnsi="Arial"/>
                <w:sz w:val="11"/>
                <w:szCs w:val="11"/>
                <w:b w:val="1"/>
                <w:bCs w:val="1"/>
                <w:color w:val="009BDE"/>
              </w:rPr>
              <w:t>2021</w:t>
            </w:r>
          </w:p>
        </w:tc>
      </w:tr>
      <w:tr>
        <w:trPr>
          <w:trHeight w:val="85"/>
        </w:trPr>
        <w:tc>
          <w:tcPr>
            <w:tcW w:w="5720" w:type="dxa"/>
            <w:vAlign w:val="bottom"/>
            <w:tcBorders>
              <w:bottom w:val="single" w:sz="8" w:color="009BDE"/>
            </w:tcBorders>
            <w:shd w:val="clear" w:color="auto" w:fill="CCEBF8"/>
          </w:tcPr>
          <w:p>
            <w:pPr>
              <w:spacing w:after="0"/>
              <w:rPr>
                <w:sz w:val="7"/>
                <w:szCs w:val="7"/>
                <w:color w:val="auto"/>
              </w:rPr>
            </w:pPr>
          </w:p>
        </w:tc>
        <w:tc>
          <w:tcPr>
            <w:tcW w:w="240" w:type="dxa"/>
            <w:vAlign w:val="bottom"/>
            <w:tcBorders>
              <w:bottom w:val="single" w:sz="8" w:color="009BDE"/>
            </w:tcBorders>
            <w:shd w:val="clear" w:color="auto" w:fill="CCEBF8"/>
          </w:tcPr>
          <w:p>
            <w:pPr>
              <w:spacing w:after="0"/>
              <w:rPr>
                <w:sz w:val="7"/>
                <w:szCs w:val="7"/>
                <w:color w:val="auto"/>
              </w:rPr>
            </w:pPr>
          </w:p>
        </w:tc>
        <w:tc>
          <w:tcPr>
            <w:tcW w:w="600" w:type="dxa"/>
            <w:vAlign w:val="bottom"/>
            <w:tcBorders>
              <w:bottom w:val="single" w:sz="8" w:color="009BDE"/>
            </w:tcBorders>
            <w:shd w:val="clear" w:color="auto" w:fill="CCEBF8"/>
          </w:tcPr>
          <w:p>
            <w:pPr>
              <w:spacing w:after="0"/>
              <w:rPr>
                <w:sz w:val="7"/>
                <w:szCs w:val="7"/>
                <w:color w:val="auto"/>
              </w:rPr>
            </w:pPr>
          </w:p>
        </w:tc>
        <w:tc>
          <w:tcPr>
            <w:tcW w:w="200" w:type="dxa"/>
            <w:vAlign w:val="bottom"/>
            <w:tcBorders>
              <w:bottom w:val="single" w:sz="8" w:color="009BDE"/>
            </w:tcBorders>
            <w:shd w:val="clear" w:color="auto" w:fill="CCEBF8"/>
          </w:tcPr>
          <w:p>
            <w:pPr>
              <w:spacing w:after="0"/>
              <w:rPr>
                <w:sz w:val="7"/>
                <w:szCs w:val="7"/>
                <w:color w:val="auto"/>
              </w:rPr>
            </w:pPr>
          </w:p>
        </w:tc>
        <w:tc>
          <w:tcPr>
            <w:tcW w:w="580" w:type="dxa"/>
            <w:vAlign w:val="bottom"/>
            <w:tcBorders>
              <w:bottom w:val="single" w:sz="8" w:color="009BDE"/>
            </w:tcBorders>
            <w:shd w:val="clear" w:color="auto" w:fill="CCEBF8"/>
          </w:tcPr>
          <w:p>
            <w:pPr>
              <w:spacing w:after="0"/>
              <w:rPr>
                <w:sz w:val="7"/>
                <w:szCs w:val="7"/>
                <w:color w:val="auto"/>
              </w:rPr>
            </w:pPr>
          </w:p>
        </w:tc>
      </w:tr>
      <w:tr>
        <w:trPr>
          <w:trHeight w:val="183"/>
        </w:trPr>
        <w:tc>
          <w:tcPr>
            <w:tcW w:w="5720" w:type="dxa"/>
            <w:vAlign w:val="bottom"/>
          </w:tcPr>
          <w:p>
            <w:pPr>
              <w:ind w:left="40"/>
              <w:spacing w:after="0"/>
              <w:rPr>
                <w:sz w:val="20"/>
                <w:szCs w:val="20"/>
                <w:color w:val="auto"/>
              </w:rPr>
            </w:pPr>
            <w:r>
              <w:rPr>
                <w:rFonts w:ascii="Arial" w:cs="Arial" w:eastAsia="Arial" w:hAnsi="Arial"/>
                <w:sz w:val="11"/>
                <w:szCs w:val="11"/>
                <w:color w:val="auto"/>
              </w:rPr>
              <w:t>Audit Fees(1)</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7,556,000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8,270,000</w:t>
            </w:r>
          </w:p>
        </w:tc>
      </w:tr>
      <w:tr>
        <w:trPr>
          <w:trHeight w:val="67"/>
        </w:trPr>
        <w:tc>
          <w:tcPr>
            <w:tcW w:w="572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20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r>
      <w:tr>
        <w:trPr>
          <w:trHeight w:val="183"/>
        </w:trPr>
        <w:tc>
          <w:tcPr>
            <w:tcW w:w="5720" w:type="dxa"/>
            <w:vAlign w:val="bottom"/>
          </w:tcPr>
          <w:p>
            <w:pPr>
              <w:ind w:left="40"/>
              <w:spacing w:after="0"/>
              <w:rPr>
                <w:sz w:val="20"/>
                <w:szCs w:val="20"/>
                <w:color w:val="auto"/>
              </w:rPr>
            </w:pPr>
            <w:r>
              <w:rPr>
                <w:rFonts w:ascii="Arial" w:cs="Arial" w:eastAsia="Arial" w:hAnsi="Arial"/>
                <w:sz w:val="11"/>
                <w:szCs w:val="11"/>
                <w:color w:val="auto"/>
              </w:rPr>
              <w:t>Audit-Related Fees(2)</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162,000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166,000</w:t>
            </w:r>
          </w:p>
        </w:tc>
      </w:tr>
      <w:tr>
        <w:trPr>
          <w:trHeight w:val="67"/>
        </w:trPr>
        <w:tc>
          <w:tcPr>
            <w:tcW w:w="572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20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r>
      <w:tr>
        <w:trPr>
          <w:trHeight w:val="183"/>
        </w:trPr>
        <w:tc>
          <w:tcPr>
            <w:tcW w:w="5720" w:type="dxa"/>
            <w:vAlign w:val="bottom"/>
          </w:tcPr>
          <w:p>
            <w:pPr>
              <w:ind w:left="40"/>
              <w:spacing w:after="0"/>
              <w:rPr>
                <w:sz w:val="20"/>
                <w:szCs w:val="20"/>
                <w:color w:val="auto"/>
              </w:rPr>
            </w:pPr>
            <w:r>
              <w:rPr>
                <w:rFonts w:ascii="Arial" w:cs="Arial" w:eastAsia="Arial" w:hAnsi="Arial"/>
                <w:sz w:val="11"/>
                <w:szCs w:val="11"/>
                <w:color w:val="auto"/>
              </w:rPr>
              <w:t>Tax Fees(3)</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1,238,000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1,198,000</w:t>
            </w:r>
          </w:p>
        </w:tc>
      </w:tr>
      <w:tr>
        <w:trPr>
          <w:trHeight w:val="67"/>
        </w:trPr>
        <w:tc>
          <w:tcPr>
            <w:tcW w:w="572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20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r>
      <w:tr>
        <w:trPr>
          <w:trHeight w:val="183"/>
        </w:trPr>
        <w:tc>
          <w:tcPr>
            <w:tcW w:w="5720" w:type="dxa"/>
            <w:vAlign w:val="bottom"/>
          </w:tcPr>
          <w:p>
            <w:pPr>
              <w:ind w:left="40"/>
              <w:spacing w:after="0"/>
              <w:rPr>
                <w:sz w:val="20"/>
                <w:szCs w:val="20"/>
                <w:color w:val="auto"/>
              </w:rPr>
            </w:pPr>
            <w:r>
              <w:rPr>
                <w:rFonts w:ascii="Arial" w:cs="Arial" w:eastAsia="Arial" w:hAnsi="Arial"/>
                <w:sz w:val="11"/>
                <w:szCs w:val="11"/>
                <w:color w:val="auto"/>
              </w:rPr>
              <w:t>All Other Fees</w:t>
            </w:r>
          </w:p>
        </w:tc>
        <w:tc>
          <w:tcPr>
            <w:tcW w:w="24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572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200" w:type="dxa"/>
            <w:vAlign w:val="bottom"/>
            <w:tcBorders>
              <w:bottom w:val="single" w:sz="8" w:color="009BDE"/>
            </w:tcBorders>
          </w:tcPr>
          <w:p>
            <w:pPr>
              <w:spacing w:after="0"/>
              <w:rPr>
                <w:sz w:val="5"/>
                <w:szCs w:val="5"/>
                <w:color w:val="auto"/>
              </w:rPr>
            </w:pPr>
          </w:p>
        </w:tc>
        <w:tc>
          <w:tcPr>
            <w:tcW w:w="580" w:type="dxa"/>
            <w:vAlign w:val="bottom"/>
            <w:tcBorders>
              <w:bottom w:val="single" w:sz="8" w:color="009BDE"/>
            </w:tcBorders>
          </w:tcPr>
          <w:p>
            <w:pPr>
              <w:spacing w:after="0"/>
              <w:rPr>
                <w:sz w:val="5"/>
                <w:szCs w:val="5"/>
                <w:color w:val="auto"/>
              </w:rPr>
            </w:pPr>
          </w:p>
        </w:tc>
      </w:tr>
      <w:tr>
        <w:trPr>
          <w:trHeight w:val="183"/>
        </w:trPr>
        <w:tc>
          <w:tcPr>
            <w:tcW w:w="5720" w:type="dxa"/>
            <w:vAlign w:val="bottom"/>
          </w:tcPr>
          <w:p>
            <w:pPr>
              <w:ind w:left="40"/>
              <w:spacing w:after="0"/>
              <w:rPr>
                <w:sz w:val="20"/>
                <w:szCs w:val="20"/>
                <w:color w:val="auto"/>
              </w:rPr>
            </w:pPr>
            <w:r>
              <w:rPr>
                <w:rFonts w:ascii="Arial" w:cs="Arial" w:eastAsia="Arial" w:hAnsi="Arial"/>
                <w:sz w:val="11"/>
                <w:szCs w:val="11"/>
                <w:color w:val="auto"/>
              </w:rPr>
              <w:t>Total Fees</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8,956,000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9,634,000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42545</wp:posOffset>
            </wp:positionV>
            <wp:extent cx="4663440" cy="571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13" w:lineRule="exact"/>
        <w:rPr>
          <w:sz w:val="20"/>
          <w:szCs w:val="20"/>
          <w:color w:val="auto"/>
        </w:rPr>
      </w:pPr>
    </w:p>
    <w:p>
      <w:pPr>
        <w:jc w:val="both"/>
        <w:ind w:left="2260" w:right="1019" w:hanging="288"/>
        <w:spacing w:after="0" w:line="230" w:lineRule="auto"/>
        <w:tabs>
          <w:tab w:leader="none" w:pos="2260" w:val="left"/>
        </w:tabs>
        <w:numPr>
          <w:ilvl w:val="0"/>
          <w:numId w:val="71"/>
        </w:numPr>
        <w:rPr>
          <w:rFonts w:ascii="Arial" w:cs="Arial" w:eastAsia="Arial" w:hAnsi="Arial"/>
          <w:sz w:val="10"/>
          <w:szCs w:val="10"/>
          <w:color w:val="auto"/>
        </w:rPr>
      </w:pPr>
      <w:r>
        <w:rPr>
          <w:rFonts w:ascii="Arial" w:cs="Arial" w:eastAsia="Arial" w:hAnsi="Arial"/>
          <w:sz w:val="10"/>
          <w:szCs w:val="10"/>
          <w:color w:val="auto"/>
        </w:rPr>
        <w:t>Audit Fees consist of services related to the integrated audit of the Company’s consolidated financial statements and effectiveness of internal control over financial reporting. Audit fees also include consultations on accounting and reporting matters, as well as services generally only the independent auditor can reasonably be expected to provide, such as statutory audits and services in connection with filings with the SEC.</w:t>
      </w:r>
    </w:p>
    <w:p>
      <w:pPr>
        <w:spacing w:after="0" w:line="47" w:lineRule="exact"/>
        <w:rPr>
          <w:rFonts w:ascii="Arial" w:cs="Arial" w:eastAsia="Arial" w:hAnsi="Arial"/>
          <w:sz w:val="10"/>
          <w:szCs w:val="10"/>
          <w:color w:val="auto"/>
        </w:rPr>
      </w:pPr>
    </w:p>
    <w:p>
      <w:pPr>
        <w:ind w:left="2260" w:right="939" w:hanging="288"/>
        <w:spacing w:after="0" w:line="232" w:lineRule="auto"/>
        <w:tabs>
          <w:tab w:leader="none" w:pos="2260" w:val="left"/>
        </w:tabs>
        <w:numPr>
          <w:ilvl w:val="0"/>
          <w:numId w:val="71"/>
        </w:numPr>
        <w:rPr>
          <w:rFonts w:ascii="Arial" w:cs="Arial" w:eastAsia="Arial" w:hAnsi="Arial"/>
          <w:sz w:val="10"/>
          <w:szCs w:val="10"/>
          <w:color w:val="auto"/>
        </w:rPr>
      </w:pPr>
      <w:r>
        <w:rPr>
          <w:rFonts w:ascii="Arial" w:cs="Arial" w:eastAsia="Arial" w:hAnsi="Arial"/>
          <w:sz w:val="10"/>
          <w:szCs w:val="10"/>
          <w:color w:val="auto"/>
        </w:rPr>
        <w:t>Audit-Related Fees consist of fees for audits of financial statements of employee benefit plans, accounting and reporting consultations, and agreed upon procedures reports.</w:t>
      </w:r>
    </w:p>
    <w:p>
      <w:pPr>
        <w:spacing w:after="0" w:line="47" w:lineRule="exact"/>
        <w:rPr>
          <w:rFonts w:ascii="Arial" w:cs="Arial" w:eastAsia="Arial" w:hAnsi="Arial"/>
          <w:sz w:val="10"/>
          <w:szCs w:val="10"/>
          <w:color w:val="auto"/>
        </w:rPr>
      </w:pPr>
    </w:p>
    <w:p>
      <w:pPr>
        <w:ind w:left="2260" w:right="859" w:hanging="288"/>
        <w:spacing w:after="0" w:line="232" w:lineRule="auto"/>
        <w:tabs>
          <w:tab w:leader="none" w:pos="2260" w:val="left"/>
        </w:tabs>
        <w:numPr>
          <w:ilvl w:val="0"/>
          <w:numId w:val="71"/>
        </w:numPr>
        <w:rPr>
          <w:rFonts w:ascii="Arial" w:cs="Arial" w:eastAsia="Arial" w:hAnsi="Arial"/>
          <w:sz w:val="10"/>
          <w:szCs w:val="10"/>
          <w:color w:val="auto"/>
        </w:rPr>
      </w:pPr>
      <w:r>
        <w:rPr>
          <w:rFonts w:ascii="Arial" w:cs="Arial" w:eastAsia="Arial" w:hAnsi="Arial"/>
          <w:sz w:val="10"/>
          <w:szCs w:val="10"/>
          <w:color w:val="auto"/>
        </w:rPr>
        <w:t>Tax Fees consist primarily of fees for tax compliance services, such as assistance with the preparation and/or review of tax returns and other required filings, advice in connection with tax examinations, as well as fees for other tax consultations rendered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148590</wp:posOffset>
            </wp:positionV>
            <wp:extent cx="4663440" cy="39433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4663440" cy="394335"/>
                    </a:xfrm>
                    <a:prstGeom prst="rect">
                      <a:avLst/>
                    </a:prstGeom>
                    <a:noFill/>
                  </pic:spPr>
                </pic:pic>
              </a:graphicData>
            </a:graphic>
          </wp:anchor>
        </w:drawing>
      </w:r>
    </w:p>
    <w:p>
      <w:pPr>
        <w:spacing w:after="0" w:line="259" w:lineRule="exact"/>
        <w:rPr>
          <w:sz w:val="20"/>
          <w:szCs w:val="20"/>
          <w:color w:val="auto"/>
        </w:rPr>
      </w:pPr>
    </w:p>
    <w:p>
      <w:pPr>
        <w:ind w:left="2100" w:right="979"/>
        <w:spacing w:after="0" w:line="287" w:lineRule="auto"/>
        <w:rPr>
          <w:sz w:val="20"/>
          <w:szCs w:val="20"/>
          <w:color w:val="auto"/>
        </w:rPr>
      </w:pPr>
      <w:r>
        <w:rPr>
          <w:rFonts w:ascii="Arial" w:cs="Arial" w:eastAsia="Arial" w:hAnsi="Arial"/>
          <w:sz w:val="17"/>
          <w:szCs w:val="17"/>
          <w:b w:val="1"/>
          <w:bCs w:val="1"/>
          <w:color w:val="FFFFFF"/>
        </w:rPr>
        <w:t>Policy on Audit Committee Pre-Approval of Audit Services and Permissible Non-Audit Services of the Independent Registered Public Accounting Firm</w:t>
      </w:r>
    </w:p>
    <w:p>
      <w:pPr>
        <w:spacing w:after="0" w:line="208" w:lineRule="exact"/>
        <w:rPr>
          <w:sz w:val="20"/>
          <w:szCs w:val="20"/>
          <w:color w:val="auto"/>
        </w:rPr>
      </w:pPr>
    </w:p>
    <w:p>
      <w:pPr>
        <w:ind w:left="1980" w:right="899"/>
        <w:spacing w:after="0" w:line="241" w:lineRule="auto"/>
        <w:rPr>
          <w:sz w:val="20"/>
          <w:szCs w:val="20"/>
          <w:color w:val="auto"/>
        </w:rPr>
      </w:pPr>
      <w:r>
        <w:rPr>
          <w:rFonts w:ascii="Arial" w:cs="Arial" w:eastAsia="Arial" w:hAnsi="Arial"/>
          <w:sz w:val="11"/>
          <w:szCs w:val="11"/>
          <w:color w:val="auto"/>
        </w:rPr>
        <w:t>Consistent with the rules and regulations of the SEC regarding auditor independence, the Audit Committee has responsibility for appointing, approving compensation for and overseeing the services of the independent registered public accounting firm (hereafter referred to as the independent auditors). In fulfilling this responsibility, the Audit Committee has established a policy to pre-approve all audit and permissible non-audit services to be provided by the independent auditors.</w:t>
      </w:r>
    </w:p>
    <w:p>
      <w:pPr>
        <w:spacing w:after="0" w:line="86" w:lineRule="exact"/>
        <w:rPr>
          <w:sz w:val="20"/>
          <w:szCs w:val="20"/>
          <w:color w:val="auto"/>
        </w:rPr>
      </w:pPr>
    </w:p>
    <w:p>
      <w:pPr>
        <w:ind w:left="1980" w:right="1459"/>
        <w:spacing w:after="0" w:line="245" w:lineRule="auto"/>
        <w:rPr>
          <w:sz w:val="20"/>
          <w:szCs w:val="20"/>
          <w:color w:val="auto"/>
        </w:rPr>
      </w:pPr>
      <w:r>
        <w:rPr>
          <w:rFonts w:ascii="Arial" w:cs="Arial" w:eastAsia="Arial" w:hAnsi="Arial"/>
          <w:sz w:val="11"/>
          <w:szCs w:val="11"/>
          <w:color w:val="auto"/>
        </w:rPr>
        <w:t>Prior to engagement of the independent auditor for the fiscal year, management of the Company submits to the Audit Committee for the Audit Committee’s pre-approval:</w:t>
      </w:r>
    </w:p>
    <w:p>
      <w:pPr>
        <w:spacing w:after="0" w:line="75" w:lineRule="exact"/>
        <w:rPr>
          <w:sz w:val="20"/>
          <w:szCs w:val="20"/>
          <w:color w:val="auto"/>
        </w:rPr>
      </w:pPr>
    </w:p>
    <w:p>
      <w:pPr>
        <w:ind w:left="2120" w:hanging="148"/>
        <w:spacing w:after="0"/>
        <w:tabs>
          <w:tab w:leader="none" w:pos="21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A description of, and estimated costs for, the proposed audit services to be provided by the independent auditors for that fiscal year.</w:t>
      </w:r>
    </w:p>
    <w:p>
      <w:pPr>
        <w:spacing w:after="0" w:line="80" w:lineRule="exact"/>
        <w:rPr>
          <w:rFonts w:ascii="Arial" w:cs="Arial" w:eastAsia="Arial" w:hAnsi="Arial"/>
          <w:sz w:val="11"/>
          <w:szCs w:val="11"/>
          <w:color w:val="auto"/>
        </w:rPr>
      </w:pPr>
    </w:p>
    <w:p>
      <w:pPr>
        <w:ind w:left="2120" w:right="1059" w:hanging="148"/>
        <w:spacing w:after="0" w:line="242" w:lineRule="auto"/>
        <w:tabs>
          <w:tab w:leader="none" w:pos="21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A description of, and estimated costs for, the proposed non-audit services to be provided by the independent auditors for that fiscal year. These non-audit services are comprised of permissible audit-related, tax and other services, and descriptions and estimated costs are proposed for these permissible non-audit services.</w:t>
      </w:r>
    </w:p>
    <w:p>
      <w:pPr>
        <w:spacing w:after="0" w:line="94" w:lineRule="exact"/>
        <w:rPr>
          <w:sz w:val="20"/>
          <w:szCs w:val="20"/>
          <w:color w:val="auto"/>
        </w:rPr>
      </w:pPr>
    </w:p>
    <w:p>
      <w:pPr>
        <w:ind w:left="1980" w:right="919"/>
        <w:spacing w:after="0" w:line="242" w:lineRule="auto"/>
        <w:rPr>
          <w:sz w:val="20"/>
          <w:szCs w:val="20"/>
          <w:color w:val="auto"/>
        </w:rPr>
      </w:pPr>
      <w:r>
        <w:rPr>
          <w:rFonts w:ascii="Arial" w:cs="Arial" w:eastAsia="Arial" w:hAnsi="Arial"/>
          <w:sz w:val="11"/>
          <w:szCs w:val="11"/>
          <w:color w:val="auto"/>
        </w:rPr>
        <w:t>Audit and permissible non-audit services which are pre-approved by the Audit Committee pursuant to this review may be performed by KPMG during the fiscal year. During the course of the year, management periodically reports to the Audit Committee on the audit and non-audit services which are being provided to the Company pursuant to these pre-approvals.</w:t>
      </w:r>
    </w:p>
    <w:p>
      <w:pPr>
        <w:spacing w:after="0" w:line="94" w:lineRule="exact"/>
        <w:rPr>
          <w:sz w:val="20"/>
          <w:szCs w:val="20"/>
          <w:color w:val="auto"/>
        </w:rPr>
      </w:pPr>
    </w:p>
    <w:p>
      <w:pPr>
        <w:ind w:left="1980" w:right="1139"/>
        <w:spacing w:after="0" w:line="245" w:lineRule="auto"/>
        <w:rPr>
          <w:sz w:val="20"/>
          <w:szCs w:val="20"/>
          <w:color w:val="auto"/>
        </w:rPr>
      </w:pPr>
      <w:r>
        <w:rPr>
          <w:rFonts w:ascii="Arial" w:cs="Arial" w:eastAsia="Arial" w:hAnsi="Arial"/>
          <w:sz w:val="11"/>
          <w:szCs w:val="11"/>
          <w:color w:val="auto"/>
        </w:rPr>
        <w:t>In addition to pre-approving all audit and permissible non-audit services at the beginning of the fiscal year, the Audit Committee has also instituted a procedure for the consideration of additional services that arise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57785</wp:posOffset>
            </wp:positionV>
            <wp:extent cx="3971925" cy="21717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29"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90</w:t>
      </w:r>
    </w:p>
    <w:p>
      <w:pPr>
        <w:sectPr>
          <w:pgSz w:w="11900" w:h="16838" w:orient="portrait"/>
          <w:cols w:equalWidth="0" w:num="1">
            <w:col w:w="10159"/>
          </w:cols>
          <w:pgMar w:left="300" w:top="372" w:right="1440" w:bottom="1440" w:gutter="0" w:footer="0" w:header="0"/>
        </w:sectPr>
      </w:pPr>
    </w:p>
    <w:bookmarkStart w:id="112" w:name="page113"/>
    <w:bookmarkEnd w:id="11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939"/>
        <w:spacing w:after="0" w:line="241" w:lineRule="auto"/>
        <w:rPr>
          <w:sz w:val="20"/>
          <w:szCs w:val="20"/>
          <w:color w:val="auto"/>
        </w:rPr>
      </w:pPr>
      <w:r>
        <w:rPr>
          <w:rFonts w:ascii="Arial" w:cs="Arial" w:eastAsia="Arial" w:hAnsi="Arial"/>
          <w:sz w:val="11"/>
          <w:szCs w:val="11"/>
          <w:color w:val="auto"/>
        </w:rPr>
        <w:t>course of the year for which the Company desires to retain KPMG. Pre-approval of such services can be made either pursuant to a policies and procedures approach, or pursuant to specific approval. Under a policies and procedures approach, the Audit Committee has specified that additional services in the following categories can be undertaken by KPMG if they fall within the individual dollar limits per project and aggregate dollar limits for all projects of that type per year set forth below and are reported to the Audit Committee at its next meeting:</w:t>
      </w:r>
    </w:p>
    <w:p>
      <w:pPr>
        <w:spacing w:after="0" w:line="157" w:lineRule="exact"/>
        <w:rPr>
          <w:sz w:val="20"/>
          <w:szCs w:val="20"/>
          <w:color w:val="auto"/>
        </w:rPr>
      </w:pPr>
    </w:p>
    <w:tbl>
      <w:tblPr>
        <w:tblLayout w:type="fixed"/>
        <w:tblInd w:w="1980" w:type="dxa"/>
        <w:tblCellMar>
          <w:top w:w="0" w:type="dxa"/>
          <w:left w:w="0" w:type="dxa"/>
          <w:bottom w:w="0" w:type="dxa"/>
          <w:right w:w="0" w:type="dxa"/>
        </w:tblCellMar>
      </w:tblPr>
      <w:tr>
        <w:trPr>
          <w:trHeight w:val="176"/>
        </w:trPr>
        <w:tc>
          <w:tcPr>
            <w:tcW w:w="4460" w:type="dxa"/>
            <w:vAlign w:val="bottom"/>
            <w:shd w:val="clear" w:color="auto" w:fill="CCEBF8"/>
          </w:tcPr>
          <w:p>
            <w:pPr>
              <w:ind w:left="60"/>
              <w:spacing w:after="0"/>
              <w:rPr>
                <w:sz w:val="20"/>
                <w:szCs w:val="20"/>
                <w:color w:val="auto"/>
              </w:rPr>
            </w:pPr>
            <w:r>
              <w:rPr>
                <w:rFonts w:ascii="Arial" w:cs="Arial" w:eastAsia="Arial" w:hAnsi="Arial"/>
                <w:sz w:val="11"/>
                <w:szCs w:val="11"/>
                <w:b w:val="1"/>
                <w:bCs w:val="1"/>
                <w:color w:val="009BDE"/>
              </w:rPr>
              <w:t>Category of Service</w:t>
            </w:r>
          </w:p>
        </w:tc>
        <w:tc>
          <w:tcPr>
            <w:tcW w:w="1660" w:type="dxa"/>
            <w:vAlign w:val="bottom"/>
            <w:gridSpan w:val="2"/>
            <w:shd w:val="clear" w:color="auto" w:fill="CCEBF8"/>
          </w:tcPr>
          <w:p>
            <w:pPr>
              <w:ind w:left="560"/>
              <w:spacing w:after="0"/>
              <w:rPr>
                <w:sz w:val="20"/>
                <w:szCs w:val="20"/>
                <w:color w:val="auto"/>
              </w:rPr>
            </w:pPr>
            <w:r>
              <w:rPr>
                <w:rFonts w:ascii="Arial" w:cs="Arial" w:eastAsia="Arial" w:hAnsi="Arial"/>
                <w:sz w:val="11"/>
                <w:szCs w:val="11"/>
                <w:b w:val="1"/>
                <w:bCs w:val="1"/>
                <w:color w:val="009BDE"/>
              </w:rPr>
              <w:t>Individual Limit</w:t>
            </w:r>
          </w:p>
        </w:tc>
        <w:tc>
          <w:tcPr>
            <w:tcW w:w="1220" w:type="dxa"/>
            <w:vAlign w:val="bottom"/>
            <w:gridSpan w:val="2"/>
            <w:shd w:val="clear" w:color="auto" w:fill="CCEBF8"/>
          </w:tcPr>
          <w:p>
            <w:pPr>
              <w:ind w:left="300"/>
              <w:spacing w:after="0"/>
              <w:rPr>
                <w:sz w:val="20"/>
                <w:szCs w:val="20"/>
                <w:color w:val="auto"/>
              </w:rPr>
            </w:pPr>
            <w:r>
              <w:rPr>
                <w:rFonts w:ascii="Arial" w:cs="Arial" w:eastAsia="Arial" w:hAnsi="Arial"/>
                <w:sz w:val="11"/>
                <w:szCs w:val="11"/>
                <w:b w:val="1"/>
                <w:bCs w:val="1"/>
                <w:color w:val="009BDE"/>
              </w:rPr>
              <w:t>Aggregate Limit</w:t>
            </w:r>
          </w:p>
        </w:tc>
      </w:tr>
      <w:tr>
        <w:trPr>
          <w:trHeight w:val="85"/>
        </w:trPr>
        <w:tc>
          <w:tcPr>
            <w:tcW w:w="4460" w:type="dxa"/>
            <w:vAlign w:val="bottom"/>
            <w:tcBorders>
              <w:bottom w:val="single" w:sz="8" w:color="009BDE"/>
            </w:tcBorders>
            <w:shd w:val="clear" w:color="auto" w:fill="CCEBF8"/>
          </w:tcPr>
          <w:p>
            <w:pPr>
              <w:spacing w:after="0"/>
              <w:rPr>
                <w:sz w:val="7"/>
                <w:szCs w:val="7"/>
                <w:color w:val="auto"/>
              </w:rPr>
            </w:pPr>
          </w:p>
        </w:tc>
        <w:tc>
          <w:tcPr>
            <w:tcW w:w="820" w:type="dxa"/>
            <w:vAlign w:val="bottom"/>
            <w:tcBorders>
              <w:bottom w:val="single" w:sz="8" w:color="009BDE"/>
            </w:tcBorders>
            <w:shd w:val="clear" w:color="auto" w:fill="CCEBF8"/>
          </w:tcPr>
          <w:p>
            <w:pPr>
              <w:spacing w:after="0"/>
              <w:rPr>
                <w:sz w:val="7"/>
                <w:szCs w:val="7"/>
                <w:color w:val="auto"/>
              </w:rPr>
            </w:pPr>
          </w:p>
        </w:tc>
        <w:tc>
          <w:tcPr>
            <w:tcW w:w="840" w:type="dxa"/>
            <w:vAlign w:val="bottom"/>
            <w:tcBorders>
              <w:bottom w:val="single" w:sz="8" w:color="009BDE"/>
            </w:tcBorders>
            <w:shd w:val="clear" w:color="auto" w:fill="CCEBF8"/>
          </w:tcPr>
          <w:p>
            <w:pPr>
              <w:spacing w:after="0"/>
              <w:rPr>
                <w:sz w:val="7"/>
                <w:szCs w:val="7"/>
                <w:color w:val="auto"/>
              </w:rPr>
            </w:pPr>
          </w:p>
        </w:tc>
        <w:tc>
          <w:tcPr>
            <w:tcW w:w="600" w:type="dxa"/>
            <w:vAlign w:val="bottom"/>
            <w:tcBorders>
              <w:bottom w:val="single" w:sz="8" w:color="009BDE"/>
            </w:tcBorders>
            <w:shd w:val="clear" w:color="auto" w:fill="CCEBF8"/>
          </w:tcPr>
          <w:p>
            <w:pPr>
              <w:spacing w:after="0"/>
              <w:rPr>
                <w:sz w:val="7"/>
                <w:szCs w:val="7"/>
                <w:color w:val="auto"/>
              </w:rPr>
            </w:pPr>
          </w:p>
        </w:tc>
        <w:tc>
          <w:tcPr>
            <w:tcW w:w="620" w:type="dxa"/>
            <w:vAlign w:val="bottom"/>
            <w:tcBorders>
              <w:bottom w:val="single" w:sz="8" w:color="009BDE"/>
            </w:tcBorders>
            <w:shd w:val="clear" w:color="auto" w:fill="CCEBF8"/>
          </w:tcPr>
          <w:p>
            <w:pPr>
              <w:spacing w:after="0"/>
              <w:rPr>
                <w:sz w:val="7"/>
                <w:szCs w:val="7"/>
                <w:color w:val="auto"/>
              </w:rPr>
            </w:pPr>
          </w:p>
        </w:tc>
      </w:tr>
      <w:tr>
        <w:trPr>
          <w:trHeight w:val="183"/>
        </w:trPr>
        <w:tc>
          <w:tcPr>
            <w:tcW w:w="4460" w:type="dxa"/>
            <w:vAlign w:val="bottom"/>
          </w:tcPr>
          <w:p>
            <w:pPr>
              <w:ind w:left="40"/>
              <w:spacing w:after="0"/>
              <w:rPr>
                <w:sz w:val="20"/>
                <w:szCs w:val="20"/>
                <w:color w:val="auto"/>
              </w:rPr>
            </w:pPr>
            <w:r>
              <w:rPr>
                <w:rFonts w:ascii="Arial" w:cs="Arial" w:eastAsia="Arial" w:hAnsi="Arial"/>
                <w:sz w:val="11"/>
                <w:szCs w:val="11"/>
                <w:color w:val="auto"/>
              </w:rPr>
              <w:t>Accounting/Reporting Advice</w:t>
            </w:r>
          </w:p>
        </w:tc>
        <w:tc>
          <w:tcPr>
            <w:tcW w:w="820" w:type="dxa"/>
            <w:vAlign w:val="bottom"/>
          </w:tcPr>
          <w:p>
            <w:pPr>
              <w:ind w:left="56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46"/>
              <w:spacing w:after="0"/>
              <w:rPr>
                <w:sz w:val="20"/>
                <w:szCs w:val="20"/>
                <w:color w:val="auto"/>
              </w:rPr>
            </w:pPr>
            <w:r>
              <w:rPr>
                <w:rFonts w:ascii="Arial" w:cs="Arial" w:eastAsia="Arial" w:hAnsi="Arial"/>
                <w:sz w:val="11"/>
                <w:szCs w:val="11"/>
                <w:color w:val="auto"/>
              </w:rPr>
              <w:t>5,000</w:t>
            </w:r>
          </w:p>
        </w:tc>
        <w:tc>
          <w:tcPr>
            <w:tcW w:w="600" w:type="dxa"/>
            <w:vAlign w:val="bottom"/>
          </w:tcPr>
          <w:p>
            <w:pPr>
              <w:ind w:left="28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15,000</w:t>
            </w:r>
          </w:p>
        </w:tc>
      </w:tr>
      <w:tr>
        <w:trPr>
          <w:trHeight w:val="67"/>
        </w:trPr>
        <w:tc>
          <w:tcPr>
            <w:tcW w:w="446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r>
      <w:tr>
        <w:trPr>
          <w:trHeight w:val="183"/>
        </w:trPr>
        <w:tc>
          <w:tcPr>
            <w:tcW w:w="4460" w:type="dxa"/>
            <w:vAlign w:val="bottom"/>
          </w:tcPr>
          <w:p>
            <w:pPr>
              <w:ind w:left="40"/>
              <w:spacing w:after="0"/>
              <w:rPr>
                <w:sz w:val="20"/>
                <w:szCs w:val="20"/>
                <w:color w:val="auto"/>
              </w:rPr>
            </w:pPr>
            <w:r>
              <w:rPr>
                <w:rFonts w:ascii="Arial" w:cs="Arial" w:eastAsia="Arial" w:hAnsi="Arial"/>
                <w:sz w:val="11"/>
                <w:szCs w:val="11"/>
                <w:color w:val="auto"/>
              </w:rPr>
              <w:t>Other Audit-related services</w:t>
            </w:r>
          </w:p>
        </w:tc>
        <w:tc>
          <w:tcPr>
            <w:tcW w:w="820" w:type="dxa"/>
            <w:vAlign w:val="bottom"/>
          </w:tcPr>
          <w:p>
            <w:pPr>
              <w:ind w:left="56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46"/>
              <w:spacing w:after="0"/>
              <w:rPr>
                <w:sz w:val="20"/>
                <w:szCs w:val="20"/>
                <w:color w:val="auto"/>
              </w:rPr>
            </w:pPr>
            <w:r>
              <w:rPr>
                <w:rFonts w:ascii="Arial" w:cs="Arial" w:eastAsia="Arial" w:hAnsi="Arial"/>
                <w:sz w:val="11"/>
                <w:szCs w:val="11"/>
                <w:color w:val="auto"/>
              </w:rPr>
              <w:t>5,000</w:t>
            </w:r>
          </w:p>
        </w:tc>
        <w:tc>
          <w:tcPr>
            <w:tcW w:w="600" w:type="dxa"/>
            <w:vAlign w:val="bottom"/>
          </w:tcPr>
          <w:p>
            <w:pPr>
              <w:ind w:left="28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15,000</w:t>
            </w:r>
          </w:p>
        </w:tc>
      </w:tr>
      <w:tr>
        <w:trPr>
          <w:trHeight w:val="67"/>
        </w:trPr>
        <w:tc>
          <w:tcPr>
            <w:tcW w:w="446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r>
      <w:tr>
        <w:trPr>
          <w:trHeight w:val="183"/>
        </w:trPr>
        <w:tc>
          <w:tcPr>
            <w:tcW w:w="4460" w:type="dxa"/>
            <w:vAlign w:val="bottom"/>
          </w:tcPr>
          <w:p>
            <w:pPr>
              <w:ind w:left="40"/>
              <w:spacing w:after="0"/>
              <w:rPr>
                <w:sz w:val="20"/>
                <w:szCs w:val="20"/>
                <w:color w:val="auto"/>
              </w:rPr>
            </w:pPr>
            <w:r>
              <w:rPr>
                <w:rFonts w:ascii="Arial" w:cs="Arial" w:eastAsia="Arial" w:hAnsi="Arial"/>
                <w:sz w:val="11"/>
                <w:szCs w:val="11"/>
                <w:color w:val="auto"/>
              </w:rPr>
              <w:t>Tax Compliance</w:t>
            </w:r>
          </w:p>
        </w:tc>
        <w:tc>
          <w:tcPr>
            <w:tcW w:w="820" w:type="dxa"/>
            <w:vAlign w:val="bottom"/>
          </w:tcPr>
          <w:p>
            <w:pPr>
              <w:ind w:left="56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46"/>
              <w:spacing w:after="0"/>
              <w:rPr>
                <w:sz w:val="20"/>
                <w:szCs w:val="20"/>
                <w:color w:val="auto"/>
              </w:rPr>
            </w:pPr>
            <w:r>
              <w:rPr>
                <w:rFonts w:ascii="Arial" w:cs="Arial" w:eastAsia="Arial" w:hAnsi="Arial"/>
                <w:sz w:val="11"/>
                <w:szCs w:val="11"/>
                <w:color w:val="auto"/>
              </w:rPr>
              <w:t>20,000</w:t>
            </w:r>
          </w:p>
        </w:tc>
        <w:tc>
          <w:tcPr>
            <w:tcW w:w="600" w:type="dxa"/>
            <w:vAlign w:val="bottom"/>
          </w:tcPr>
          <w:p>
            <w:pPr>
              <w:ind w:left="28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50,000</w:t>
            </w:r>
          </w:p>
        </w:tc>
      </w:tr>
      <w:tr>
        <w:trPr>
          <w:trHeight w:val="67"/>
        </w:trPr>
        <w:tc>
          <w:tcPr>
            <w:tcW w:w="446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r>
      <w:tr>
        <w:trPr>
          <w:trHeight w:val="183"/>
        </w:trPr>
        <w:tc>
          <w:tcPr>
            <w:tcW w:w="4460" w:type="dxa"/>
            <w:vAlign w:val="bottom"/>
          </w:tcPr>
          <w:p>
            <w:pPr>
              <w:ind w:left="40"/>
              <w:spacing w:after="0"/>
              <w:rPr>
                <w:sz w:val="20"/>
                <w:szCs w:val="20"/>
                <w:color w:val="auto"/>
              </w:rPr>
            </w:pPr>
            <w:r>
              <w:rPr>
                <w:rFonts w:ascii="Arial" w:cs="Arial" w:eastAsia="Arial" w:hAnsi="Arial"/>
                <w:sz w:val="11"/>
                <w:szCs w:val="11"/>
                <w:color w:val="auto"/>
              </w:rPr>
              <w:t>Tax Advice</w:t>
            </w:r>
          </w:p>
        </w:tc>
        <w:tc>
          <w:tcPr>
            <w:tcW w:w="820" w:type="dxa"/>
            <w:vAlign w:val="bottom"/>
          </w:tcPr>
          <w:p>
            <w:pPr>
              <w:ind w:left="56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46"/>
              <w:spacing w:after="0"/>
              <w:rPr>
                <w:sz w:val="20"/>
                <w:szCs w:val="20"/>
                <w:color w:val="auto"/>
              </w:rPr>
            </w:pPr>
            <w:r>
              <w:rPr>
                <w:rFonts w:ascii="Arial" w:cs="Arial" w:eastAsia="Arial" w:hAnsi="Arial"/>
                <w:sz w:val="11"/>
                <w:szCs w:val="11"/>
                <w:color w:val="auto"/>
              </w:rPr>
              <w:t>25,000</w:t>
            </w:r>
          </w:p>
        </w:tc>
        <w:tc>
          <w:tcPr>
            <w:tcW w:w="600" w:type="dxa"/>
            <w:vAlign w:val="bottom"/>
          </w:tcPr>
          <w:p>
            <w:pPr>
              <w:ind w:left="28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50,000</w:t>
            </w:r>
          </w:p>
        </w:tc>
      </w:tr>
      <w:tr>
        <w:trPr>
          <w:trHeight w:val="67"/>
        </w:trPr>
        <w:tc>
          <w:tcPr>
            <w:tcW w:w="446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r>
      <w:tr>
        <w:trPr>
          <w:trHeight w:val="183"/>
        </w:trPr>
        <w:tc>
          <w:tcPr>
            <w:tcW w:w="4460" w:type="dxa"/>
            <w:vAlign w:val="bottom"/>
          </w:tcPr>
          <w:p>
            <w:pPr>
              <w:ind w:left="40"/>
              <w:spacing w:after="0"/>
              <w:rPr>
                <w:sz w:val="20"/>
                <w:szCs w:val="20"/>
                <w:color w:val="auto"/>
              </w:rPr>
            </w:pPr>
            <w:r>
              <w:rPr>
                <w:rFonts w:ascii="Arial" w:cs="Arial" w:eastAsia="Arial" w:hAnsi="Arial"/>
                <w:sz w:val="11"/>
                <w:szCs w:val="11"/>
                <w:color w:val="auto"/>
              </w:rPr>
              <w:t>Customs and VAT</w:t>
            </w:r>
          </w:p>
        </w:tc>
        <w:tc>
          <w:tcPr>
            <w:tcW w:w="820" w:type="dxa"/>
            <w:vAlign w:val="bottom"/>
          </w:tcPr>
          <w:p>
            <w:pPr>
              <w:ind w:left="56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46"/>
              <w:spacing w:after="0"/>
              <w:rPr>
                <w:sz w:val="20"/>
                <w:szCs w:val="20"/>
                <w:color w:val="auto"/>
              </w:rPr>
            </w:pPr>
            <w:r>
              <w:rPr>
                <w:rFonts w:ascii="Arial" w:cs="Arial" w:eastAsia="Arial" w:hAnsi="Arial"/>
                <w:sz w:val="11"/>
                <w:szCs w:val="11"/>
                <w:color w:val="auto"/>
              </w:rPr>
              <w:t>10,000</w:t>
            </w:r>
          </w:p>
        </w:tc>
        <w:tc>
          <w:tcPr>
            <w:tcW w:w="600" w:type="dxa"/>
            <w:vAlign w:val="bottom"/>
          </w:tcPr>
          <w:p>
            <w:pPr>
              <w:ind w:left="28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25,000</w:t>
            </w:r>
          </w:p>
        </w:tc>
      </w:tr>
      <w:tr>
        <w:trPr>
          <w:trHeight w:val="67"/>
        </w:trPr>
        <w:tc>
          <w:tcPr>
            <w:tcW w:w="446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r>
    </w:tbl>
    <w:p>
      <w:pPr>
        <w:spacing w:after="0" w:line="100" w:lineRule="exact"/>
        <w:rPr>
          <w:sz w:val="20"/>
          <w:szCs w:val="20"/>
          <w:color w:val="auto"/>
        </w:rPr>
      </w:pPr>
    </w:p>
    <w:p>
      <w:pPr>
        <w:ind w:left="1980" w:right="939"/>
        <w:spacing w:after="0"/>
        <w:rPr>
          <w:sz w:val="20"/>
          <w:szCs w:val="20"/>
          <w:color w:val="auto"/>
        </w:rPr>
      </w:pPr>
      <w:r>
        <w:rPr>
          <w:rFonts w:ascii="Arial" w:cs="Arial" w:eastAsia="Arial" w:hAnsi="Arial"/>
          <w:sz w:val="11"/>
          <w:szCs w:val="11"/>
          <w:color w:val="auto"/>
        </w:rPr>
        <w:t>For additional projects that do not fall within the policies and procedures limits set forth above, those projects can be specifically pre-approved by the Audit Committee in the following manner. For individual projects with estimated fees of $75,000 or less which have not previously been pre-approved by the Audit Committee, the Chair of the Audit Committee is authorized to pre-approve such services. The Chair of the Committee reports any services which are pre-approved in this manner to the full Audit Committee at its next meeting. Any proposed additional projects with an estimated cost of more than $75,000 must be pre-approved by the full Audit Committee prior to the engagement of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60325</wp:posOffset>
            </wp:positionV>
            <wp:extent cx="3971925" cy="21717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3"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91</w:t>
      </w:r>
    </w:p>
    <w:p>
      <w:pPr>
        <w:sectPr>
          <w:pgSz w:w="11900" w:h="16838" w:orient="portrait"/>
          <w:cols w:equalWidth="0" w:num="1">
            <w:col w:w="10159"/>
          </w:cols>
          <w:pgMar w:left="300" w:top="372" w:right="1440" w:bottom="1440" w:gutter="0" w:footer="0" w:header="0"/>
        </w:sectPr>
      </w:pPr>
    </w:p>
    <w:bookmarkStart w:id="113" w:name="page114"/>
    <w:bookmarkEnd w:id="11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Voting Securities and Principal Holders Thereof</w:t>
      </w:r>
    </w:p>
    <w:p>
      <w:pPr>
        <w:spacing w:after="0" w:line="85"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Security Ownership of Certain Beneficial Owners</w:t>
      </w:r>
    </w:p>
    <w:p>
      <w:pPr>
        <w:spacing w:after="0" w:line="111" w:lineRule="exact"/>
        <w:rPr>
          <w:sz w:val="20"/>
          <w:szCs w:val="20"/>
          <w:color w:val="auto"/>
        </w:rPr>
      </w:pPr>
    </w:p>
    <w:p>
      <w:pPr>
        <w:ind w:left="1980" w:right="939"/>
        <w:spacing w:after="0" w:line="242" w:lineRule="auto"/>
        <w:rPr>
          <w:sz w:val="20"/>
          <w:szCs w:val="20"/>
          <w:color w:val="auto"/>
        </w:rPr>
      </w:pPr>
      <w:r>
        <w:rPr>
          <w:rFonts w:ascii="Arial" w:cs="Arial" w:eastAsia="Arial" w:hAnsi="Arial"/>
          <w:sz w:val="11"/>
          <w:szCs w:val="11"/>
          <w:color w:val="auto"/>
        </w:rPr>
        <w:t>The following table sets forth information, as of March 13, 2023 (except as noted), with respect to the ownership of the Common Stock (the only class of outstanding equity securities of the Company) by certain persons known by the Company to be the beneficial owners of more than 5% of such stock. There were 138,586,351 shares of Common Stock outstanding on March 13, 2023.</w:t>
      </w:r>
    </w:p>
    <w:p>
      <w:pPr>
        <w:spacing w:after="0" w:line="156" w:lineRule="exact"/>
        <w:rPr>
          <w:sz w:val="20"/>
          <w:szCs w:val="20"/>
          <w:color w:val="auto"/>
        </w:rPr>
      </w:pPr>
    </w:p>
    <w:tbl>
      <w:tblPr>
        <w:tblLayout w:type="fixed"/>
        <w:tblInd w:w="1980" w:type="dxa"/>
        <w:tblCellMar>
          <w:top w:w="0" w:type="dxa"/>
          <w:left w:w="0" w:type="dxa"/>
          <w:bottom w:w="0" w:type="dxa"/>
          <w:right w:w="0" w:type="dxa"/>
        </w:tblCellMar>
      </w:tblPr>
      <w:tr>
        <w:trPr>
          <w:trHeight w:val="160"/>
        </w:trPr>
        <w:tc>
          <w:tcPr>
            <w:tcW w:w="4600" w:type="dxa"/>
            <w:vAlign w:val="bottom"/>
            <w:shd w:val="clear" w:color="auto" w:fill="CCEBF8"/>
          </w:tcPr>
          <w:p>
            <w:pPr>
              <w:spacing w:after="0"/>
              <w:rPr>
                <w:sz w:val="13"/>
                <w:szCs w:val="13"/>
                <w:color w:val="auto"/>
              </w:rPr>
            </w:pPr>
          </w:p>
        </w:tc>
        <w:tc>
          <w:tcPr>
            <w:tcW w:w="1740" w:type="dxa"/>
            <w:vAlign w:val="bottom"/>
            <w:shd w:val="clear" w:color="auto" w:fill="CCEBF8"/>
          </w:tcPr>
          <w:p>
            <w:pPr>
              <w:jc w:val="center"/>
              <w:ind w:left="166"/>
              <w:spacing w:after="0"/>
              <w:rPr>
                <w:sz w:val="20"/>
                <w:szCs w:val="20"/>
                <w:color w:val="auto"/>
              </w:rPr>
            </w:pPr>
            <w:r>
              <w:rPr>
                <w:rFonts w:ascii="Arial" w:cs="Arial" w:eastAsia="Arial" w:hAnsi="Arial"/>
                <w:sz w:val="11"/>
                <w:szCs w:val="11"/>
                <w:b w:val="1"/>
                <w:bCs w:val="1"/>
                <w:color w:val="009BDE"/>
                <w:w w:val="97"/>
              </w:rPr>
              <w:t>Amount and Nature</w:t>
            </w:r>
          </w:p>
        </w:tc>
        <w:tc>
          <w:tcPr>
            <w:tcW w:w="1000" w:type="dxa"/>
            <w:vAlign w:val="bottom"/>
            <w:shd w:val="clear" w:color="auto" w:fill="CCEBF8"/>
          </w:tcPr>
          <w:p>
            <w:pPr>
              <w:spacing w:after="0"/>
              <w:rPr>
                <w:sz w:val="13"/>
                <w:szCs w:val="13"/>
                <w:color w:val="auto"/>
              </w:rPr>
            </w:pPr>
          </w:p>
        </w:tc>
      </w:tr>
      <w:tr>
        <w:trPr>
          <w:trHeight w:val="126"/>
        </w:trPr>
        <w:tc>
          <w:tcPr>
            <w:tcW w:w="4600" w:type="dxa"/>
            <w:vAlign w:val="bottom"/>
            <w:shd w:val="clear" w:color="auto" w:fill="CCEBF8"/>
          </w:tcPr>
          <w:p>
            <w:pPr>
              <w:spacing w:after="0"/>
              <w:rPr>
                <w:sz w:val="10"/>
                <w:szCs w:val="10"/>
                <w:color w:val="auto"/>
              </w:rPr>
            </w:pPr>
          </w:p>
        </w:tc>
        <w:tc>
          <w:tcPr>
            <w:tcW w:w="1740" w:type="dxa"/>
            <w:vAlign w:val="bottom"/>
            <w:shd w:val="clear" w:color="auto" w:fill="CCEBF8"/>
          </w:tcPr>
          <w:p>
            <w:pPr>
              <w:jc w:val="center"/>
              <w:ind w:left="166"/>
              <w:spacing w:after="0"/>
              <w:rPr>
                <w:sz w:val="20"/>
                <w:szCs w:val="20"/>
                <w:color w:val="auto"/>
              </w:rPr>
            </w:pPr>
            <w:r>
              <w:rPr>
                <w:rFonts w:ascii="Arial" w:cs="Arial" w:eastAsia="Arial" w:hAnsi="Arial"/>
                <w:sz w:val="11"/>
                <w:szCs w:val="11"/>
                <w:b w:val="1"/>
                <w:bCs w:val="1"/>
                <w:color w:val="009BDE"/>
                <w:w w:val="97"/>
              </w:rPr>
              <w:t>of Beneficial</w:t>
            </w:r>
          </w:p>
        </w:tc>
        <w:tc>
          <w:tcPr>
            <w:tcW w:w="1000" w:type="dxa"/>
            <w:vAlign w:val="bottom"/>
            <w:shd w:val="clear" w:color="auto" w:fill="CCEBF8"/>
          </w:tcPr>
          <w:p>
            <w:pPr>
              <w:jc w:val="right"/>
              <w:ind w:right="146"/>
              <w:spacing w:after="0"/>
              <w:rPr>
                <w:sz w:val="20"/>
                <w:szCs w:val="20"/>
                <w:color w:val="auto"/>
              </w:rPr>
            </w:pPr>
            <w:r>
              <w:rPr>
                <w:rFonts w:ascii="Arial" w:cs="Arial" w:eastAsia="Arial" w:hAnsi="Arial"/>
                <w:sz w:val="11"/>
                <w:szCs w:val="11"/>
                <w:b w:val="1"/>
                <w:bCs w:val="1"/>
                <w:color w:val="009BDE"/>
              </w:rPr>
              <w:t>Percent of</w:t>
            </w:r>
          </w:p>
        </w:tc>
      </w:tr>
      <w:tr>
        <w:trPr>
          <w:trHeight w:val="151"/>
        </w:trPr>
        <w:tc>
          <w:tcPr>
            <w:tcW w:w="4600" w:type="dxa"/>
            <w:vAlign w:val="bottom"/>
            <w:shd w:val="clear" w:color="auto" w:fill="CCEBF8"/>
          </w:tcPr>
          <w:p>
            <w:pPr>
              <w:ind w:left="60"/>
              <w:spacing w:after="0"/>
              <w:rPr>
                <w:sz w:val="20"/>
                <w:szCs w:val="20"/>
                <w:color w:val="auto"/>
              </w:rPr>
            </w:pPr>
            <w:r>
              <w:rPr>
                <w:rFonts w:ascii="Arial" w:cs="Arial" w:eastAsia="Arial" w:hAnsi="Arial"/>
                <w:sz w:val="11"/>
                <w:szCs w:val="11"/>
                <w:b w:val="1"/>
                <w:bCs w:val="1"/>
                <w:color w:val="009BDE"/>
              </w:rPr>
              <w:t>Name and Address of Beneficial Owner</w:t>
            </w:r>
          </w:p>
        </w:tc>
        <w:tc>
          <w:tcPr>
            <w:tcW w:w="1740" w:type="dxa"/>
            <w:vAlign w:val="bottom"/>
            <w:shd w:val="clear" w:color="auto" w:fill="CCEBF8"/>
          </w:tcPr>
          <w:p>
            <w:pPr>
              <w:jc w:val="center"/>
              <w:ind w:left="166"/>
              <w:spacing w:after="0"/>
              <w:rPr>
                <w:sz w:val="20"/>
                <w:szCs w:val="20"/>
                <w:color w:val="auto"/>
              </w:rPr>
            </w:pPr>
            <w:r>
              <w:rPr>
                <w:rFonts w:ascii="Arial" w:cs="Arial" w:eastAsia="Arial" w:hAnsi="Arial"/>
                <w:sz w:val="11"/>
                <w:szCs w:val="11"/>
                <w:b w:val="1"/>
                <w:bCs w:val="1"/>
                <w:color w:val="009BDE"/>
                <w:w w:val="98"/>
              </w:rPr>
              <w:t>Ownership</w:t>
            </w:r>
          </w:p>
        </w:tc>
        <w:tc>
          <w:tcPr>
            <w:tcW w:w="1000" w:type="dxa"/>
            <w:vAlign w:val="bottom"/>
            <w:shd w:val="clear" w:color="auto" w:fill="CCEBF8"/>
          </w:tcPr>
          <w:p>
            <w:pPr>
              <w:jc w:val="right"/>
              <w:ind w:right="266"/>
              <w:spacing w:after="0"/>
              <w:rPr>
                <w:sz w:val="20"/>
                <w:szCs w:val="20"/>
                <w:color w:val="auto"/>
              </w:rPr>
            </w:pPr>
            <w:r>
              <w:rPr>
                <w:rFonts w:ascii="Arial" w:cs="Arial" w:eastAsia="Arial" w:hAnsi="Arial"/>
                <w:sz w:val="11"/>
                <w:szCs w:val="11"/>
                <w:b w:val="1"/>
                <w:bCs w:val="1"/>
                <w:color w:val="009BDE"/>
              </w:rPr>
              <w:t>Class</w:t>
            </w:r>
          </w:p>
        </w:tc>
      </w:tr>
      <w:tr>
        <w:trPr>
          <w:trHeight w:val="85"/>
        </w:trPr>
        <w:tc>
          <w:tcPr>
            <w:tcW w:w="4600" w:type="dxa"/>
            <w:vAlign w:val="bottom"/>
            <w:tcBorders>
              <w:bottom w:val="single" w:sz="8" w:color="009BDE"/>
            </w:tcBorders>
            <w:shd w:val="clear" w:color="auto" w:fill="CCEBF8"/>
          </w:tcPr>
          <w:p>
            <w:pPr>
              <w:spacing w:after="0"/>
              <w:rPr>
                <w:sz w:val="7"/>
                <w:szCs w:val="7"/>
                <w:color w:val="auto"/>
              </w:rPr>
            </w:pPr>
          </w:p>
        </w:tc>
        <w:tc>
          <w:tcPr>
            <w:tcW w:w="1740" w:type="dxa"/>
            <w:vAlign w:val="bottom"/>
            <w:tcBorders>
              <w:bottom w:val="single" w:sz="8" w:color="009BDE"/>
            </w:tcBorders>
            <w:shd w:val="clear" w:color="auto" w:fill="CCEBF8"/>
          </w:tcPr>
          <w:p>
            <w:pPr>
              <w:spacing w:after="0"/>
              <w:rPr>
                <w:sz w:val="7"/>
                <w:szCs w:val="7"/>
                <w:color w:val="auto"/>
              </w:rPr>
            </w:pPr>
          </w:p>
        </w:tc>
        <w:tc>
          <w:tcPr>
            <w:tcW w:w="1000" w:type="dxa"/>
            <w:vAlign w:val="bottom"/>
            <w:tcBorders>
              <w:bottom w:val="single" w:sz="8" w:color="009BDE"/>
            </w:tcBorders>
            <w:shd w:val="clear" w:color="auto" w:fill="CCEBF8"/>
          </w:tcPr>
          <w:p>
            <w:pPr>
              <w:spacing w:after="0"/>
              <w:rPr>
                <w:sz w:val="7"/>
                <w:szCs w:val="7"/>
                <w:color w:val="auto"/>
              </w:rPr>
            </w:pPr>
          </w:p>
        </w:tc>
      </w:tr>
      <w:tr>
        <w:trPr>
          <w:trHeight w:val="179"/>
        </w:trPr>
        <w:tc>
          <w:tcPr>
            <w:tcW w:w="4600" w:type="dxa"/>
            <w:vAlign w:val="bottom"/>
          </w:tcPr>
          <w:p>
            <w:pPr>
              <w:ind w:left="40"/>
              <w:spacing w:after="0"/>
              <w:rPr>
                <w:sz w:val="20"/>
                <w:szCs w:val="20"/>
                <w:color w:val="auto"/>
              </w:rPr>
            </w:pPr>
            <w:r>
              <w:rPr>
                <w:rFonts w:ascii="Arial" w:cs="Arial" w:eastAsia="Arial" w:hAnsi="Arial"/>
                <w:sz w:val="11"/>
                <w:szCs w:val="11"/>
                <w:color w:val="auto"/>
              </w:rPr>
              <w:t>The Vanguard Group (“Vanguard”)(1)</w:t>
            </w:r>
          </w:p>
        </w:tc>
        <w:tc>
          <w:tcPr>
            <w:tcW w:w="1740" w:type="dxa"/>
            <w:vAlign w:val="bottom"/>
          </w:tcPr>
          <w:p>
            <w:pPr>
              <w:jc w:val="right"/>
              <w:ind w:right="326"/>
              <w:spacing w:after="0"/>
              <w:rPr>
                <w:sz w:val="20"/>
                <w:szCs w:val="20"/>
                <w:color w:val="auto"/>
              </w:rPr>
            </w:pPr>
            <w:r>
              <w:rPr>
                <w:rFonts w:ascii="Arial" w:cs="Arial" w:eastAsia="Arial" w:hAnsi="Arial"/>
                <w:sz w:val="11"/>
                <w:szCs w:val="11"/>
                <w:color w:val="auto"/>
              </w:rPr>
              <w:t>15,295,506</w:t>
            </w:r>
          </w:p>
        </w:tc>
        <w:tc>
          <w:tcPr>
            <w:tcW w:w="1000" w:type="dxa"/>
            <w:vAlign w:val="bottom"/>
          </w:tcPr>
          <w:p>
            <w:pPr>
              <w:jc w:val="right"/>
              <w:spacing w:after="0"/>
              <w:rPr>
                <w:sz w:val="20"/>
                <w:szCs w:val="20"/>
                <w:color w:val="auto"/>
              </w:rPr>
            </w:pPr>
            <w:r>
              <w:rPr>
                <w:rFonts w:ascii="Arial" w:cs="Arial" w:eastAsia="Arial" w:hAnsi="Arial"/>
                <w:sz w:val="11"/>
                <w:szCs w:val="11"/>
                <w:color w:val="auto"/>
              </w:rPr>
              <w:t>11.1%</w:t>
            </w:r>
          </w:p>
        </w:tc>
      </w:tr>
      <w:tr>
        <w:trPr>
          <w:trHeight w:val="126"/>
        </w:trPr>
        <w:tc>
          <w:tcPr>
            <w:tcW w:w="4600" w:type="dxa"/>
            <w:vAlign w:val="bottom"/>
          </w:tcPr>
          <w:p>
            <w:pPr>
              <w:ind w:left="40"/>
              <w:spacing w:after="0"/>
              <w:rPr>
                <w:sz w:val="20"/>
                <w:szCs w:val="20"/>
                <w:color w:val="auto"/>
              </w:rPr>
            </w:pPr>
            <w:r>
              <w:rPr>
                <w:rFonts w:ascii="Arial" w:cs="Arial" w:eastAsia="Arial" w:hAnsi="Arial"/>
                <w:sz w:val="11"/>
                <w:szCs w:val="11"/>
                <w:color w:val="auto"/>
              </w:rPr>
              <w:t>100 Vanguard Boulevard</w:t>
            </w:r>
          </w:p>
        </w:tc>
        <w:tc>
          <w:tcPr>
            <w:tcW w:w="174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30"/>
        </w:trPr>
        <w:tc>
          <w:tcPr>
            <w:tcW w:w="4600" w:type="dxa"/>
            <w:vAlign w:val="bottom"/>
          </w:tcPr>
          <w:p>
            <w:pPr>
              <w:ind w:left="40"/>
              <w:spacing w:after="0"/>
              <w:rPr>
                <w:sz w:val="20"/>
                <w:szCs w:val="20"/>
                <w:color w:val="auto"/>
              </w:rPr>
            </w:pPr>
            <w:r>
              <w:rPr>
                <w:rFonts w:ascii="Arial" w:cs="Arial" w:eastAsia="Arial" w:hAnsi="Arial"/>
                <w:sz w:val="11"/>
                <w:szCs w:val="11"/>
                <w:color w:val="auto"/>
              </w:rPr>
              <w:t>Malvern, Pennsylvania 19355</w:t>
            </w:r>
          </w:p>
        </w:tc>
        <w:tc>
          <w:tcPr>
            <w:tcW w:w="17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76"/>
        </w:trPr>
        <w:tc>
          <w:tcPr>
            <w:tcW w:w="4600" w:type="dxa"/>
            <w:vAlign w:val="bottom"/>
            <w:tcBorders>
              <w:bottom w:val="single" w:sz="8" w:color="009BDE"/>
            </w:tcBorders>
          </w:tcPr>
          <w:p>
            <w:pPr>
              <w:spacing w:after="0"/>
              <w:rPr>
                <w:sz w:val="6"/>
                <w:szCs w:val="6"/>
                <w:color w:val="auto"/>
              </w:rPr>
            </w:pPr>
          </w:p>
        </w:tc>
        <w:tc>
          <w:tcPr>
            <w:tcW w:w="1740" w:type="dxa"/>
            <w:vAlign w:val="bottom"/>
            <w:tcBorders>
              <w:bottom w:val="single" w:sz="8" w:color="009BDE"/>
            </w:tcBorders>
          </w:tcPr>
          <w:p>
            <w:pPr>
              <w:spacing w:after="0"/>
              <w:rPr>
                <w:sz w:val="6"/>
                <w:szCs w:val="6"/>
                <w:color w:val="auto"/>
              </w:rPr>
            </w:pPr>
          </w:p>
        </w:tc>
        <w:tc>
          <w:tcPr>
            <w:tcW w:w="1000" w:type="dxa"/>
            <w:vAlign w:val="bottom"/>
            <w:tcBorders>
              <w:bottom w:val="single" w:sz="8" w:color="009BDE"/>
            </w:tcBorders>
          </w:tcPr>
          <w:p>
            <w:pPr>
              <w:spacing w:after="0"/>
              <w:rPr>
                <w:sz w:val="6"/>
                <w:szCs w:val="6"/>
                <w:color w:val="auto"/>
              </w:rPr>
            </w:pPr>
          </w:p>
        </w:tc>
      </w:tr>
      <w:tr>
        <w:trPr>
          <w:trHeight w:val="177"/>
        </w:trPr>
        <w:tc>
          <w:tcPr>
            <w:tcW w:w="4600" w:type="dxa"/>
            <w:vAlign w:val="bottom"/>
          </w:tcPr>
          <w:p>
            <w:pPr>
              <w:ind w:left="40"/>
              <w:spacing w:after="0"/>
              <w:rPr>
                <w:sz w:val="20"/>
                <w:szCs w:val="20"/>
                <w:color w:val="auto"/>
              </w:rPr>
            </w:pPr>
            <w:r>
              <w:rPr>
                <w:rFonts w:ascii="Arial" w:cs="Arial" w:eastAsia="Arial" w:hAnsi="Arial"/>
                <w:sz w:val="11"/>
                <w:szCs w:val="11"/>
                <w:color w:val="auto"/>
              </w:rPr>
              <w:t>BlackRock, Inc. (“BlackRock”)(2)</w:t>
            </w:r>
          </w:p>
        </w:tc>
        <w:tc>
          <w:tcPr>
            <w:tcW w:w="1740" w:type="dxa"/>
            <w:vAlign w:val="bottom"/>
          </w:tcPr>
          <w:p>
            <w:pPr>
              <w:jc w:val="right"/>
              <w:ind w:right="326"/>
              <w:spacing w:after="0"/>
              <w:rPr>
                <w:sz w:val="20"/>
                <w:szCs w:val="20"/>
                <w:color w:val="auto"/>
              </w:rPr>
            </w:pPr>
            <w:r>
              <w:rPr>
                <w:rFonts w:ascii="Arial" w:cs="Arial" w:eastAsia="Arial" w:hAnsi="Arial"/>
                <w:sz w:val="11"/>
                <w:szCs w:val="11"/>
                <w:color w:val="auto"/>
              </w:rPr>
              <w:t>12,934,376</w:t>
            </w:r>
          </w:p>
        </w:tc>
        <w:tc>
          <w:tcPr>
            <w:tcW w:w="1000" w:type="dxa"/>
            <w:vAlign w:val="bottom"/>
          </w:tcPr>
          <w:p>
            <w:pPr>
              <w:jc w:val="right"/>
              <w:spacing w:after="0"/>
              <w:rPr>
                <w:sz w:val="20"/>
                <w:szCs w:val="20"/>
                <w:color w:val="auto"/>
              </w:rPr>
            </w:pPr>
            <w:r>
              <w:rPr>
                <w:rFonts w:ascii="Arial" w:cs="Arial" w:eastAsia="Arial" w:hAnsi="Arial"/>
                <w:sz w:val="11"/>
                <w:szCs w:val="11"/>
                <w:color w:val="auto"/>
              </w:rPr>
              <w:t>9.3%</w:t>
            </w:r>
          </w:p>
        </w:tc>
      </w:tr>
      <w:tr>
        <w:trPr>
          <w:trHeight w:val="129"/>
        </w:trPr>
        <w:tc>
          <w:tcPr>
            <w:tcW w:w="4600" w:type="dxa"/>
            <w:vAlign w:val="bottom"/>
          </w:tcPr>
          <w:p>
            <w:pPr>
              <w:ind w:left="40"/>
              <w:spacing w:after="0" w:line="129" w:lineRule="exact"/>
              <w:rPr>
                <w:sz w:val="20"/>
                <w:szCs w:val="20"/>
                <w:color w:val="auto"/>
              </w:rPr>
            </w:pPr>
            <w:r>
              <w:rPr>
                <w:rFonts w:ascii="Arial" w:cs="Arial" w:eastAsia="Arial" w:hAnsi="Arial"/>
                <w:sz w:val="10"/>
                <w:szCs w:val="10"/>
                <w:color w:val="auto"/>
              </w:rPr>
              <w:t>55 East 52</w:t>
            </w:r>
            <w:r>
              <w:rPr>
                <w:rFonts w:ascii="Arial" w:cs="Arial" w:eastAsia="Arial" w:hAnsi="Arial"/>
                <w:sz w:val="14"/>
                <w:szCs w:val="14"/>
                <w:color w:val="auto"/>
                <w:vertAlign w:val="superscript"/>
              </w:rPr>
              <w:t>nd</w:t>
            </w:r>
            <w:r>
              <w:rPr>
                <w:rFonts w:ascii="Arial" w:cs="Arial" w:eastAsia="Arial" w:hAnsi="Arial"/>
                <w:sz w:val="10"/>
                <w:szCs w:val="10"/>
                <w:color w:val="auto"/>
              </w:rPr>
              <w:t xml:space="preserve"> Street</w:t>
            </w:r>
          </w:p>
        </w:tc>
        <w:tc>
          <w:tcPr>
            <w:tcW w:w="17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0"/>
        </w:trPr>
        <w:tc>
          <w:tcPr>
            <w:tcW w:w="4600" w:type="dxa"/>
            <w:vAlign w:val="bottom"/>
          </w:tcPr>
          <w:p>
            <w:pPr>
              <w:ind w:left="40"/>
              <w:spacing w:after="0"/>
              <w:rPr>
                <w:sz w:val="20"/>
                <w:szCs w:val="20"/>
                <w:color w:val="auto"/>
              </w:rPr>
            </w:pPr>
            <w:r>
              <w:rPr>
                <w:rFonts w:ascii="Arial" w:cs="Arial" w:eastAsia="Arial" w:hAnsi="Arial"/>
                <w:sz w:val="11"/>
                <w:szCs w:val="11"/>
                <w:color w:val="auto"/>
              </w:rPr>
              <w:t>New York, New York 10055</w:t>
            </w:r>
          </w:p>
        </w:tc>
        <w:tc>
          <w:tcPr>
            <w:tcW w:w="17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76"/>
        </w:trPr>
        <w:tc>
          <w:tcPr>
            <w:tcW w:w="4600" w:type="dxa"/>
            <w:vAlign w:val="bottom"/>
            <w:tcBorders>
              <w:bottom w:val="single" w:sz="8" w:color="009BDE"/>
            </w:tcBorders>
          </w:tcPr>
          <w:p>
            <w:pPr>
              <w:spacing w:after="0"/>
              <w:rPr>
                <w:sz w:val="6"/>
                <w:szCs w:val="6"/>
                <w:color w:val="auto"/>
              </w:rPr>
            </w:pPr>
          </w:p>
        </w:tc>
        <w:tc>
          <w:tcPr>
            <w:tcW w:w="1740" w:type="dxa"/>
            <w:vAlign w:val="bottom"/>
            <w:tcBorders>
              <w:bottom w:val="single" w:sz="8" w:color="009BDE"/>
            </w:tcBorders>
          </w:tcPr>
          <w:p>
            <w:pPr>
              <w:spacing w:after="0"/>
              <w:rPr>
                <w:sz w:val="6"/>
                <w:szCs w:val="6"/>
                <w:color w:val="auto"/>
              </w:rPr>
            </w:pPr>
          </w:p>
        </w:tc>
        <w:tc>
          <w:tcPr>
            <w:tcW w:w="1000" w:type="dxa"/>
            <w:vAlign w:val="bottom"/>
            <w:tcBorders>
              <w:bottom w:val="single" w:sz="8" w:color="009BDE"/>
            </w:tcBorders>
          </w:tcPr>
          <w:p>
            <w:pPr>
              <w:spacing w:after="0"/>
              <w:rPr>
                <w:sz w:val="6"/>
                <w:szCs w:val="6"/>
                <w:color w:val="auto"/>
              </w:rPr>
            </w:pPr>
          </w:p>
        </w:tc>
      </w:tr>
      <w:tr>
        <w:trPr>
          <w:trHeight w:val="179"/>
        </w:trPr>
        <w:tc>
          <w:tcPr>
            <w:tcW w:w="4600" w:type="dxa"/>
            <w:vAlign w:val="bottom"/>
          </w:tcPr>
          <w:p>
            <w:pPr>
              <w:ind w:left="40"/>
              <w:spacing w:after="0"/>
              <w:rPr>
                <w:sz w:val="20"/>
                <w:szCs w:val="20"/>
                <w:color w:val="auto"/>
              </w:rPr>
            </w:pPr>
            <w:r>
              <w:rPr>
                <w:rFonts w:ascii="Arial" w:cs="Arial" w:eastAsia="Arial" w:hAnsi="Arial"/>
                <w:sz w:val="11"/>
                <w:szCs w:val="11"/>
                <w:color w:val="auto"/>
              </w:rPr>
              <w:t>Alan G. Hassenfeld(3)</w:t>
            </w:r>
          </w:p>
        </w:tc>
        <w:tc>
          <w:tcPr>
            <w:tcW w:w="1740" w:type="dxa"/>
            <w:vAlign w:val="bottom"/>
          </w:tcPr>
          <w:p>
            <w:pPr>
              <w:jc w:val="right"/>
              <w:ind w:right="326"/>
              <w:spacing w:after="0"/>
              <w:rPr>
                <w:sz w:val="20"/>
                <w:szCs w:val="20"/>
                <w:color w:val="auto"/>
              </w:rPr>
            </w:pPr>
            <w:r>
              <w:rPr>
                <w:rFonts w:ascii="Arial" w:cs="Arial" w:eastAsia="Arial" w:hAnsi="Arial"/>
                <w:sz w:val="11"/>
                <w:szCs w:val="11"/>
                <w:color w:val="auto"/>
              </w:rPr>
              <w:t>7,558,726</w:t>
            </w:r>
          </w:p>
        </w:tc>
        <w:tc>
          <w:tcPr>
            <w:tcW w:w="1000" w:type="dxa"/>
            <w:vAlign w:val="bottom"/>
          </w:tcPr>
          <w:p>
            <w:pPr>
              <w:jc w:val="right"/>
              <w:spacing w:after="0"/>
              <w:rPr>
                <w:sz w:val="20"/>
                <w:szCs w:val="20"/>
                <w:color w:val="auto"/>
              </w:rPr>
            </w:pPr>
            <w:r>
              <w:rPr>
                <w:rFonts w:ascii="Arial" w:cs="Arial" w:eastAsia="Arial" w:hAnsi="Arial"/>
                <w:sz w:val="11"/>
                <w:szCs w:val="11"/>
                <w:color w:val="auto"/>
              </w:rPr>
              <w:t>5.5%</w:t>
            </w:r>
          </w:p>
        </w:tc>
      </w:tr>
      <w:tr>
        <w:trPr>
          <w:trHeight w:val="126"/>
        </w:trPr>
        <w:tc>
          <w:tcPr>
            <w:tcW w:w="4600" w:type="dxa"/>
            <w:vAlign w:val="bottom"/>
          </w:tcPr>
          <w:p>
            <w:pPr>
              <w:ind w:left="40"/>
              <w:spacing w:after="0"/>
              <w:rPr>
                <w:sz w:val="20"/>
                <w:szCs w:val="20"/>
                <w:color w:val="auto"/>
              </w:rPr>
            </w:pPr>
            <w:r>
              <w:rPr>
                <w:rFonts w:ascii="Arial" w:cs="Arial" w:eastAsia="Arial" w:hAnsi="Arial"/>
                <w:sz w:val="11"/>
                <w:szCs w:val="11"/>
                <w:color w:val="auto"/>
              </w:rPr>
              <w:t>Hassenfeld Family Initiatives LLC</w:t>
            </w:r>
          </w:p>
        </w:tc>
        <w:tc>
          <w:tcPr>
            <w:tcW w:w="174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26"/>
        </w:trPr>
        <w:tc>
          <w:tcPr>
            <w:tcW w:w="4600" w:type="dxa"/>
            <w:vAlign w:val="bottom"/>
          </w:tcPr>
          <w:p>
            <w:pPr>
              <w:ind w:left="40"/>
              <w:spacing w:after="0"/>
              <w:rPr>
                <w:sz w:val="20"/>
                <w:szCs w:val="20"/>
                <w:color w:val="auto"/>
              </w:rPr>
            </w:pPr>
            <w:r>
              <w:rPr>
                <w:rFonts w:ascii="Arial" w:cs="Arial" w:eastAsia="Arial" w:hAnsi="Arial"/>
                <w:sz w:val="11"/>
                <w:szCs w:val="11"/>
                <w:color w:val="auto"/>
              </w:rPr>
              <w:t>101 Dyer Street, Suite 401</w:t>
            </w:r>
          </w:p>
        </w:tc>
        <w:tc>
          <w:tcPr>
            <w:tcW w:w="174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30"/>
        </w:trPr>
        <w:tc>
          <w:tcPr>
            <w:tcW w:w="4600" w:type="dxa"/>
            <w:vAlign w:val="bottom"/>
          </w:tcPr>
          <w:p>
            <w:pPr>
              <w:ind w:left="40"/>
              <w:spacing w:after="0"/>
              <w:rPr>
                <w:sz w:val="20"/>
                <w:szCs w:val="20"/>
                <w:color w:val="auto"/>
              </w:rPr>
            </w:pPr>
            <w:r>
              <w:rPr>
                <w:rFonts w:ascii="Arial" w:cs="Arial" w:eastAsia="Arial" w:hAnsi="Arial"/>
                <w:sz w:val="11"/>
                <w:szCs w:val="11"/>
                <w:color w:val="auto"/>
              </w:rPr>
              <w:t>Providence, Rhode Island 02903</w:t>
            </w:r>
          </w:p>
        </w:tc>
        <w:tc>
          <w:tcPr>
            <w:tcW w:w="1740" w:type="dxa"/>
            <w:vAlign w:val="bottom"/>
          </w:tcPr>
          <w:p>
            <w:pPr>
              <w:spacing w:after="0"/>
              <w:rPr>
                <w:sz w:val="11"/>
                <w:szCs w:val="11"/>
                <w:color w:val="auto"/>
              </w:rPr>
            </w:pPr>
          </w:p>
        </w:tc>
        <w:tc>
          <w:tcPr>
            <w:tcW w:w="10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48260</wp:posOffset>
            </wp:positionV>
            <wp:extent cx="4663440" cy="571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22" w:lineRule="exact"/>
        <w:rPr>
          <w:sz w:val="20"/>
          <w:szCs w:val="20"/>
          <w:color w:val="auto"/>
        </w:rPr>
      </w:pPr>
    </w:p>
    <w:p>
      <w:pPr>
        <w:ind w:left="2260" w:right="919" w:hanging="288"/>
        <w:spacing w:after="0" w:line="230" w:lineRule="auto"/>
        <w:tabs>
          <w:tab w:leader="none" w:pos="2260" w:val="left"/>
        </w:tabs>
        <w:numPr>
          <w:ilvl w:val="0"/>
          <w:numId w:val="73"/>
        </w:numPr>
        <w:rPr>
          <w:rFonts w:ascii="Arial" w:cs="Arial" w:eastAsia="Arial" w:hAnsi="Arial"/>
          <w:sz w:val="10"/>
          <w:szCs w:val="10"/>
          <w:color w:val="auto"/>
        </w:rPr>
      </w:pPr>
      <w:r>
        <w:rPr>
          <w:rFonts w:ascii="Arial" w:cs="Arial" w:eastAsia="Arial" w:hAnsi="Arial"/>
          <w:sz w:val="10"/>
          <w:szCs w:val="10"/>
          <w:color w:val="auto"/>
        </w:rPr>
        <w:t>Includes 179,922 shares over which Vanguard shares voting power, 14,746,780 shares over which Vanguard has sole power to dispose or direct the disposition, and 548,726 shares over which Vanguard shares the power to dispose or direct the disposition. This information is based solely upon a review of the Schedule 13G reports or related amendments filed with the SEC with respect to holdings of the Company’s Common Stock as of December 31, 2022.</w:t>
      </w:r>
    </w:p>
    <w:p>
      <w:pPr>
        <w:spacing w:after="0" w:line="47" w:lineRule="exact"/>
        <w:rPr>
          <w:rFonts w:ascii="Arial" w:cs="Arial" w:eastAsia="Arial" w:hAnsi="Arial"/>
          <w:sz w:val="10"/>
          <w:szCs w:val="10"/>
          <w:color w:val="auto"/>
        </w:rPr>
      </w:pPr>
    </w:p>
    <w:p>
      <w:pPr>
        <w:ind w:left="2260" w:right="899" w:hanging="288"/>
        <w:spacing w:after="0" w:line="230" w:lineRule="auto"/>
        <w:tabs>
          <w:tab w:leader="none" w:pos="2260" w:val="left"/>
        </w:tabs>
        <w:numPr>
          <w:ilvl w:val="0"/>
          <w:numId w:val="73"/>
        </w:numPr>
        <w:rPr>
          <w:rFonts w:ascii="Arial" w:cs="Arial" w:eastAsia="Arial" w:hAnsi="Arial"/>
          <w:sz w:val="10"/>
          <w:szCs w:val="10"/>
          <w:color w:val="auto"/>
        </w:rPr>
      </w:pPr>
      <w:r>
        <w:rPr>
          <w:rFonts w:ascii="Arial" w:cs="Arial" w:eastAsia="Arial" w:hAnsi="Arial"/>
          <w:sz w:val="10"/>
          <w:szCs w:val="10"/>
          <w:color w:val="auto"/>
        </w:rPr>
        <w:t>BlackRock has sole power to vote or to direct the vote of 11,829,873 shares and sole power to dispose or direct the disposition of all 12,934,376 shares. This information is based solely upon a review of the Schedule 13G reports or related amendments filed with the SEC with respect to holdings of the Company’s Common Stock as of December 31, 2022.</w:t>
      </w:r>
    </w:p>
    <w:p>
      <w:pPr>
        <w:spacing w:after="0" w:line="47" w:lineRule="exact"/>
        <w:rPr>
          <w:rFonts w:ascii="Arial" w:cs="Arial" w:eastAsia="Arial" w:hAnsi="Arial"/>
          <w:sz w:val="10"/>
          <w:szCs w:val="10"/>
          <w:color w:val="auto"/>
        </w:rPr>
      </w:pPr>
    </w:p>
    <w:p>
      <w:pPr>
        <w:ind w:left="2260" w:right="999" w:hanging="288"/>
        <w:spacing w:after="0" w:line="301" w:lineRule="auto"/>
        <w:tabs>
          <w:tab w:leader="none" w:pos="2260" w:val="left"/>
        </w:tabs>
        <w:numPr>
          <w:ilvl w:val="0"/>
          <w:numId w:val="73"/>
        </w:numPr>
        <w:rPr>
          <w:rFonts w:ascii="Arial" w:cs="Arial" w:eastAsia="Arial" w:hAnsi="Arial"/>
          <w:sz w:val="8"/>
          <w:szCs w:val="8"/>
          <w:color w:val="auto"/>
        </w:rPr>
      </w:pPr>
      <w:r>
        <w:rPr>
          <w:rFonts w:ascii="Arial" w:cs="Arial" w:eastAsia="Arial" w:hAnsi="Arial"/>
          <w:sz w:val="8"/>
          <w:szCs w:val="8"/>
          <w:color w:val="auto"/>
        </w:rPr>
        <w:t>Includes 2,157,831 shares held as one of the trustees of trusts for the benefit of family members and/or Mr. Hassenfeld, 5,023,585 shares held as sole trustee of trusts for Mr. Hassenfeld’s benefit and 4,619 shares held directly by Mr. Hassenfeld. Also includes 372,691 shares owned by The Hassenfeld Foundation, of which Mr. Hassenfeld is an officer and one of the directors. Mr. Hassenfeld disclaims beneficial ownership of all shares except to the extent of his proportionate pecuniary interest therein. This information is based upon information furnished by the shareholder or contained in filings made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41910</wp:posOffset>
            </wp:positionV>
            <wp:extent cx="3971925" cy="21717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04"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92</w:t>
      </w:r>
    </w:p>
    <w:p>
      <w:pPr>
        <w:sectPr>
          <w:pgSz w:w="11900" w:h="16838" w:orient="portrait"/>
          <w:cols w:equalWidth="0" w:num="1">
            <w:col w:w="10159"/>
          </w:cols>
          <w:pgMar w:left="300" w:top="372" w:right="1440" w:bottom="1440" w:gutter="0" w:footer="0" w:header="0"/>
        </w:sectPr>
      </w:pPr>
    </w:p>
    <w:bookmarkStart w:id="114" w:name="page115"/>
    <w:bookmarkEnd w:id="11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Ownership of Management</w:t>
      </w:r>
    </w:p>
    <w:p>
      <w:pPr>
        <w:spacing w:after="0" w:line="111" w:lineRule="exact"/>
        <w:rPr>
          <w:sz w:val="20"/>
          <w:szCs w:val="20"/>
          <w:color w:val="auto"/>
        </w:rPr>
      </w:pPr>
    </w:p>
    <w:p>
      <w:pPr>
        <w:jc w:val="both"/>
        <w:ind w:left="1980" w:right="899"/>
        <w:spacing w:after="0" w:line="241" w:lineRule="auto"/>
        <w:rPr>
          <w:sz w:val="20"/>
          <w:szCs w:val="20"/>
          <w:color w:val="auto"/>
        </w:rPr>
      </w:pPr>
      <w:r>
        <w:rPr>
          <w:rFonts w:ascii="Arial" w:cs="Arial" w:eastAsia="Arial" w:hAnsi="Arial"/>
          <w:sz w:val="11"/>
          <w:szCs w:val="11"/>
          <w:color w:val="auto"/>
        </w:rPr>
        <w:t>The following table sets forth information, as of March 13, 2023, with respect to the ownership of the Common Stock (the only class of outstanding equity securities of the Company) by each current director of the Company or nominee proposed by the Board for election to the Board, each Named Executive Officer and by all directors and executive officers as a group. Unless otherwise indicated, each person has sole voting and dispositive power with respect to such shares.</w:t>
      </w:r>
    </w:p>
    <w:p>
      <w:pPr>
        <w:spacing w:after="0" w:line="157" w:lineRule="exact"/>
        <w:rPr>
          <w:sz w:val="20"/>
          <w:szCs w:val="20"/>
          <w:color w:val="auto"/>
        </w:rPr>
      </w:pPr>
    </w:p>
    <w:tbl>
      <w:tblPr>
        <w:tblLayout w:type="fixed"/>
        <w:tblInd w:w="1980" w:type="dxa"/>
        <w:tblCellMar>
          <w:top w:w="0" w:type="dxa"/>
          <w:left w:w="0" w:type="dxa"/>
          <w:bottom w:w="0" w:type="dxa"/>
          <w:right w:w="0" w:type="dxa"/>
        </w:tblCellMar>
      </w:tblPr>
      <w:tr>
        <w:trPr>
          <w:trHeight w:val="160"/>
        </w:trPr>
        <w:tc>
          <w:tcPr>
            <w:tcW w:w="4880" w:type="dxa"/>
            <w:vAlign w:val="bottom"/>
            <w:shd w:val="clear" w:color="auto" w:fill="CCEBF8"/>
          </w:tcPr>
          <w:p>
            <w:pPr>
              <w:spacing w:after="0"/>
              <w:rPr>
                <w:sz w:val="13"/>
                <w:szCs w:val="13"/>
                <w:color w:val="auto"/>
              </w:rPr>
            </w:pPr>
          </w:p>
        </w:tc>
        <w:tc>
          <w:tcPr>
            <w:tcW w:w="1480" w:type="dxa"/>
            <w:vAlign w:val="bottom"/>
            <w:shd w:val="clear" w:color="auto" w:fill="CCEBF8"/>
          </w:tcPr>
          <w:p>
            <w:pPr>
              <w:jc w:val="center"/>
              <w:ind w:left="166"/>
              <w:spacing w:after="0"/>
              <w:rPr>
                <w:sz w:val="20"/>
                <w:szCs w:val="20"/>
                <w:color w:val="auto"/>
              </w:rPr>
            </w:pPr>
            <w:r>
              <w:rPr>
                <w:rFonts w:ascii="Arial" w:cs="Arial" w:eastAsia="Arial" w:hAnsi="Arial"/>
                <w:sz w:val="11"/>
                <w:szCs w:val="11"/>
                <w:b w:val="1"/>
                <w:bCs w:val="1"/>
                <w:color w:val="009BDE"/>
                <w:w w:val="96"/>
              </w:rPr>
              <w:t>Amount and</w:t>
            </w:r>
          </w:p>
        </w:tc>
        <w:tc>
          <w:tcPr>
            <w:tcW w:w="980" w:type="dxa"/>
            <w:vAlign w:val="bottom"/>
            <w:shd w:val="clear" w:color="auto" w:fill="CCEBF8"/>
          </w:tcPr>
          <w:p>
            <w:pPr>
              <w:spacing w:after="0"/>
              <w:rPr>
                <w:sz w:val="13"/>
                <w:szCs w:val="13"/>
                <w:color w:val="auto"/>
              </w:rPr>
            </w:pPr>
          </w:p>
        </w:tc>
      </w:tr>
      <w:tr>
        <w:trPr>
          <w:trHeight w:val="126"/>
        </w:trPr>
        <w:tc>
          <w:tcPr>
            <w:tcW w:w="4880" w:type="dxa"/>
            <w:vAlign w:val="bottom"/>
            <w:shd w:val="clear" w:color="auto" w:fill="CCEBF8"/>
          </w:tcPr>
          <w:p>
            <w:pPr>
              <w:spacing w:after="0"/>
              <w:rPr>
                <w:sz w:val="10"/>
                <w:szCs w:val="10"/>
                <w:color w:val="auto"/>
              </w:rPr>
            </w:pPr>
          </w:p>
        </w:tc>
        <w:tc>
          <w:tcPr>
            <w:tcW w:w="1480" w:type="dxa"/>
            <w:vAlign w:val="bottom"/>
            <w:shd w:val="clear" w:color="auto" w:fill="CCEBF8"/>
          </w:tcPr>
          <w:p>
            <w:pPr>
              <w:jc w:val="center"/>
              <w:ind w:left="166"/>
              <w:spacing w:after="0"/>
              <w:rPr>
                <w:sz w:val="20"/>
                <w:szCs w:val="20"/>
                <w:color w:val="auto"/>
              </w:rPr>
            </w:pPr>
            <w:r>
              <w:rPr>
                <w:rFonts w:ascii="Arial" w:cs="Arial" w:eastAsia="Arial" w:hAnsi="Arial"/>
                <w:sz w:val="11"/>
                <w:szCs w:val="11"/>
                <w:b w:val="1"/>
                <w:bCs w:val="1"/>
                <w:color w:val="009BDE"/>
                <w:w w:val="95"/>
              </w:rPr>
              <w:t>Nature of</w:t>
            </w:r>
          </w:p>
        </w:tc>
        <w:tc>
          <w:tcPr>
            <w:tcW w:w="980" w:type="dxa"/>
            <w:vAlign w:val="bottom"/>
            <w:shd w:val="clear" w:color="auto" w:fill="CCEBF8"/>
          </w:tcPr>
          <w:p>
            <w:pPr>
              <w:spacing w:after="0"/>
              <w:rPr>
                <w:sz w:val="10"/>
                <w:szCs w:val="10"/>
                <w:color w:val="auto"/>
              </w:rPr>
            </w:pPr>
          </w:p>
        </w:tc>
      </w:tr>
      <w:tr>
        <w:trPr>
          <w:trHeight w:val="126"/>
        </w:trPr>
        <w:tc>
          <w:tcPr>
            <w:tcW w:w="4880" w:type="dxa"/>
            <w:vAlign w:val="bottom"/>
            <w:shd w:val="clear" w:color="auto" w:fill="CCEBF8"/>
          </w:tcPr>
          <w:p>
            <w:pPr>
              <w:spacing w:after="0"/>
              <w:rPr>
                <w:sz w:val="10"/>
                <w:szCs w:val="10"/>
                <w:color w:val="auto"/>
              </w:rPr>
            </w:pPr>
          </w:p>
        </w:tc>
        <w:tc>
          <w:tcPr>
            <w:tcW w:w="1480" w:type="dxa"/>
            <w:vAlign w:val="bottom"/>
            <w:shd w:val="clear" w:color="auto" w:fill="CCEBF8"/>
          </w:tcPr>
          <w:p>
            <w:pPr>
              <w:jc w:val="center"/>
              <w:ind w:left="166"/>
              <w:spacing w:after="0"/>
              <w:rPr>
                <w:sz w:val="20"/>
                <w:szCs w:val="20"/>
                <w:color w:val="auto"/>
              </w:rPr>
            </w:pPr>
            <w:r>
              <w:rPr>
                <w:rFonts w:ascii="Arial" w:cs="Arial" w:eastAsia="Arial" w:hAnsi="Arial"/>
                <w:sz w:val="11"/>
                <w:szCs w:val="11"/>
                <w:b w:val="1"/>
                <w:bCs w:val="1"/>
                <w:color w:val="009BDE"/>
                <w:w w:val="96"/>
              </w:rPr>
              <w:t>Beneficial</w:t>
            </w:r>
          </w:p>
        </w:tc>
        <w:tc>
          <w:tcPr>
            <w:tcW w:w="980" w:type="dxa"/>
            <w:vAlign w:val="bottom"/>
            <w:shd w:val="clear" w:color="auto" w:fill="CCEBF8"/>
          </w:tcPr>
          <w:p>
            <w:pPr>
              <w:jc w:val="right"/>
              <w:ind w:right="166"/>
              <w:spacing w:after="0"/>
              <w:rPr>
                <w:sz w:val="20"/>
                <w:szCs w:val="20"/>
                <w:color w:val="auto"/>
              </w:rPr>
            </w:pPr>
            <w:r>
              <w:rPr>
                <w:rFonts w:ascii="Arial" w:cs="Arial" w:eastAsia="Arial" w:hAnsi="Arial"/>
                <w:sz w:val="11"/>
                <w:szCs w:val="11"/>
                <w:b w:val="1"/>
                <w:bCs w:val="1"/>
                <w:color w:val="009BDE"/>
              </w:rPr>
              <w:t>Percent</w:t>
            </w:r>
          </w:p>
        </w:tc>
      </w:tr>
      <w:tr>
        <w:trPr>
          <w:trHeight w:val="151"/>
        </w:trPr>
        <w:tc>
          <w:tcPr>
            <w:tcW w:w="4880" w:type="dxa"/>
            <w:vAlign w:val="bottom"/>
            <w:shd w:val="clear" w:color="auto" w:fill="CCEBF8"/>
          </w:tcPr>
          <w:p>
            <w:pPr>
              <w:ind w:left="60"/>
              <w:spacing w:after="0"/>
              <w:rPr>
                <w:sz w:val="20"/>
                <w:szCs w:val="20"/>
                <w:color w:val="auto"/>
              </w:rPr>
            </w:pPr>
            <w:r>
              <w:rPr>
                <w:rFonts w:ascii="Arial" w:cs="Arial" w:eastAsia="Arial" w:hAnsi="Arial"/>
                <w:sz w:val="11"/>
                <w:szCs w:val="11"/>
                <w:b w:val="1"/>
                <w:bCs w:val="1"/>
                <w:color w:val="009BDE"/>
              </w:rPr>
              <w:t>Name of Director, Nominee or Executive Officer(1)</w:t>
            </w:r>
          </w:p>
        </w:tc>
        <w:tc>
          <w:tcPr>
            <w:tcW w:w="1480" w:type="dxa"/>
            <w:vAlign w:val="bottom"/>
            <w:shd w:val="clear" w:color="auto" w:fill="CCEBF8"/>
          </w:tcPr>
          <w:p>
            <w:pPr>
              <w:jc w:val="center"/>
              <w:ind w:left="146"/>
              <w:spacing w:after="0"/>
              <w:rPr>
                <w:sz w:val="20"/>
                <w:szCs w:val="20"/>
                <w:color w:val="auto"/>
              </w:rPr>
            </w:pPr>
            <w:r>
              <w:rPr>
                <w:rFonts w:ascii="Arial" w:cs="Arial" w:eastAsia="Arial" w:hAnsi="Arial"/>
                <w:sz w:val="11"/>
                <w:szCs w:val="11"/>
                <w:b w:val="1"/>
                <w:bCs w:val="1"/>
                <w:color w:val="009BDE"/>
                <w:w w:val="98"/>
              </w:rPr>
              <w:t>Ownership (#)</w:t>
            </w:r>
          </w:p>
        </w:tc>
        <w:tc>
          <w:tcPr>
            <w:tcW w:w="980" w:type="dxa"/>
            <w:vAlign w:val="bottom"/>
            <w:shd w:val="clear" w:color="auto" w:fill="CCEBF8"/>
          </w:tcPr>
          <w:p>
            <w:pPr>
              <w:jc w:val="right"/>
              <w:ind w:right="46"/>
              <w:spacing w:after="0"/>
              <w:rPr>
                <w:sz w:val="20"/>
                <w:szCs w:val="20"/>
                <w:color w:val="auto"/>
              </w:rPr>
            </w:pPr>
            <w:r>
              <w:rPr>
                <w:rFonts w:ascii="Arial" w:cs="Arial" w:eastAsia="Arial" w:hAnsi="Arial"/>
                <w:sz w:val="11"/>
                <w:szCs w:val="11"/>
                <w:b w:val="1"/>
                <w:bCs w:val="1"/>
                <w:color w:val="009BDE"/>
              </w:rPr>
              <w:t>of Class (%)</w:t>
            </w:r>
          </w:p>
        </w:tc>
      </w:tr>
      <w:tr>
        <w:trPr>
          <w:trHeight w:val="85"/>
        </w:trPr>
        <w:tc>
          <w:tcPr>
            <w:tcW w:w="4880" w:type="dxa"/>
            <w:vAlign w:val="bottom"/>
            <w:tcBorders>
              <w:bottom w:val="single" w:sz="8" w:color="009BDE"/>
            </w:tcBorders>
            <w:shd w:val="clear" w:color="auto" w:fill="CCEBF8"/>
          </w:tcPr>
          <w:p>
            <w:pPr>
              <w:spacing w:after="0"/>
              <w:rPr>
                <w:sz w:val="7"/>
                <w:szCs w:val="7"/>
                <w:color w:val="auto"/>
              </w:rPr>
            </w:pPr>
          </w:p>
        </w:tc>
        <w:tc>
          <w:tcPr>
            <w:tcW w:w="1480" w:type="dxa"/>
            <w:vAlign w:val="bottom"/>
            <w:tcBorders>
              <w:bottom w:val="single" w:sz="8" w:color="009BDE"/>
            </w:tcBorders>
            <w:shd w:val="clear" w:color="auto" w:fill="CCEBF8"/>
          </w:tcPr>
          <w:p>
            <w:pPr>
              <w:spacing w:after="0"/>
              <w:rPr>
                <w:sz w:val="7"/>
                <w:szCs w:val="7"/>
                <w:color w:val="auto"/>
              </w:rPr>
            </w:pPr>
          </w:p>
        </w:tc>
        <w:tc>
          <w:tcPr>
            <w:tcW w:w="980" w:type="dxa"/>
            <w:vAlign w:val="bottom"/>
            <w:tcBorders>
              <w:bottom w:val="single" w:sz="8" w:color="009BDE"/>
            </w:tcBorders>
            <w:shd w:val="clear" w:color="auto" w:fill="CCEBF8"/>
          </w:tcPr>
          <w:p>
            <w:pPr>
              <w:spacing w:after="0"/>
              <w:rPr>
                <w:sz w:val="7"/>
                <w:szCs w:val="7"/>
                <w:color w:val="auto"/>
              </w:rPr>
            </w:pPr>
          </w:p>
        </w:tc>
      </w:tr>
      <w:tr>
        <w:trPr>
          <w:trHeight w:val="183"/>
        </w:trPr>
        <w:tc>
          <w:tcPr>
            <w:tcW w:w="4880" w:type="dxa"/>
            <w:vAlign w:val="bottom"/>
          </w:tcPr>
          <w:p>
            <w:pPr>
              <w:ind w:left="40"/>
              <w:spacing w:after="0"/>
              <w:rPr>
                <w:sz w:val="20"/>
                <w:szCs w:val="20"/>
                <w:color w:val="auto"/>
              </w:rPr>
            </w:pPr>
            <w:r>
              <w:rPr>
                <w:rFonts w:ascii="Arial" w:cs="Arial" w:eastAsia="Arial" w:hAnsi="Arial"/>
                <w:sz w:val="11"/>
                <w:szCs w:val="11"/>
                <w:color w:val="auto"/>
              </w:rPr>
              <w:t>Kenneth A. Bronfin(2)</w:t>
            </w:r>
          </w:p>
        </w:tc>
        <w:tc>
          <w:tcPr>
            <w:tcW w:w="1480" w:type="dxa"/>
            <w:vAlign w:val="bottom"/>
          </w:tcPr>
          <w:p>
            <w:pPr>
              <w:jc w:val="right"/>
              <w:ind w:right="306"/>
              <w:spacing w:after="0"/>
              <w:rPr>
                <w:sz w:val="20"/>
                <w:szCs w:val="20"/>
                <w:color w:val="auto"/>
              </w:rPr>
            </w:pPr>
            <w:r>
              <w:rPr>
                <w:rFonts w:ascii="Arial" w:cs="Arial" w:eastAsia="Arial" w:hAnsi="Arial"/>
                <w:sz w:val="11"/>
                <w:szCs w:val="11"/>
                <w:color w:val="auto"/>
              </w:rPr>
              <w:t>39,263</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4880" w:type="dxa"/>
            <w:vAlign w:val="bottom"/>
            <w:tcBorders>
              <w:bottom w:val="single" w:sz="8" w:color="009BDE"/>
            </w:tcBorders>
          </w:tcPr>
          <w:p>
            <w:pPr>
              <w:spacing w:after="0"/>
              <w:rPr>
                <w:sz w:val="5"/>
                <w:szCs w:val="5"/>
                <w:color w:val="auto"/>
              </w:rPr>
            </w:pPr>
          </w:p>
        </w:tc>
        <w:tc>
          <w:tcPr>
            <w:tcW w:w="148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r>
      <w:tr>
        <w:trPr>
          <w:trHeight w:val="183"/>
        </w:trPr>
        <w:tc>
          <w:tcPr>
            <w:tcW w:w="4880" w:type="dxa"/>
            <w:vAlign w:val="bottom"/>
          </w:tcPr>
          <w:p>
            <w:pPr>
              <w:ind w:left="40"/>
              <w:spacing w:after="0"/>
              <w:rPr>
                <w:sz w:val="20"/>
                <w:szCs w:val="20"/>
                <w:color w:val="auto"/>
              </w:rPr>
            </w:pPr>
            <w:r>
              <w:rPr>
                <w:rFonts w:ascii="Arial" w:cs="Arial" w:eastAsia="Arial" w:hAnsi="Arial"/>
                <w:sz w:val="11"/>
                <w:szCs w:val="11"/>
                <w:color w:val="auto"/>
              </w:rPr>
              <w:t>Michael R. Burns</w:t>
            </w:r>
          </w:p>
        </w:tc>
        <w:tc>
          <w:tcPr>
            <w:tcW w:w="1480" w:type="dxa"/>
            <w:vAlign w:val="bottom"/>
          </w:tcPr>
          <w:p>
            <w:pPr>
              <w:jc w:val="right"/>
              <w:ind w:right="306"/>
              <w:spacing w:after="0"/>
              <w:rPr>
                <w:sz w:val="20"/>
                <w:szCs w:val="20"/>
                <w:color w:val="auto"/>
              </w:rPr>
            </w:pPr>
            <w:r>
              <w:rPr>
                <w:rFonts w:ascii="Arial" w:cs="Arial" w:eastAsia="Arial" w:hAnsi="Arial"/>
                <w:sz w:val="11"/>
                <w:szCs w:val="11"/>
                <w:color w:val="auto"/>
              </w:rPr>
              <w:t>18,373</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4880" w:type="dxa"/>
            <w:vAlign w:val="bottom"/>
            <w:tcBorders>
              <w:bottom w:val="single" w:sz="8" w:color="009BDE"/>
            </w:tcBorders>
          </w:tcPr>
          <w:p>
            <w:pPr>
              <w:spacing w:after="0"/>
              <w:rPr>
                <w:sz w:val="5"/>
                <w:szCs w:val="5"/>
                <w:color w:val="auto"/>
              </w:rPr>
            </w:pPr>
          </w:p>
        </w:tc>
        <w:tc>
          <w:tcPr>
            <w:tcW w:w="148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r>
      <w:tr>
        <w:trPr>
          <w:trHeight w:val="183"/>
        </w:trPr>
        <w:tc>
          <w:tcPr>
            <w:tcW w:w="4880" w:type="dxa"/>
            <w:vAlign w:val="bottom"/>
          </w:tcPr>
          <w:p>
            <w:pPr>
              <w:ind w:left="40"/>
              <w:spacing w:after="0"/>
              <w:rPr>
                <w:sz w:val="20"/>
                <w:szCs w:val="20"/>
                <w:color w:val="auto"/>
              </w:rPr>
            </w:pPr>
            <w:r>
              <w:rPr>
                <w:rFonts w:ascii="Arial" w:cs="Arial" w:eastAsia="Arial" w:hAnsi="Arial"/>
                <w:sz w:val="11"/>
                <w:szCs w:val="11"/>
                <w:color w:val="auto"/>
              </w:rPr>
              <w:t>Hope F. Cochran</w:t>
            </w:r>
          </w:p>
        </w:tc>
        <w:tc>
          <w:tcPr>
            <w:tcW w:w="1480" w:type="dxa"/>
            <w:vAlign w:val="bottom"/>
          </w:tcPr>
          <w:p>
            <w:pPr>
              <w:jc w:val="right"/>
              <w:ind w:right="306"/>
              <w:spacing w:after="0"/>
              <w:rPr>
                <w:sz w:val="20"/>
                <w:szCs w:val="20"/>
                <w:color w:val="auto"/>
              </w:rPr>
            </w:pPr>
            <w:r>
              <w:rPr>
                <w:rFonts w:ascii="Arial" w:cs="Arial" w:eastAsia="Arial" w:hAnsi="Arial"/>
                <w:sz w:val="11"/>
                <w:szCs w:val="11"/>
                <w:color w:val="auto"/>
              </w:rPr>
              <w:t>12,730</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4880" w:type="dxa"/>
            <w:vAlign w:val="bottom"/>
            <w:tcBorders>
              <w:bottom w:val="single" w:sz="8" w:color="009BDE"/>
            </w:tcBorders>
          </w:tcPr>
          <w:p>
            <w:pPr>
              <w:spacing w:after="0"/>
              <w:rPr>
                <w:sz w:val="5"/>
                <w:szCs w:val="5"/>
                <w:color w:val="auto"/>
              </w:rPr>
            </w:pPr>
          </w:p>
        </w:tc>
        <w:tc>
          <w:tcPr>
            <w:tcW w:w="148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r>
      <w:tr>
        <w:trPr>
          <w:trHeight w:val="183"/>
        </w:trPr>
        <w:tc>
          <w:tcPr>
            <w:tcW w:w="4880" w:type="dxa"/>
            <w:vAlign w:val="bottom"/>
          </w:tcPr>
          <w:p>
            <w:pPr>
              <w:ind w:left="40"/>
              <w:spacing w:after="0"/>
              <w:rPr>
                <w:sz w:val="20"/>
                <w:szCs w:val="20"/>
                <w:color w:val="auto"/>
              </w:rPr>
            </w:pPr>
            <w:r>
              <w:rPr>
                <w:rFonts w:ascii="Arial" w:cs="Arial" w:eastAsia="Arial" w:hAnsi="Arial"/>
                <w:sz w:val="11"/>
                <w:szCs w:val="11"/>
                <w:color w:val="auto"/>
              </w:rPr>
              <w:t>Christian P. Cocks(3)</w:t>
            </w:r>
          </w:p>
        </w:tc>
        <w:tc>
          <w:tcPr>
            <w:tcW w:w="1480" w:type="dxa"/>
            <w:vAlign w:val="bottom"/>
          </w:tcPr>
          <w:p>
            <w:pPr>
              <w:jc w:val="right"/>
              <w:ind w:right="306"/>
              <w:spacing w:after="0"/>
              <w:rPr>
                <w:sz w:val="20"/>
                <w:szCs w:val="20"/>
                <w:color w:val="auto"/>
              </w:rPr>
            </w:pPr>
            <w:r>
              <w:rPr>
                <w:rFonts w:ascii="Arial" w:cs="Arial" w:eastAsia="Arial" w:hAnsi="Arial"/>
                <w:sz w:val="11"/>
                <w:szCs w:val="11"/>
                <w:color w:val="auto"/>
              </w:rPr>
              <w:t>170,056</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4880" w:type="dxa"/>
            <w:vAlign w:val="bottom"/>
            <w:tcBorders>
              <w:bottom w:val="single" w:sz="8" w:color="009BDE"/>
            </w:tcBorders>
          </w:tcPr>
          <w:p>
            <w:pPr>
              <w:spacing w:after="0"/>
              <w:rPr>
                <w:sz w:val="5"/>
                <w:szCs w:val="5"/>
                <w:color w:val="auto"/>
              </w:rPr>
            </w:pPr>
          </w:p>
        </w:tc>
        <w:tc>
          <w:tcPr>
            <w:tcW w:w="148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r>
      <w:tr>
        <w:trPr>
          <w:trHeight w:val="183"/>
        </w:trPr>
        <w:tc>
          <w:tcPr>
            <w:tcW w:w="4880" w:type="dxa"/>
            <w:vAlign w:val="bottom"/>
          </w:tcPr>
          <w:p>
            <w:pPr>
              <w:ind w:left="40"/>
              <w:spacing w:after="0"/>
              <w:rPr>
                <w:sz w:val="20"/>
                <w:szCs w:val="20"/>
                <w:color w:val="auto"/>
              </w:rPr>
            </w:pPr>
            <w:r>
              <w:rPr>
                <w:rFonts w:ascii="Arial" w:cs="Arial" w:eastAsia="Arial" w:hAnsi="Arial"/>
                <w:sz w:val="11"/>
                <w:szCs w:val="11"/>
                <w:color w:val="auto"/>
              </w:rPr>
              <w:t>Lisa Gersh(4)</w:t>
            </w:r>
          </w:p>
        </w:tc>
        <w:tc>
          <w:tcPr>
            <w:tcW w:w="1480" w:type="dxa"/>
            <w:vAlign w:val="bottom"/>
          </w:tcPr>
          <w:p>
            <w:pPr>
              <w:jc w:val="right"/>
              <w:ind w:right="306"/>
              <w:spacing w:after="0"/>
              <w:rPr>
                <w:sz w:val="20"/>
                <w:szCs w:val="20"/>
                <w:color w:val="auto"/>
              </w:rPr>
            </w:pPr>
            <w:r>
              <w:rPr>
                <w:rFonts w:ascii="Arial" w:cs="Arial" w:eastAsia="Arial" w:hAnsi="Arial"/>
                <w:sz w:val="11"/>
                <w:szCs w:val="11"/>
                <w:color w:val="auto"/>
              </w:rPr>
              <w:t>63,960</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4880" w:type="dxa"/>
            <w:vAlign w:val="bottom"/>
            <w:tcBorders>
              <w:bottom w:val="single" w:sz="8" w:color="009BDE"/>
            </w:tcBorders>
          </w:tcPr>
          <w:p>
            <w:pPr>
              <w:spacing w:after="0"/>
              <w:rPr>
                <w:sz w:val="5"/>
                <w:szCs w:val="5"/>
                <w:color w:val="auto"/>
              </w:rPr>
            </w:pPr>
          </w:p>
        </w:tc>
        <w:tc>
          <w:tcPr>
            <w:tcW w:w="148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r>
      <w:tr>
        <w:trPr>
          <w:trHeight w:val="183"/>
        </w:trPr>
        <w:tc>
          <w:tcPr>
            <w:tcW w:w="4880" w:type="dxa"/>
            <w:vAlign w:val="bottom"/>
          </w:tcPr>
          <w:p>
            <w:pPr>
              <w:ind w:left="40"/>
              <w:spacing w:after="0"/>
              <w:rPr>
                <w:sz w:val="20"/>
                <w:szCs w:val="20"/>
                <w:color w:val="auto"/>
              </w:rPr>
            </w:pPr>
            <w:r>
              <w:rPr>
                <w:rFonts w:ascii="Arial" w:cs="Arial" w:eastAsia="Arial" w:hAnsi="Arial"/>
                <w:sz w:val="11"/>
                <w:szCs w:val="11"/>
                <w:color w:val="auto"/>
              </w:rPr>
              <w:t>Elizabeth Hamren</w:t>
            </w:r>
          </w:p>
        </w:tc>
        <w:tc>
          <w:tcPr>
            <w:tcW w:w="1480" w:type="dxa"/>
            <w:vAlign w:val="bottom"/>
          </w:tcPr>
          <w:p>
            <w:pPr>
              <w:jc w:val="right"/>
              <w:ind w:right="306"/>
              <w:spacing w:after="0"/>
              <w:rPr>
                <w:sz w:val="20"/>
                <w:szCs w:val="20"/>
                <w:color w:val="auto"/>
              </w:rPr>
            </w:pPr>
            <w:r>
              <w:rPr>
                <w:rFonts w:ascii="Arial" w:cs="Arial" w:eastAsia="Arial" w:hAnsi="Arial"/>
                <w:sz w:val="11"/>
                <w:szCs w:val="11"/>
                <w:color w:val="auto"/>
              </w:rPr>
              <w:t>2,264</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4880" w:type="dxa"/>
            <w:vAlign w:val="bottom"/>
            <w:tcBorders>
              <w:bottom w:val="single" w:sz="8" w:color="009BDE"/>
            </w:tcBorders>
          </w:tcPr>
          <w:p>
            <w:pPr>
              <w:spacing w:after="0"/>
              <w:rPr>
                <w:sz w:val="5"/>
                <w:szCs w:val="5"/>
                <w:color w:val="auto"/>
              </w:rPr>
            </w:pPr>
          </w:p>
        </w:tc>
        <w:tc>
          <w:tcPr>
            <w:tcW w:w="148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r>
      <w:tr>
        <w:trPr>
          <w:trHeight w:val="183"/>
        </w:trPr>
        <w:tc>
          <w:tcPr>
            <w:tcW w:w="4880" w:type="dxa"/>
            <w:vAlign w:val="bottom"/>
          </w:tcPr>
          <w:p>
            <w:pPr>
              <w:ind w:left="40"/>
              <w:spacing w:after="0"/>
              <w:rPr>
                <w:sz w:val="20"/>
                <w:szCs w:val="20"/>
                <w:color w:val="auto"/>
              </w:rPr>
            </w:pPr>
            <w:r>
              <w:rPr>
                <w:rFonts w:ascii="Arial" w:cs="Arial" w:eastAsia="Arial" w:hAnsi="Arial"/>
                <w:sz w:val="11"/>
                <w:szCs w:val="11"/>
                <w:color w:val="auto"/>
              </w:rPr>
              <w:t>Blake Jorgensen</w:t>
            </w:r>
          </w:p>
        </w:tc>
        <w:tc>
          <w:tcPr>
            <w:tcW w:w="1480" w:type="dxa"/>
            <w:vAlign w:val="bottom"/>
          </w:tcPr>
          <w:p>
            <w:pPr>
              <w:jc w:val="right"/>
              <w:ind w:right="306"/>
              <w:spacing w:after="0"/>
              <w:rPr>
                <w:sz w:val="20"/>
                <w:szCs w:val="20"/>
                <w:color w:val="auto"/>
              </w:rPr>
            </w:pPr>
            <w:r>
              <w:rPr>
                <w:rFonts w:ascii="Arial" w:cs="Arial" w:eastAsia="Arial" w:hAnsi="Arial"/>
                <w:sz w:val="11"/>
                <w:szCs w:val="11"/>
                <w:color w:val="auto"/>
              </w:rPr>
              <w:t>2,264</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4880" w:type="dxa"/>
            <w:vAlign w:val="bottom"/>
            <w:tcBorders>
              <w:bottom w:val="single" w:sz="8" w:color="009BDE"/>
            </w:tcBorders>
          </w:tcPr>
          <w:p>
            <w:pPr>
              <w:spacing w:after="0"/>
              <w:rPr>
                <w:sz w:val="5"/>
                <w:szCs w:val="5"/>
                <w:color w:val="auto"/>
              </w:rPr>
            </w:pPr>
          </w:p>
        </w:tc>
        <w:tc>
          <w:tcPr>
            <w:tcW w:w="148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r>
      <w:tr>
        <w:trPr>
          <w:trHeight w:val="183"/>
        </w:trPr>
        <w:tc>
          <w:tcPr>
            <w:tcW w:w="4880" w:type="dxa"/>
            <w:vAlign w:val="bottom"/>
          </w:tcPr>
          <w:p>
            <w:pPr>
              <w:ind w:left="40"/>
              <w:spacing w:after="0"/>
              <w:rPr>
                <w:sz w:val="20"/>
                <w:szCs w:val="20"/>
                <w:color w:val="auto"/>
              </w:rPr>
            </w:pPr>
            <w:r>
              <w:rPr>
                <w:rFonts w:ascii="Arial" w:cs="Arial" w:eastAsia="Arial" w:hAnsi="Arial"/>
                <w:sz w:val="11"/>
                <w:szCs w:val="11"/>
                <w:color w:val="auto"/>
              </w:rPr>
              <w:t>Tracy A. Leinbach(5)</w:t>
            </w:r>
          </w:p>
        </w:tc>
        <w:tc>
          <w:tcPr>
            <w:tcW w:w="1480" w:type="dxa"/>
            <w:vAlign w:val="bottom"/>
          </w:tcPr>
          <w:p>
            <w:pPr>
              <w:jc w:val="right"/>
              <w:ind w:right="306"/>
              <w:spacing w:after="0"/>
              <w:rPr>
                <w:sz w:val="20"/>
                <w:szCs w:val="20"/>
                <w:color w:val="auto"/>
              </w:rPr>
            </w:pPr>
            <w:r>
              <w:rPr>
                <w:rFonts w:ascii="Arial" w:cs="Arial" w:eastAsia="Arial" w:hAnsi="Arial"/>
                <w:sz w:val="11"/>
                <w:szCs w:val="11"/>
                <w:color w:val="auto"/>
              </w:rPr>
              <w:t>37,022</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4880" w:type="dxa"/>
            <w:vAlign w:val="bottom"/>
            <w:tcBorders>
              <w:bottom w:val="single" w:sz="8" w:color="009BDE"/>
            </w:tcBorders>
          </w:tcPr>
          <w:p>
            <w:pPr>
              <w:spacing w:after="0"/>
              <w:rPr>
                <w:sz w:val="5"/>
                <w:szCs w:val="5"/>
                <w:color w:val="auto"/>
              </w:rPr>
            </w:pPr>
          </w:p>
        </w:tc>
        <w:tc>
          <w:tcPr>
            <w:tcW w:w="148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r>
      <w:tr>
        <w:trPr>
          <w:trHeight w:val="183"/>
        </w:trPr>
        <w:tc>
          <w:tcPr>
            <w:tcW w:w="4880" w:type="dxa"/>
            <w:vAlign w:val="bottom"/>
          </w:tcPr>
          <w:p>
            <w:pPr>
              <w:ind w:left="40"/>
              <w:spacing w:after="0"/>
              <w:rPr>
                <w:sz w:val="20"/>
                <w:szCs w:val="20"/>
                <w:color w:val="auto"/>
              </w:rPr>
            </w:pPr>
            <w:r>
              <w:rPr>
                <w:rFonts w:ascii="Arial" w:cs="Arial" w:eastAsia="Arial" w:hAnsi="Arial"/>
                <w:sz w:val="11"/>
                <w:szCs w:val="11"/>
                <w:color w:val="auto"/>
              </w:rPr>
              <w:t>Eric Nyman (6)</w:t>
            </w:r>
          </w:p>
        </w:tc>
        <w:tc>
          <w:tcPr>
            <w:tcW w:w="1480" w:type="dxa"/>
            <w:vAlign w:val="bottom"/>
          </w:tcPr>
          <w:p>
            <w:pPr>
              <w:jc w:val="right"/>
              <w:ind w:right="306"/>
              <w:spacing w:after="0"/>
              <w:rPr>
                <w:sz w:val="20"/>
                <w:szCs w:val="20"/>
                <w:color w:val="auto"/>
              </w:rPr>
            </w:pPr>
            <w:r>
              <w:rPr>
                <w:rFonts w:ascii="Arial" w:cs="Arial" w:eastAsia="Arial" w:hAnsi="Arial"/>
                <w:sz w:val="11"/>
                <w:szCs w:val="11"/>
                <w:color w:val="auto"/>
              </w:rPr>
              <w:t>94,423</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4880" w:type="dxa"/>
            <w:vAlign w:val="bottom"/>
            <w:tcBorders>
              <w:bottom w:val="single" w:sz="8" w:color="009BDE"/>
            </w:tcBorders>
          </w:tcPr>
          <w:p>
            <w:pPr>
              <w:spacing w:after="0"/>
              <w:rPr>
                <w:sz w:val="5"/>
                <w:szCs w:val="5"/>
                <w:color w:val="auto"/>
              </w:rPr>
            </w:pPr>
          </w:p>
        </w:tc>
        <w:tc>
          <w:tcPr>
            <w:tcW w:w="148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r>
      <w:tr>
        <w:trPr>
          <w:trHeight w:val="183"/>
        </w:trPr>
        <w:tc>
          <w:tcPr>
            <w:tcW w:w="4880" w:type="dxa"/>
            <w:vAlign w:val="bottom"/>
          </w:tcPr>
          <w:p>
            <w:pPr>
              <w:ind w:left="40"/>
              <w:spacing w:after="0"/>
              <w:rPr>
                <w:sz w:val="20"/>
                <w:szCs w:val="20"/>
                <w:color w:val="auto"/>
              </w:rPr>
            </w:pPr>
            <w:r>
              <w:rPr>
                <w:rFonts w:ascii="Arial" w:cs="Arial" w:eastAsia="Arial" w:hAnsi="Arial"/>
                <w:sz w:val="11"/>
                <w:szCs w:val="11"/>
                <w:color w:val="auto"/>
              </w:rPr>
              <w:t>Edward M. Philip(7)</w:t>
            </w:r>
          </w:p>
        </w:tc>
        <w:tc>
          <w:tcPr>
            <w:tcW w:w="1480" w:type="dxa"/>
            <w:vAlign w:val="bottom"/>
          </w:tcPr>
          <w:p>
            <w:pPr>
              <w:jc w:val="right"/>
              <w:ind w:right="306"/>
              <w:spacing w:after="0"/>
              <w:rPr>
                <w:sz w:val="20"/>
                <w:szCs w:val="20"/>
                <w:color w:val="auto"/>
              </w:rPr>
            </w:pPr>
            <w:r>
              <w:rPr>
                <w:rFonts w:ascii="Arial" w:cs="Arial" w:eastAsia="Arial" w:hAnsi="Arial"/>
                <w:sz w:val="11"/>
                <w:szCs w:val="11"/>
                <w:color w:val="auto"/>
              </w:rPr>
              <w:t>102,449</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4880" w:type="dxa"/>
            <w:vAlign w:val="bottom"/>
            <w:tcBorders>
              <w:bottom w:val="single" w:sz="8" w:color="009BDE"/>
            </w:tcBorders>
          </w:tcPr>
          <w:p>
            <w:pPr>
              <w:spacing w:after="0"/>
              <w:rPr>
                <w:sz w:val="5"/>
                <w:szCs w:val="5"/>
                <w:color w:val="auto"/>
              </w:rPr>
            </w:pPr>
          </w:p>
        </w:tc>
        <w:tc>
          <w:tcPr>
            <w:tcW w:w="148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r>
      <w:tr>
        <w:trPr>
          <w:trHeight w:val="183"/>
        </w:trPr>
        <w:tc>
          <w:tcPr>
            <w:tcW w:w="4880" w:type="dxa"/>
            <w:vAlign w:val="bottom"/>
          </w:tcPr>
          <w:p>
            <w:pPr>
              <w:ind w:left="40"/>
              <w:spacing w:after="0"/>
              <w:rPr>
                <w:sz w:val="20"/>
                <w:szCs w:val="20"/>
                <w:color w:val="auto"/>
              </w:rPr>
            </w:pPr>
            <w:r>
              <w:rPr>
                <w:rFonts w:ascii="Arial" w:cs="Arial" w:eastAsia="Arial" w:hAnsi="Arial"/>
                <w:sz w:val="11"/>
                <w:szCs w:val="11"/>
                <w:color w:val="auto"/>
              </w:rPr>
              <w:t>Laurel J. Richie(8)</w:t>
            </w:r>
          </w:p>
        </w:tc>
        <w:tc>
          <w:tcPr>
            <w:tcW w:w="1480" w:type="dxa"/>
            <w:vAlign w:val="bottom"/>
          </w:tcPr>
          <w:p>
            <w:pPr>
              <w:jc w:val="right"/>
              <w:ind w:right="306"/>
              <w:spacing w:after="0"/>
              <w:rPr>
                <w:sz w:val="20"/>
                <w:szCs w:val="20"/>
                <w:color w:val="auto"/>
              </w:rPr>
            </w:pPr>
            <w:r>
              <w:rPr>
                <w:rFonts w:ascii="Arial" w:cs="Arial" w:eastAsia="Arial" w:hAnsi="Arial"/>
                <w:sz w:val="11"/>
                <w:szCs w:val="11"/>
                <w:color w:val="auto"/>
              </w:rPr>
              <w:t>4,715</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4880" w:type="dxa"/>
            <w:vAlign w:val="bottom"/>
            <w:tcBorders>
              <w:bottom w:val="single" w:sz="8" w:color="009BDE"/>
            </w:tcBorders>
          </w:tcPr>
          <w:p>
            <w:pPr>
              <w:spacing w:after="0"/>
              <w:rPr>
                <w:sz w:val="5"/>
                <w:szCs w:val="5"/>
                <w:color w:val="auto"/>
              </w:rPr>
            </w:pPr>
          </w:p>
        </w:tc>
        <w:tc>
          <w:tcPr>
            <w:tcW w:w="148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r>
      <w:tr>
        <w:trPr>
          <w:trHeight w:val="183"/>
        </w:trPr>
        <w:tc>
          <w:tcPr>
            <w:tcW w:w="4880" w:type="dxa"/>
            <w:vAlign w:val="bottom"/>
          </w:tcPr>
          <w:p>
            <w:pPr>
              <w:ind w:left="40"/>
              <w:spacing w:after="0"/>
              <w:rPr>
                <w:sz w:val="20"/>
                <w:szCs w:val="20"/>
                <w:color w:val="auto"/>
              </w:rPr>
            </w:pPr>
            <w:r>
              <w:rPr>
                <w:rFonts w:ascii="Arial" w:cs="Arial" w:eastAsia="Arial" w:hAnsi="Arial"/>
                <w:sz w:val="11"/>
                <w:szCs w:val="11"/>
                <w:color w:val="auto"/>
              </w:rPr>
              <w:t>Richard S. Stoddart(9)</w:t>
            </w:r>
          </w:p>
        </w:tc>
        <w:tc>
          <w:tcPr>
            <w:tcW w:w="1480" w:type="dxa"/>
            <w:vAlign w:val="bottom"/>
          </w:tcPr>
          <w:p>
            <w:pPr>
              <w:jc w:val="right"/>
              <w:ind w:right="306"/>
              <w:spacing w:after="0"/>
              <w:rPr>
                <w:sz w:val="20"/>
                <w:szCs w:val="20"/>
                <w:color w:val="auto"/>
              </w:rPr>
            </w:pPr>
            <w:r>
              <w:rPr>
                <w:rFonts w:ascii="Arial" w:cs="Arial" w:eastAsia="Arial" w:hAnsi="Arial"/>
                <w:sz w:val="11"/>
                <w:szCs w:val="11"/>
                <w:color w:val="auto"/>
              </w:rPr>
              <w:t>48,441</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4880" w:type="dxa"/>
            <w:vAlign w:val="bottom"/>
            <w:tcBorders>
              <w:bottom w:val="single" w:sz="8" w:color="009BDE"/>
            </w:tcBorders>
          </w:tcPr>
          <w:p>
            <w:pPr>
              <w:spacing w:after="0"/>
              <w:rPr>
                <w:sz w:val="5"/>
                <w:szCs w:val="5"/>
                <w:color w:val="auto"/>
              </w:rPr>
            </w:pPr>
          </w:p>
        </w:tc>
        <w:tc>
          <w:tcPr>
            <w:tcW w:w="148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r>
      <w:tr>
        <w:trPr>
          <w:trHeight w:val="183"/>
        </w:trPr>
        <w:tc>
          <w:tcPr>
            <w:tcW w:w="4880" w:type="dxa"/>
            <w:vAlign w:val="bottom"/>
          </w:tcPr>
          <w:p>
            <w:pPr>
              <w:ind w:left="40"/>
              <w:spacing w:after="0"/>
              <w:rPr>
                <w:sz w:val="20"/>
                <w:szCs w:val="20"/>
                <w:color w:val="auto"/>
              </w:rPr>
            </w:pPr>
            <w:r>
              <w:rPr>
                <w:rFonts w:ascii="Arial" w:cs="Arial" w:eastAsia="Arial" w:hAnsi="Arial"/>
                <w:sz w:val="11"/>
                <w:szCs w:val="11"/>
                <w:color w:val="auto"/>
              </w:rPr>
              <w:t>Deborah M. Thomas(10)</w:t>
            </w:r>
          </w:p>
        </w:tc>
        <w:tc>
          <w:tcPr>
            <w:tcW w:w="1480" w:type="dxa"/>
            <w:vAlign w:val="bottom"/>
          </w:tcPr>
          <w:p>
            <w:pPr>
              <w:jc w:val="right"/>
              <w:ind w:right="306"/>
              <w:spacing w:after="0"/>
              <w:rPr>
                <w:sz w:val="20"/>
                <w:szCs w:val="20"/>
                <w:color w:val="auto"/>
              </w:rPr>
            </w:pPr>
            <w:r>
              <w:rPr>
                <w:rFonts w:ascii="Arial" w:cs="Arial" w:eastAsia="Arial" w:hAnsi="Arial"/>
                <w:sz w:val="11"/>
                <w:szCs w:val="11"/>
                <w:color w:val="auto"/>
              </w:rPr>
              <w:t>303,020</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4880" w:type="dxa"/>
            <w:vAlign w:val="bottom"/>
            <w:tcBorders>
              <w:bottom w:val="single" w:sz="8" w:color="009BDE"/>
            </w:tcBorders>
          </w:tcPr>
          <w:p>
            <w:pPr>
              <w:spacing w:after="0"/>
              <w:rPr>
                <w:sz w:val="5"/>
                <w:szCs w:val="5"/>
                <w:color w:val="auto"/>
              </w:rPr>
            </w:pPr>
          </w:p>
        </w:tc>
        <w:tc>
          <w:tcPr>
            <w:tcW w:w="148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r>
      <w:tr>
        <w:trPr>
          <w:trHeight w:val="183"/>
        </w:trPr>
        <w:tc>
          <w:tcPr>
            <w:tcW w:w="4880" w:type="dxa"/>
            <w:vAlign w:val="bottom"/>
          </w:tcPr>
          <w:p>
            <w:pPr>
              <w:ind w:left="40"/>
              <w:spacing w:after="0"/>
              <w:rPr>
                <w:sz w:val="20"/>
                <w:szCs w:val="20"/>
                <w:color w:val="auto"/>
              </w:rPr>
            </w:pPr>
            <w:r>
              <w:rPr>
                <w:rFonts w:ascii="Arial" w:cs="Arial" w:eastAsia="Arial" w:hAnsi="Arial"/>
                <w:sz w:val="11"/>
                <w:szCs w:val="11"/>
                <w:color w:val="auto"/>
              </w:rPr>
              <w:t>Darren Throop(11)</w:t>
            </w:r>
          </w:p>
        </w:tc>
        <w:tc>
          <w:tcPr>
            <w:tcW w:w="1480" w:type="dxa"/>
            <w:vAlign w:val="bottom"/>
          </w:tcPr>
          <w:p>
            <w:pPr>
              <w:jc w:val="right"/>
              <w:ind w:right="306"/>
              <w:spacing w:after="0"/>
              <w:rPr>
                <w:sz w:val="20"/>
                <w:szCs w:val="20"/>
                <w:color w:val="auto"/>
              </w:rPr>
            </w:pPr>
            <w:r>
              <w:rPr>
                <w:rFonts w:ascii="Arial" w:cs="Arial" w:eastAsia="Arial" w:hAnsi="Arial"/>
                <w:sz w:val="11"/>
                <w:szCs w:val="11"/>
                <w:color w:val="auto"/>
              </w:rPr>
              <w:t>164,147</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4880" w:type="dxa"/>
            <w:vAlign w:val="bottom"/>
            <w:tcBorders>
              <w:bottom w:val="single" w:sz="8" w:color="009BDE"/>
            </w:tcBorders>
          </w:tcPr>
          <w:p>
            <w:pPr>
              <w:spacing w:after="0"/>
              <w:rPr>
                <w:sz w:val="5"/>
                <w:szCs w:val="5"/>
                <w:color w:val="auto"/>
              </w:rPr>
            </w:pPr>
          </w:p>
        </w:tc>
        <w:tc>
          <w:tcPr>
            <w:tcW w:w="148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r>
      <w:tr>
        <w:trPr>
          <w:trHeight w:val="183"/>
        </w:trPr>
        <w:tc>
          <w:tcPr>
            <w:tcW w:w="4880" w:type="dxa"/>
            <w:vAlign w:val="bottom"/>
          </w:tcPr>
          <w:p>
            <w:pPr>
              <w:ind w:left="40"/>
              <w:spacing w:after="0"/>
              <w:rPr>
                <w:sz w:val="20"/>
                <w:szCs w:val="20"/>
                <w:color w:val="auto"/>
              </w:rPr>
            </w:pPr>
            <w:r>
              <w:rPr>
                <w:rFonts w:ascii="Arial" w:cs="Arial" w:eastAsia="Arial" w:hAnsi="Arial"/>
                <w:sz w:val="11"/>
                <w:szCs w:val="11"/>
                <w:color w:val="auto"/>
              </w:rPr>
              <w:t>Mary Beth West(12)</w:t>
            </w:r>
          </w:p>
        </w:tc>
        <w:tc>
          <w:tcPr>
            <w:tcW w:w="1480" w:type="dxa"/>
            <w:vAlign w:val="bottom"/>
          </w:tcPr>
          <w:p>
            <w:pPr>
              <w:jc w:val="right"/>
              <w:ind w:right="306"/>
              <w:spacing w:after="0"/>
              <w:rPr>
                <w:sz w:val="20"/>
                <w:szCs w:val="20"/>
                <w:color w:val="auto"/>
              </w:rPr>
            </w:pPr>
            <w:r>
              <w:rPr>
                <w:rFonts w:ascii="Arial" w:cs="Arial" w:eastAsia="Arial" w:hAnsi="Arial"/>
                <w:sz w:val="11"/>
                <w:szCs w:val="11"/>
                <w:color w:val="auto"/>
              </w:rPr>
              <w:t>12,730</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4880" w:type="dxa"/>
            <w:vAlign w:val="bottom"/>
            <w:tcBorders>
              <w:bottom w:val="single" w:sz="8" w:color="009BDE"/>
            </w:tcBorders>
          </w:tcPr>
          <w:p>
            <w:pPr>
              <w:spacing w:after="0"/>
              <w:rPr>
                <w:sz w:val="5"/>
                <w:szCs w:val="5"/>
                <w:color w:val="auto"/>
              </w:rPr>
            </w:pPr>
          </w:p>
        </w:tc>
        <w:tc>
          <w:tcPr>
            <w:tcW w:w="148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r>
      <w:tr>
        <w:trPr>
          <w:trHeight w:val="183"/>
        </w:trPr>
        <w:tc>
          <w:tcPr>
            <w:tcW w:w="4880" w:type="dxa"/>
            <w:vAlign w:val="bottom"/>
          </w:tcPr>
          <w:p>
            <w:pPr>
              <w:ind w:left="40"/>
              <w:spacing w:after="0"/>
              <w:rPr>
                <w:sz w:val="20"/>
                <w:szCs w:val="20"/>
                <w:color w:val="auto"/>
              </w:rPr>
            </w:pPr>
            <w:r>
              <w:rPr>
                <w:rFonts w:ascii="Arial" w:cs="Arial" w:eastAsia="Arial" w:hAnsi="Arial"/>
                <w:sz w:val="11"/>
                <w:szCs w:val="11"/>
                <w:color w:val="auto"/>
              </w:rPr>
              <w:t>Cynthia Williams (13)</w:t>
            </w:r>
          </w:p>
        </w:tc>
        <w:tc>
          <w:tcPr>
            <w:tcW w:w="1480" w:type="dxa"/>
            <w:vAlign w:val="bottom"/>
          </w:tcPr>
          <w:p>
            <w:pPr>
              <w:jc w:val="right"/>
              <w:ind w:right="306"/>
              <w:spacing w:after="0"/>
              <w:rPr>
                <w:sz w:val="20"/>
                <w:szCs w:val="20"/>
                <w:color w:val="auto"/>
              </w:rPr>
            </w:pPr>
            <w:r>
              <w:rPr>
                <w:rFonts w:ascii="Arial" w:cs="Arial" w:eastAsia="Arial" w:hAnsi="Arial"/>
                <w:sz w:val="11"/>
                <w:szCs w:val="11"/>
                <w:color w:val="auto"/>
              </w:rPr>
              <w:t>37,384</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4880" w:type="dxa"/>
            <w:vAlign w:val="bottom"/>
            <w:tcBorders>
              <w:bottom w:val="single" w:sz="8" w:color="009BDE"/>
            </w:tcBorders>
          </w:tcPr>
          <w:p>
            <w:pPr>
              <w:spacing w:after="0"/>
              <w:rPr>
                <w:sz w:val="5"/>
                <w:szCs w:val="5"/>
                <w:color w:val="auto"/>
              </w:rPr>
            </w:pPr>
          </w:p>
        </w:tc>
        <w:tc>
          <w:tcPr>
            <w:tcW w:w="148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r>
      <w:tr>
        <w:trPr>
          <w:trHeight w:val="183"/>
        </w:trPr>
        <w:tc>
          <w:tcPr>
            <w:tcW w:w="4880" w:type="dxa"/>
            <w:vAlign w:val="bottom"/>
          </w:tcPr>
          <w:p>
            <w:pPr>
              <w:ind w:left="40"/>
              <w:spacing w:after="0"/>
              <w:rPr>
                <w:sz w:val="20"/>
                <w:szCs w:val="20"/>
                <w:color w:val="auto"/>
              </w:rPr>
            </w:pPr>
            <w:r>
              <w:rPr>
                <w:rFonts w:ascii="Arial" w:cs="Arial" w:eastAsia="Arial" w:hAnsi="Arial"/>
                <w:sz w:val="11"/>
                <w:szCs w:val="11"/>
                <w:color w:val="auto"/>
              </w:rPr>
              <w:t>Linda Zecher Higgins(14)</w:t>
            </w:r>
          </w:p>
        </w:tc>
        <w:tc>
          <w:tcPr>
            <w:tcW w:w="1480" w:type="dxa"/>
            <w:vAlign w:val="bottom"/>
          </w:tcPr>
          <w:p>
            <w:pPr>
              <w:jc w:val="right"/>
              <w:ind w:right="306"/>
              <w:spacing w:after="0"/>
              <w:rPr>
                <w:sz w:val="20"/>
                <w:szCs w:val="20"/>
                <w:color w:val="auto"/>
              </w:rPr>
            </w:pPr>
            <w:r>
              <w:rPr>
                <w:rFonts w:ascii="Arial" w:cs="Arial" w:eastAsia="Arial" w:hAnsi="Arial"/>
                <w:sz w:val="11"/>
                <w:szCs w:val="11"/>
                <w:color w:val="auto"/>
              </w:rPr>
              <w:t>24,576</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4880" w:type="dxa"/>
            <w:vAlign w:val="bottom"/>
            <w:tcBorders>
              <w:bottom w:val="single" w:sz="8" w:color="009BDE"/>
            </w:tcBorders>
          </w:tcPr>
          <w:p>
            <w:pPr>
              <w:spacing w:after="0"/>
              <w:rPr>
                <w:sz w:val="5"/>
                <w:szCs w:val="5"/>
                <w:color w:val="auto"/>
              </w:rPr>
            </w:pPr>
          </w:p>
        </w:tc>
        <w:tc>
          <w:tcPr>
            <w:tcW w:w="1480" w:type="dxa"/>
            <w:vAlign w:val="bottom"/>
            <w:tcBorders>
              <w:bottom w:val="single" w:sz="8" w:color="009BDE"/>
            </w:tcBorders>
          </w:tcPr>
          <w:p>
            <w:pPr>
              <w:spacing w:after="0"/>
              <w:rPr>
                <w:sz w:val="5"/>
                <w:szCs w:val="5"/>
                <w:color w:val="auto"/>
              </w:rPr>
            </w:pPr>
          </w:p>
        </w:tc>
        <w:tc>
          <w:tcPr>
            <w:tcW w:w="980" w:type="dxa"/>
            <w:vAlign w:val="bottom"/>
            <w:tcBorders>
              <w:bottom w:val="single" w:sz="8" w:color="009BDE"/>
            </w:tcBorders>
          </w:tcPr>
          <w:p>
            <w:pPr>
              <w:spacing w:after="0"/>
              <w:rPr>
                <w:sz w:val="5"/>
                <w:szCs w:val="5"/>
                <w:color w:val="auto"/>
              </w:rPr>
            </w:pPr>
          </w:p>
        </w:tc>
      </w:tr>
      <w:tr>
        <w:trPr>
          <w:trHeight w:val="183"/>
        </w:trPr>
        <w:tc>
          <w:tcPr>
            <w:tcW w:w="4880" w:type="dxa"/>
            <w:vAlign w:val="bottom"/>
          </w:tcPr>
          <w:p>
            <w:pPr>
              <w:ind w:left="40"/>
              <w:spacing w:after="0"/>
              <w:rPr>
                <w:sz w:val="20"/>
                <w:szCs w:val="20"/>
                <w:color w:val="auto"/>
              </w:rPr>
            </w:pPr>
            <w:r>
              <w:rPr>
                <w:rFonts w:ascii="Arial" w:cs="Arial" w:eastAsia="Arial" w:hAnsi="Arial"/>
                <w:sz w:val="11"/>
                <w:szCs w:val="11"/>
                <w:color w:val="auto"/>
              </w:rPr>
              <w:t>All Current Directors and Executive Officers as a Group (includes 19 persons)(15)</w:t>
            </w:r>
          </w:p>
        </w:tc>
        <w:tc>
          <w:tcPr>
            <w:tcW w:w="1480" w:type="dxa"/>
            <w:vAlign w:val="bottom"/>
          </w:tcPr>
          <w:p>
            <w:pPr>
              <w:jc w:val="right"/>
              <w:ind w:right="306"/>
              <w:spacing w:after="0"/>
              <w:rPr>
                <w:sz w:val="20"/>
                <w:szCs w:val="20"/>
                <w:color w:val="auto"/>
              </w:rPr>
            </w:pPr>
            <w:r>
              <w:rPr>
                <w:rFonts w:ascii="Arial" w:cs="Arial" w:eastAsia="Arial" w:hAnsi="Arial"/>
                <w:sz w:val="11"/>
                <w:szCs w:val="11"/>
                <w:color w:val="auto"/>
              </w:rPr>
              <w:t>1,261,461</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42545</wp:posOffset>
            </wp:positionV>
            <wp:extent cx="4663440" cy="571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13" w:lineRule="exact"/>
        <w:rPr>
          <w:sz w:val="20"/>
          <w:szCs w:val="20"/>
          <w:color w:val="auto"/>
        </w:rPr>
      </w:pPr>
    </w:p>
    <w:p>
      <w:pPr>
        <w:ind w:left="2260" w:hanging="288"/>
        <w:spacing w:after="0"/>
        <w:tabs>
          <w:tab w:leader="none" w:pos="2260" w:val="left"/>
        </w:tabs>
        <w:numPr>
          <w:ilvl w:val="0"/>
          <w:numId w:val="74"/>
        </w:numPr>
        <w:rPr>
          <w:rFonts w:ascii="Arial" w:cs="Arial" w:eastAsia="Arial" w:hAnsi="Arial"/>
          <w:sz w:val="10"/>
          <w:szCs w:val="10"/>
          <w:color w:val="auto"/>
        </w:rPr>
      </w:pPr>
      <w:r>
        <w:rPr>
          <w:rFonts w:ascii="Arial" w:cs="Arial" w:eastAsia="Arial" w:hAnsi="Arial"/>
          <w:sz w:val="10"/>
          <w:szCs w:val="10"/>
          <w:color w:val="auto"/>
        </w:rPr>
        <w:t>Less than one percent.</w:t>
      </w:r>
    </w:p>
    <w:p>
      <w:pPr>
        <w:spacing w:after="0" w:line="47" w:lineRule="exact"/>
        <w:rPr>
          <w:sz w:val="20"/>
          <w:szCs w:val="20"/>
          <w:color w:val="auto"/>
        </w:rPr>
      </w:pPr>
    </w:p>
    <w:p>
      <w:pPr>
        <w:ind w:left="2260" w:right="899" w:hanging="288"/>
        <w:spacing w:after="0" w:line="232" w:lineRule="auto"/>
        <w:tabs>
          <w:tab w:leader="none" w:pos="2260" w:val="left"/>
        </w:tabs>
        <w:numPr>
          <w:ilvl w:val="0"/>
          <w:numId w:val="75"/>
        </w:numPr>
        <w:rPr>
          <w:rFonts w:ascii="Arial" w:cs="Arial" w:eastAsia="Arial" w:hAnsi="Arial"/>
          <w:sz w:val="10"/>
          <w:szCs w:val="10"/>
          <w:color w:val="auto"/>
        </w:rPr>
      </w:pPr>
      <w:r>
        <w:rPr>
          <w:rFonts w:ascii="Arial" w:cs="Arial" w:eastAsia="Arial" w:hAnsi="Arial"/>
          <w:sz w:val="10"/>
          <w:szCs w:val="10"/>
          <w:color w:val="auto"/>
        </w:rPr>
        <w:t>Information in this table is based upon information furnished by each director and executive officer. There were 138,586,351 shares of Common Stock outstanding on March 13, 2023.</w:t>
      </w:r>
    </w:p>
    <w:p>
      <w:pPr>
        <w:spacing w:after="0" w:line="47" w:lineRule="exact"/>
        <w:rPr>
          <w:rFonts w:ascii="Arial" w:cs="Arial" w:eastAsia="Arial" w:hAnsi="Arial"/>
          <w:sz w:val="10"/>
          <w:szCs w:val="10"/>
          <w:color w:val="auto"/>
        </w:rPr>
      </w:pPr>
    </w:p>
    <w:p>
      <w:pPr>
        <w:ind w:left="2260" w:right="959" w:hanging="288"/>
        <w:spacing w:after="0" w:line="232" w:lineRule="auto"/>
        <w:tabs>
          <w:tab w:leader="none" w:pos="2260" w:val="left"/>
        </w:tabs>
        <w:numPr>
          <w:ilvl w:val="0"/>
          <w:numId w:val="75"/>
        </w:numPr>
        <w:rPr>
          <w:rFonts w:ascii="Arial" w:cs="Arial" w:eastAsia="Arial" w:hAnsi="Arial"/>
          <w:sz w:val="10"/>
          <w:szCs w:val="10"/>
          <w:color w:val="auto"/>
        </w:rPr>
      </w:pPr>
      <w:r>
        <w:rPr>
          <w:rFonts w:ascii="Arial" w:cs="Arial" w:eastAsia="Arial" w:hAnsi="Arial"/>
          <w:sz w:val="10"/>
          <w:szCs w:val="10"/>
          <w:color w:val="auto"/>
        </w:rPr>
        <w:t>Comprised of 29,379 shares the receipt of which is deferred until Mr. Bronfin retires from the Board as well as 5,184 shares deemed to be held in Mr. Bronfin’s stock unit account under the Deferred Plan.</w:t>
      </w:r>
    </w:p>
    <w:p>
      <w:pPr>
        <w:spacing w:after="0" w:line="47" w:lineRule="exact"/>
        <w:rPr>
          <w:rFonts w:ascii="Arial" w:cs="Arial" w:eastAsia="Arial" w:hAnsi="Arial"/>
          <w:sz w:val="10"/>
          <w:szCs w:val="10"/>
          <w:color w:val="auto"/>
        </w:rPr>
      </w:pPr>
    </w:p>
    <w:p>
      <w:pPr>
        <w:ind w:left="2260" w:hanging="288"/>
        <w:spacing w:after="0"/>
        <w:tabs>
          <w:tab w:leader="none" w:pos="2260" w:val="left"/>
        </w:tabs>
        <w:numPr>
          <w:ilvl w:val="0"/>
          <w:numId w:val="75"/>
        </w:numPr>
        <w:rPr>
          <w:rFonts w:ascii="Arial" w:cs="Arial" w:eastAsia="Arial" w:hAnsi="Arial"/>
          <w:sz w:val="10"/>
          <w:szCs w:val="10"/>
          <w:color w:val="auto"/>
        </w:rPr>
      </w:pPr>
      <w:r>
        <w:rPr>
          <w:rFonts w:ascii="Arial" w:cs="Arial" w:eastAsia="Arial" w:hAnsi="Arial"/>
          <w:sz w:val="10"/>
          <w:szCs w:val="10"/>
          <w:color w:val="auto"/>
        </w:rPr>
        <w:t>Includes currently exercisable options and options exercisable within sixty days of March 13, 2023 to purchase 72,766 shares.</w:t>
      </w:r>
    </w:p>
    <w:p>
      <w:pPr>
        <w:spacing w:after="0" w:line="47" w:lineRule="exact"/>
        <w:rPr>
          <w:rFonts w:ascii="Arial" w:cs="Arial" w:eastAsia="Arial" w:hAnsi="Arial"/>
          <w:sz w:val="10"/>
          <w:szCs w:val="10"/>
          <w:color w:val="auto"/>
        </w:rPr>
      </w:pPr>
    </w:p>
    <w:p>
      <w:pPr>
        <w:ind w:left="2260" w:right="879" w:hanging="288"/>
        <w:spacing w:after="0" w:line="232" w:lineRule="auto"/>
        <w:tabs>
          <w:tab w:leader="none" w:pos="2260" w:val="left"/>
        </w:tabs>
        <w:numPr>
          <w:ilvl w:val="0"/>
          <w:numId w:val="75"/>
        </w:numPr>
        <w:rPr>
          <w:rFonts w:ascii="Arial" w:cs="Arial" w:eastAsia="Arial" w:hAnsi="Arial"/>
          <w:sz w:val="10"/>
          <w:szCs w:val="10"/>
          <w:color w:val="auto"/>
        </w:rPr>
      </w:pPr>
      <w:r>
        <w:rPr>
          <w:rFonts w:ascii="Arial" w:cs="Arial" w:eastAsia="Arial" w:hAnsi="Arial"/>
          <w:sz w:val="10"/>
          <w:szCs w:val="10"/>
          <w:color w:val="auto"/>
        </w:rPr>
        <w:t>Includes 29,349 shares the receipt of which is deferred until Ms. Gersh retires from the Board and 32,194 shares deemed to be held in Ms. Gersh’s stock unit account under the Deferred Plan.</w:t>
      </w:r>
    </w:p>
    <w:p>
      <w:pPr>
        <w:spacing w:after="0" w:line="47" w:lineRule="exact"/>
        <w:rPr>
          <w:rFonts w:ascii="Arial" w:cs="Arial" w:eastAsia="Arial" w:hAnsi="Arial"/>
          <w:sz w:val="10"/>
          <w:szCs w:val="10"/>
          <w:color w:val="auto"/>
        </w:rPr>
      </w:pPr>
    </w:p>
    <w:p>
      <w:pPr>
        <w:ind w:left="2260" w:hanging="288"/>
        <w:spacing w:after="0"/>
        <w:tabs>
          <w:tab w:leader="none" w:pos="2260" w:val="left"/>
        </w:tabs>
        <w:numPr>
          <w:ilvl w:val="0"/>
          <w:numId w:val="75"/>
        </w:numPr>
        <w:rPr>
          <w:rFonts w:ascii="Arial" w:cs="Arial" w:eastAsia="Arial" w:hAnsi="Arial"/>
          <w:sz w:val="10"/>
          <w:szCs w:val="10"/>
          <w:color w:val="auto"/>
        </w:rPr>
      </w:pPr>
      <w:r>
        <w:rPr>
          <w:rFonts w:ascii="Arial" w:cs="Arial" w:eastAsia="Arial" w:hAnsi="Arial"/>
          <w:sz w:val="10"/>
          <w:szCs w:val="10"/>
          <w:color w:val="auto"/>
        </w:rPr>
        <w:t>Includes 10,369 shares the receipt of which is deferred until Ms. Leinbach retires from the Board.</w:t>
      </w:r>
    </w:p>
    <w:p>
      <w:pPr>
        <w:spacing w:after="0" w:line="47" w:lineRule="exact"/>
        <w:rPr>
          <w:rFonts w:ascii="Arial" w:cs="Arial" w:eastAsia="Arial" w:hAnsi="Arial"/>
          <w:sz w:val="10"/>
          <w:szCs w:val="10"/>
          <w:color w:val="auto"/>
        </w:rPr>
      </w:pPr>
    </w:p>
    <w:p>
      <w:pPr>
        <w:ind w:left="2260" w:hanging="288"/>
        <w:spacing w:after="0"/>
        <w:tabs>
          <w:tab w:leader="none" w:pos="2260" w:val="left"/>
        </w:tabs>
        <w:numPr>
          <w:ilvl w:val="0"/>
          <w:numId w:val="75"/>
        </w:numPr>
        <w:rPr>
          <w:rFonts w:ascii="Arial" w:cs="Arial" w:eastAsia="Arial" w:hAnsi="Arial"/>
          <w:sz w:val="10"/>
          <w:szCs w:val="10"/>
          <w:color w:val="auto"/>
        </w:rPr>
      </w:pPr>
      <w:r>
        <w:rPr>
          <w:rFonts w:ascii="Arial" w:cs="Arial" w:eastAsia="Arial" w:hAnsi="Arial"/>
          <w:sz w:val="10"/>
          <w:szCs w:val="10"/>
          <w:color w:val="auto"/>
        </w:rPr>
        <w:t>Includes currently exercisable options and options exercisable within sixty days of March 13, 2023 to purchase 54,073 shares.</w:t>
      </w:r>
    </w:p>
    <w:p>
      <w:pPr>
        <w:spacing w:after="0" w:line="47" w:lineRule="exact"/>
        <w:rPr>
          <w:rFonts w:ascii="Arial" w:cs="Arial" w:eastAsia="Arial" w:hAnsi="Arial"/>
          <w:sz w:val="10"/>
          <w:szCs w:val="10"/>
          <w:color w:val="auto"/>
        </w:rPr>
      </w:pPr>
    </w:p>
    <w:p>
      <w:pPr>
        <w:ind w:left="2260" w:right="1119" w:hanging="288"/>
        <w:spacing w:after="0" w:line="232" w:lineRule="auto"/>
        <w:tabs>
          <w:tab w:leader="none" w:pos="2260" w:val="left"/>
        </w:tabs>
        <w:numPr>
          <w:ilvl w:val="0"/>
          <w:numId w:val="75"/>
        </w:numPr>
        <w:rPr>
          <w:rFonts w:ascii="Arial" w:cs="Arial" w:eastAsia="Arial" w:hAnsi="Arial"/>
          <w:sz w:val="10"/>
          <w:szCs w:val="10"/>
          <w:color w:val="auto"/>
        </w:rPr>
      </w:pPr>
      <w:r>
        <w:rPr>
          <w:rFonts w:ascii="Arial" w:cs="Arial" w:eastAsia="Arial" w:hAnsi="Arial"/>
          <w:sz w:val="10"/>
          <w:szCs w:val="10"/>
          <w:color w:val="auto"/>
        </w:rPr>
        <w:t>Comprised of 44,623 shares the receipt of which is deferred until Mr. Philip retires from the Board and 57,826 shares deemed to be held in Mr. Philip’s stock unit account under the Deferred Plan.</w:t>
      </w:r>
    </w:p>
    <w:p>
      <w:pPr>
        <w:spacing w:after="0" w:line="47" w:lineRule="exact"/>
        <w:rPr>
          <w:rFonts w:ascii="Arial" w:cs="Arial" w:eastAsia="Arial" w:hAnsi="Arial"/>
          <w:sz w:val="10"/>
          <w:szCs w:val="10"/>
          <w:color w:val="auto"/>
        </w:rPr>
      </w:pPr>
    </w:p>
    <w:p>
      <w:pPr>
        <w:ind w:left="2260" w:hanging="288"/>
        <w:spacing w:after="0"/>
        <w:tabs>
          <w:tab w:leader="none" w:pos="2260" w:val="left"/>
        </w:tabs>
        <w:numPr>
          <w:ilvl w:val="0"/>
          <w:numId w:val="75"/>
        </w:numPr>
        <w:rPr>
          <w:rFonts w:ascii="Arial" w:cs="Arial" w:eastAsia="Arial" w:hAnsi="Arial"/>
          <w:sz w:val="10"/>
          <w:szCs w:val="10"/>
          <w:color w:val="auto"/>
        </w:rPr>
      </w:pPr>
      <w:r>
        <w:rPr>
          <w:rFonts w:ascii="Arial" w:cs="Arial" w:eastAsia="Arial" w:hAnsi="Arial"/>
          <w:sz w:val="10"/>
          <w:szCs w:val="10"/>
          <w:color w:val="auto"/>
        </w:rPr>
        <w:t>Comprised of 4,715 shares the receipt of which is deferred until Ms. Richie retires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56515</wp:posOffset>
            </wp:positionV>
            <wp:extent cx="3971925" cy="21717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26"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93</w:t>
      </w:r>
    </w:p>
    <w:p>
      <w:pPr>
        <w:sectPr>
          <w:pgSz w:w="11900" w:h="16838" w:orient="portrait"/>
          <w:cols w:equalWidth="0" w:num="1">
            <w:col w:w="10159"/>
          </w:cols>
          <w:pgMar w:left="300" w:top="372" w:right="1440" w:bottom="1440" w:gutter="0" w:footer="0" w:header="0"/>
        </w:sectPr>
      </w:pPr>
    </w:p>
    <w:bookmarkStart w:id="115" w:name="page116"/>
    <w:bookmarkEnd w:id="11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8" w:lineRule="exact"/>
        <w:rPr>
          <w:sz w:val="20"/>
          <w:szCs w:val="20"/>
          <w:color w:val="auto"/>
        </w:rPr>
      </w:pPr>
    </w:p>
    <w:p>
      <w:pPr>
        <w:ind w:left="2260" w:right="859" w:hanging="288"/>
        <w:spacing w:after="0" w:line="232" w:lineRule="auto"/>
        <w:tabs>
          <w:tab w:leader="none" w:pos="2260" w:val="left"/>
        </w:tabs>
        <w:numPr>
          <w:ilvl w:val="0"/>
          <w:numId w:val="76"/>
        </w:numPr>
        <w:rPr>
          <w:rFonts w:ascii="Arial" w:cs="Arial" w:eastAsia="Arial" w:hAnsi="Arial"/>
          <w:sz w:val="10"/>
          <w:szCs w:val="10"/>
          <w:color w:val="auto"/>
        </w:rPr>
      </w:pPr>
      <w:r>
        <w:rPr>
          <w:rFonts w:ascii="Arial" w:cs="Arial" w:eastAsia="Arial" w:hAnsi="Arial"/>
          <w:sz w:val="10"/>
          <w:szCs w:val="10"/>
          <w:color w:val="auto"/>
        </w:rPr>
        <w:t>Comprised of 17,273 shares the receipt of which is deferred until Mr. Stoddart retires from the Board and 14,697 shares deemed to be held in Mr. Stoddart’s stock unit account under the Deferred Plan.</w:t>
      </w:r>
    </w:p>
    <w:p>
      <w:pPr>
        <w:spacing w:after="0" w:line="47" w:lineRule="exact"/>
        <w:rPr>
          <w:rFonts w:ascii="Arial" w:cs="Arial" w:eastAsia="Arial" w:hAnsi="Arial"/>
          <w:sz w:val="10"/>
          <w:szCs w:val="10"/>
          <w:color w:val="auto"/>
        </w:rPr>
      </w:pPr>
    </w:p>
    <w:p>
      <w:pPr>
        <w:ind w:left="2260" w:hanging="288"/>
        <w:spacing w:after="0"/>
        <w:tabs>
          <w:tab w:leader="none" w:pos="2260" w:val="left"/>
        </w:tabs>
        <w:numPr>
          <w:ilvl w:val="0"/>
          <w:numId w:val="76"/>
        </w:numPr>
        <w:rPr>
          <w:rFonts w:ascii="Arial" w:cs="Arial" w:eastAsia="Arial" w:hAnsi="Arial"/>
          <w:sz w:val="10"/>
          <w:szCs w:val="10"/>
          <w:color w:val="auto"/>
        </w:rPr>
      </w:pPr>
      <w:r>
        <w:rPr>
          <w:rFonts w:ascii="Arial" w:cs="Arial" w:eastAsia="Arial" w:hAnsi="Arial"/>
          <w:sz w:val="10"/>
          <w:szCs w:val="10"/>
          <w:color w:val="auto"/>
        </w:rPr>
        <w:t>Includes currently exercisable options and options exercisable within sixty days of March 13, 2023 to purchase 158,196 shares.</w:t>
      </w:r>
    </w:p>
    <w:p>
      <w:pPr>
        <w:spacing w:after="0" w:line="47" w:lineRule="exact"/>
        <w:rPr>
          <w:rFonts w:ascii="Arial" w:cs="Arial" w:eastAsia="Arial" w:hAnsi="Arial"/>
          <w:sz w:val="10"/>
          <w:szCs w:val="10"/>
          <w:color w:val="auto"/>
        </w:rPr>
      </w:pPr>
    </w:p>
    <w:p>
      <w:pPr>
        <w:ind w:left="2260" w:hanging="288"/>
        <w:spacing w:after="0"/>
        <w:tabs>
          <w:tab w:leader="none" w:pos="2260" w:val="left"/>
        </w:tabs>
        <w:numPr>
          <w:ilvl w:val="0"/>
          <w:numId w:val="76"/>
        </w:numPr>
        <w:rPr>
          <w:rFonts w:ascii="Arial" w:cs="Arial" w:eastAsia="Arial" w:hAnsi="Arial"/>
          <w:sz w:val="10"/>
          <w:szCs w:val="10"/>
          <w:color w:val="auto"/>
        </w:rPr>
      </w:pPr>
      <w:r>
        <w:rPr>
          <w:rFonts w:ascii="Arial" w:cs="Arial" w:eastAsia="Arial" w:hAnsi="Arial"/>
          <w:sz w:val="10"/>
          <w:szCs w:val="10"/>
          <w:color w:val="auto"/>
        </w:rPr>
        <w:t>Includes currently exercisable options and options exercisable within sixty days of March 13, 2023 to purchase 79,391 shares.</w:t>
      </w:r>
    </w:p>
    <w:p>
      <w:pPr>
        <w:spacing w:after="0" w:line="47" w:lineRule="exact"/>
        <w:rPr>
          <w:rFonts w:ascii="Arial" w:cs="Arial" w:eastAsia="Arial" w:hAnsi="Arial"/>
          <w:sz w:val="10"/>
          <w:szCs w:val="10"/>
          <w:color w:val="auto"/>
        </w:rPr>
      </w:pPr>
    </w:p>
    <w:p>
      <w:pPr>
        <w:ind w:left="2260" w:hanging="288"/>
        <w:spacing w:after="0"/>
        <w:tabs>
          <w:tab w:leader="none" w:pos="2260" w:val="left"/>
        </w:tabs>
        <w:numPr>
          <w:ilvl w:val="0"/>
          <w:numId w:val="76"/>
        </w:numPr>
        <w:rPr>
          <w:rFonts w:ascii="Arial" w:cs="Arial" w:eastAsia="Arial" w:hAnsi="Arial"/>
          <w:sz w:val="10"/>
          <w:szCs w:val="10"/>
          <w:color w:val="auto"/>
        </w:rPr>
      </w:pPr>
      <w:r>
        <w:rPr>
          <w:rFonts w:ascii="Arial" w:cs="Arial" w:eastAsia="Arial" w:hAnsi="Arial"/>
          <w:sz w:val="10"/>
          <w:szCs w:val="10"/>
          <w:color w:val="auto"/>
        </w:rPr>
        <w:t>Comprised of 5,895 shares the receipt of which is deferred until Ms. West retires from the Board.</w:t>
      </w:r>
    </w:p>
    <w:p>
      <w:pPr>
        <w:spacing w:after="0" w:line="47" w:lineRule="exact"/>
        <w:rPr>
          <w:rFonts w:ascii="Arial" w:cs="Arial" w:eastAsia="Arial" w:hAnsi="Arial"/>
          <w:sz w:val="10"/>
          <w:szCs w:val="10"/>
          <w:color w:val="auto"/>
        </w:rPr>
      </w:pPr>
    </w:p>
    <w:p>
      <w:pPr>
        <w:ind w:left="2260" w:hanging="288"/>
        <w:spacing w:after="0"/>
        <w:tabs>
          <w:tab w:leader="none" w:pos="2260" w:val="left"/>
        </w:tabs>
        <w:numPr>
          <w:ilvl w:val="0"/>
          <w:numId w:val="76"/>
        </w:numPr>
        <w:rPr>
          <w:rFonts w:ascii="Arial" w:cs="Arial" w:eastAsia="Arial" w:hAnsi="Arial"/>
          <w:sz w:val="10"/>
          <w:szCs w:val="10"/>
          <w:color w:val="auto"/>
        </w:rPr>
      </w:pPr>
      <w:r>
        <w:rPr>
          <w:rFonts w:ascii="Arial" w:cs="Arial" w:eastAsia="Arial" w:hAnsi="Arial"/>
          <w:sz w:val="10"/>
          <w:szCs w:val="10"/>
          <w:color w:val="auto"/>
        </w:rPr>
        <w:t>Includes currently exercisable options and options exercisable within sixty days of March 13, 2023 to purchase 5,271 shares.</w:t>
      </w:r>
    </w:p>
    <w:p>
      <w:pPr>
        <w:spacing w:after="0" w:line="47" w:lineRule="exact"/>
        <w:rPr>
          <w:rFonts w:ascii="Arial" w:cs="Arial" w:eastAsia="Arial" w:hAnsi="Arial"/>
          <w:sz w:val="10"/>
          <w:szCs w:val="10"/>
          <w:color w:val="auto"/>
        </w:rPr>
      </w:pPr>
    </w:p>
    <w:p>
      <w:pPr>
        <w:ind w:left="2260" w:right="999" w:hanging="288"/>
        <w:spacing w:after="0" w:line="232" w:lineRule="auto"/>
        <w:tabs>
          <w:tab w:leader="none" w:pos="2260" w:val="left"/>
        </w:tabs>
        <w:numPr>
          <w:ilvl w:val="0"/>
          <w:numId w:val="76"/>
        </w:numPr>
        <w:rPr>
          <w:rFonts w:ascii="Arial" w:cs="Arial" w:eastAsia="Arial" w:hAnsi="Arial"/>
          <w:sz w:val="10"/>
          <w:szCs w:val="10"/>
          <w:color w:val="auto"/>
        </w:rPr>
      </w:pPr>
      <w:r>
        <w:rPr>
          <w:rFonts w:ascii="Arial" w:cs="Arial" w:eastAsia="Arial" w:hAnsi="Arial"/>
          <w:sz w:val="10"/>
          <w:szCs w:val="10"/>
          <w:color w:val="auto"/>
        </w:rPr>
        <w:t>Comprised of 14,797 shares the receipt of which is deferred until Ms. Higgins retires from the Board and 8,961 shares deemed to be held in Ms. Higgins’ stock unit account under the Deferred Plan.</w:t>
      </w:r>
    </w:p>
    <w:p>
      <w:pPr>
        <w:spacing w:after="0" w:line="47" w:lineRule="exact"/>
        <w:rPr>
          <w:rFonts w:ascii="Arial" w:cs="Arial" w:eastAsia="Arial" w:hAnsi="Arial"/>
          <w:sz w:val="10"/>
          <w:szCs w:val="10"/>
          <w:color w:val="auto"/>
        </w:rPr>
      </w:pPr>
    </w:p>
    <w:p>
      <w:pPr>
        <w:ind w:left="2260" w:right="999" w:hanging="288"/>
        <w:spacing w:after="0" w:line="228" w:lineRule="auto"/>
        <w:tabs>
          <w:tab w:leader="none" w:pos="2260" w:val="left"/>
        </w:tabs>
        <w:numPr>
          <w:ilvl w:val="0"/>
          <w:numId w:val="76"/>
        </w:numPr>
        <w:rPr>
          <w:rFonts w:ascii="Arial" w:cs="Arial" w:eastAsia="Arial" w:hAnsi="Arial"/>
          <w:sz w:val="10"/>
          <w:szCs w:val="10"/>
          <w:color w:val="auto"/>
        </w:rPr>
      </w:pPr>
      <w:r>
        <w:rPr>
          <w:rFonts w:ascii="Arial" w:cs="Arial" w:eastAsia="Arial" w:hAnsi="Arial"/>
          <w:sz w:val="10"/>
          <w:szCs w:val="10"/>
          <w:color w:val="auto"/>
        </w:rPr>
        <w:t>Of these shares, all current directors and executive officers as a group have sole voting and dispositive power with respect to 1,261,461 shares. Includes 429,817 shares purchasable by directors and executive officers upon exercise of currently exercisable options or options exercisable within sixty days of March 13, 2023; 156,400 shares deemed to be held in director stock unit accounts under the Deferred Plan; and 118,862 shares the receipt of which has been deferred by directors until they retire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57785</wp:posOffset>
            </wp:positionV>
            <wp:extent cx="3971925" cy="21717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7"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94</w:t>
      </w:r>
    </w:p>
    <w:p>
      <w:pPr>
        <w:sectPr>
          <w:pgSz w:w="11900" w:h="16838" w:orient="portrait"/>
          <w:cols w:equalWidth="0" w:num="1">
            <w:col w:w="10159"/>
          </w:cols>
          <w:pgMar w:left="300" w:top="372" w:right="1440" w:bottom="1440" w:gutter="0" w:footer="0" w:header="0"/>
        </w:sectPr>
      </w:pPr>
    </w:p>
    <w:bookmarkStart w:id="116" w:name="page117"/>
    <w:bookmarkEnd w:id="11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Equity Compensation Plans</w:t>
      </w:r>
    </w:p>
    <w:p>
      <w:pPr>
        <w:spacing w:after="0" w:line="97" w:lineRule="exact"/>
        <w:rPr>
          <w:sz w:val="20"/>
          <w:szCs w:val="20"/>
          <w:color w:val="auto"/>
        </w:rPr>
      </w:pPr>
    </w:p>
    <w:p>
      <w:pPr>
        <w:ind w:left="1980" w:right="879"/>
        <w:spacing w:after="0" w:line="245" w:lineRule="auto"/>
        <w:rPr>
          <w:sz w:val="20"/>
          <w:szCs w:val="20"/>
          <w:color w:val="auto"/>
        </w:rPr>
      </w:pPr>
      <w:r>
        <w:rPr>
          <w:rFonts w:ascii="Arial" w:cs="Arial" w:eastAsia="Arial" w:hAnsi="Arial"/>
          <w:sz w:val="11"/>
          <w:szCs w:val="11"/>
          <w:color w:val="auto"/>
        </w:rPr>
        <w:t>The following table summarizes information, as of December 25, 2022, relating to equity compensation plans of the Company pursuant to which grants of options, restricted stock, restricted stock units, performance shares or other rights to acquire shares may be granted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149860</wp:posOffset>
            </wp:positionV>
            <wp:extent cx="4663440" cy="26860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1"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Equity Compensation Plan Information</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96"/>
        </w:trPr>
        <w:tc>
          <w:tcPr>
            <w:tcW w:w="1720" w:type="dxa"/>
            <w:vAlign w:val="bottom"/>
            <w:tcBorders>
              <w:top w:val="single" w:sz="8" w:color="0060ED"/>
            </w:tcBorders>
            <w:shd w:val="clear" w:color="auto" w:fill="CCEBF8"/>
          </w:tcPr>
          <w:p>
            <w:pPr>
              <w:spacing w:after="0"/>
              <w:rPr>
                <w:sz w:val="17"/>
                <w:szCs w:val="17"/>
                <w:color w:val="auto"/>
              </w:rPr>
            </w:pPr>
          </w:p>
        </w:tc>
        <w:tc>
          <w:tcPr>
            <w:tcW w:w="2240" w:type="dxa"/>
            <w:vAlign w:val="bottom"/>
            <w:tcBorders>
              <w:top w:val="single" w:sz="8" w:color="0060ED"/>
            </w:tcBorders>
            <w:shd w:val="clear" w:color="auto" w:fill="CCEBF8"/>
          </w:tcPr>
          <w:p>
            <w:pPr>
              <w:spacing w:after="0"/>
              <w:rPr>
                <w:sz w:val="17"/>
                <w:szCs w:val="17"/>
                <w:color w:val="auto"/>
              </w:rPr>
            </w:pPr>
          </w:p>
        </w:tc>
        <w:tc>
          <w:tcPr>
            <w:tcW w:w="360" w:type="dxa"/>
            <w:vAlign w:val="bottom"/>
            <w:tcBorders>
              <w:top w:val="single" w:sz="8" w:color="0060ED"/>
            </w:tcBorders>
            <w:shd w:val="clear" w:color="auto" w:fill="CCEBF8"/>
          </w:tcPr>
          <w:p>
            <w:pPr>
              <w:spacing w:after="0"/>
              <w:rPr>
                <w:sz w:val="17"/>
                <w:szCs w:val="17"/>
                <w:color w:val="auto"/>
              </w:rPr>
            </w:pPr>
          </w:p>
        </w:tc>
        <w:tc>
          <w:tcPr>
            <w:tcW w:w="1320" w:type="dxa"/>
            <w:vAlign w:val="bottom"/>
            <w:tcBorders>
              <w:top w:val="single" w:sz="8" w:color="0060ED"/>
            </w:tcBorders>
            <w:shd w:val="clear" w:color="auto" w:fill="CCEBF8"/>
          </w:tcPr>
          <w:p>
            <w:pPr>
              <w:spacing w:after="0"/>
              <w:rPr>
                <w:sz w:val="17"/>
                <w:szCs w:val="17"/>
                <w:color w:val="auto"/>
              </w:rPr>
            </w:pPr>
          </w:p>
        </w:tc>
        <w:tc>
          <w:tcPr>
            <w:tcW w:w="1700" w:type="dxa"/>
            <w:vAlign w:val="bottom"/>
            <w:tcBorders>
              <w:top w:val="single" w:sz="8" w:color="0060ED"/>
            </w:tcBorders>
            <w:shd w:val="clear" w:color="auto" w:fill="CCEBF8"/>
          </w:tcPr>
          <w:p>
            <w:pPr>
              <w:jc w:val="center"/>
              <w:ind w:left="86"/>
              <w:spacing w:after="0"/>
              <w:rPr>
                <w:sz w:val="20"/>
                <w:szCs w:val="20"/>
                <w:color w:val="auto"/>
              </w:rPr>
            </w:pPr>
            <w:r>
              <w:rPr>
                <w:rFonts w:ascii="Arial" w:cs="Arial" w:eastAsia="Arial" w:hAnsi="Arial"/>
                <w:sz w:val="11"/>
                <w:szCs w:val="11"/>
                <w:b w:val="1"/>
                <w:bCs w:val="1"/>
                <w:color w:val="009BDE"/>
                <w:w w:val="97"/>
              </w:rPr>
              <w:t>Number of Securities</w:t>
            </w:r>
          </w:p>
        </w:tc>
      </w:tr>
      <w:tr>
        <w:trPr>
          <w:trHeight w:val="126"/>
        </w:trPr>
        <w:tc>
          <w:tcPr>
            <w:tcW w:w="1720" w:type="dxa"/>
            <w:vAlign w:val="bottom"/>
            <w:shd w:val="clear" w:color="auto" w:fill="CCEBF8"/>
          </w:tcPr>
          <w:p>
            <w:pPr>
              <w:spacing w:after="0"/>
              <w:rPr>
                <w:sz w:val="10"/>
                <w:szCs w:val="10"/>
                <w:color w:val="auto"/>
              </w:rPr>
            </w:pPr>
          </w:p>
        </w:tc>
        <w:tc>
          <w:tcPr>
            <w:tcW w:w="2240" w:type="dxa"/>
            <w:vAlign w:val="bottom"/>
            <w:shd w:val="clear" w:color="auto" w:fill="CCEBF8"/>
          </w:tcPr>
          <w:p>
            <w:pPr>
              <w:spacing w:after="0"/>
              <w:rPr>
                <w:sz w:val="10"/>
                <w:szCs w:val="10"/>
                <w:color w:val="auto"/>
              </w:rPr>
            </w:pPr>
          </w:p>
        </w:tc>
        <w:tc>
          <w:tcPr>
            <w:tcW w:w="360" w:type="dxa"/>
            <w:vAlign w:val="bottom"/>
            <w:shd w:val="clear" w:color="auto" w:fill="CCEBF8"/>
          </w:tcPr>
          <w:p>
            <w:pPr>
              <w:spacing w:after="0"/>
              <w:rPr>
                <w:sz w:val="10"/>
                <w:szCs w:val="10"/>
                <w:color w:val="auto"/>
              </w:rPr>
            </w:pPr>
          </w:p>
        </w:tc>
        <w:tc>
          <w:tcPr>
            <w:tcW w:w="1320" w:type="dxa"/>
            <w:vAlign w:val="bottom"/>
            <w:shd w:val="clear" w:color="auto" w:fill="CCEBF8"/>
          </w:tcPr>
          <w:p>
            <w:pPr>
              <w:spacing w:after="0"/>
              <w:rPr>
                <w:sz w:val="10"/>
                <w:szCs w:val="10"/>
                <w:color w:val="auto"/>
              </w:rPr>
            </w:pPr>
          </w:p>
        </w:tc>
        <w:tc>
          <w:tcPr>
            <w:tcW w:w="1700" w:type="dxa"/>
            <w:vAlign w:val="bottom"/>
            <w:shd w:val="clear" w:color="auto" w:fill="CCEBF8"/>
          </w:tcPr>
          <w:p>
            <w:pPr>
              <w:jc w:val="center"/>
              <w:ind w:left="106"/>
              <w:spacing w:after="0"/>
              <w:rPr>
                <w:sz w:val="20"/>
                <w:szCs w:val="20"/>
                <w:color w:val="auto"/>
              </w:rPr>
            </w:pPr>
            <w:r>
              <w:rPr>
                <w:rFonts w:ascii="Arial" w:cs="Arial" w:eastAsia="Arial" w:hAnsi="Arial"/>
                <w:sz w:val="11"/>
                <w:szCs w:val="11"/>
                <w:b w:val="1"/>
                <w:bCs w:val="1"/>
                <w:color w:val="009BDE"/>
                <w:w w:val="97"/>
              </w:rPr>
              <w:t>Remaining Available for</w:t>
            </w:r>
          </w:p>
        </w:tc>
      </w:tr>
      <w:tr>
        <w:trPr>
          <w:trHeight w:val="126"/>
        </w:trPr>
        <w:tc>
          <w:tcPr>
            <w:tcW w:w="1720" w:type="dxa"/>
            <w:vAlign w:val="bottom"/>
            <w:shd w:val="clear" w:color="auto" w:fill="CCEBF8"/>
          </w:tcPr>
          <w:p>
            <w:pPr>
              <w:spacing w:after="0"/>
              <w:rPr>
                <w:sz w:val="10"/>
                <w:szCs w:val="10"/>
                <w:color w:val="auto"/>
              </w:rPr>
            </w:pPr>
          </w:p>
        </w:tc>
        <w:tc>
          <w:tcPr>
            <w:tcW w:w="2240" w:type="dxa"/>
            <w:vAlign w:val="bottom"/>
            <w:shd w:val="clear" w:color="auto" w:fill="CCEBF8"/>
          </w:tcPr>
          <w:p>
            <w:pPr>
              <w:jc w:val="center"/>
              <w:ind w:left="66"/>
              <w:spacing w:after="0"/>
              <w:rPr>
                <w:sz w:val="20"/>
                <w:szCs w:val="20"/>
                <w:color w:val="auto"/>
              </w:rPr>
            </w:pPr>
            <w:r>
              <w:rPr>
                <w:rFonts w:ascii="Arial" w:cs="Arial" w:eastAsia="Arial" w:hAnsi="Arial"/>
                <w:sz w:val="11"/>
                <w:szCs w:val="11"/>
                <w:b w:val="1"/>
                <w:bCs w:val="1"/>
                <w:color w:val="009BDE"/>
                <w:w w:val="97"/>
              </w:rPr>
              <w:t>Number of Securities</w:t>
            </w:r>
          </w:p>
        </w:tc>
        <w:tc>
          <w:tcPr>
            <w:tcW w:w="360" w:type="dxa"/>
            <w:vAlign w:val="bottom"/>
            <w:shd w:val="clear" w:color="auto" w:fill="CCEBF8"/>
          </w:tcPr>
          <w:p>
            <w:pPr>
              <w:spacing w:after="0"/>
              <w:rPr>
                <w:sz w:val="10"/>
                <w:szCs w:val="10"/>
                <w:color w:val="auto"/>
              </w:rPr>
            </w:pPr>
          </w:p>
        </w:tc>
        <w:tc>
          <w:tcPr>
            <w:tcW w:w="1320" w:type="dxa"/>
            <w:vAlign w:val="bottom"/>
            <w:shd w:val="clear" w:color="auto" w:fill="CCEBF8"/>
          </w:tcPr>
          <w:p>
            <w:pPr>
              <w:spacing w:after="0"/>
              <w:rPr>
                <w:sz w:val="10"/>
                <w:szCs w:val="10"/>
                <w:color w:val="auto"/>
              </w:rPr>
            </w:pPr>
          </w:p>
        </w:tc>
        <w:tc>
          <w:tcPr>
            <w:tcW w:w="1700" w:type="dxa"/>
            <w:vAlign w:val="bottom"/>
            <w:shd w:val="clear" w:color="auto" w:fill="CCEBF8"/>
          </w:tcPr>
          <w:p>
            <w:pPr>
              <w:jc w:val="center"/>
              <w:ind w:left="86"/>
              <w:spacing w:after="0"/>
              <w:rPr>
                <w:sz w:val="20"/>
                <w:szCs w:val="20"/>
                <w:color w:val="auto"/>
              </w:rPr>
            </w:pPr>
            <w:r>
              <w:rPr>
                <w:rFonts w:ascii="Arial" w:cs="Arial" w:eastAsia="Arial" w:hAnsi="Arial"/>
                <w:sz w:val="11"/>
                <w:szCs w:val="11"/>
                <w:b w:val="1"/>
                <w:bCs w:val="1"/>
                <w:color w:val="009BDE"/>
                <w:w w:val="97"/>
              </w:rPr>
              <w:t>Future Issuance Under</w:t>
            </w:r>
          </w:p>
        </w:tc>
      </w:tr>
      <w:tr>
        <w:trPr>
          <w:trHeight w:val="126"/>
        </w:trPr>
        <w:tc>
          <w:tcPr>
            <w:tcW w:w="1720" w:type="dxa"/>
            <w:vAlign w:val="bottom"/>
            <w:shd w:val="clear" w:color="auto" w:fill="CCEBF8"/>
          </w:tcPr>
          <w:p>
            <w:pPr>
              <w:spacing w:after="0"/>
              <w:rPr>
                <w:sz w:val="10"/>
                <w:szCs w:val="10"/>
                <w:color w:val="auto"/>
              </w:rPr>
            </w:pPr>
          </w:p>
        </w:tc>
        <w:tc>
          <w:tcPr>
            <w:tcW w:w="2240" w:type="dxa"/>
            <w:vAlign w:val="bottom"/>
            <w:shd w:val="clear" w:color="auto" w:fill="CCEBF8"/>
          </w:tcPr>
          <w:p>
            <w:pPr>
              <w:jc w:val="center"/>
              <w:ind w:left="86"/>
              <w:spacing w:after="0"/>
              <w:rPr>
                <w:sz w:val="20"/>
                <w:szCs w:val="20"/>
                <w:color w:val="auto"/>
              </w:rPr>
            </w:pPr>
            <w:r>
              <w:rPr>
                <w:rFonts w:ascii="Arial" w:cs="Arial" w:eastAsia="Arial" w:hAnsi="Arial"/>
                <w:sz w:val="11"/>
                <w:szCs w:val="11"/>
                <w:b w:val="1"/>
                <w:bCs w:val="1"/>
                <w:color w:val="009BDE"/>
                <w:w w:val="98"/>
              </w:rPr>
              <w:t>to be Issued Upon</w:t>
            </w:r>
          </w:p>
        </w:tc>
        <w:tc>
          <w:tcPr>
            <w:tcW w:w="360" w:type="dxa"/>
            <w:vAlign w:val="bottom"/>
            <w:shd w:val="clear" w:color="auto" w:fill="CCEBF8"/>
          </w:tcPr>
          <w:p>
            <w:pPr>
              <w:spacing w:after="0"/>
              <w:rPr>
                <w:sz w:val="10"/>
                <w:szCs w:val="10"/>
                <w:color w:val="auto"/>
              </w:rPr>
            </w:pPr>
          </w:p>
        </w:tc>
        <w:tc>
          <w:tcPr>
            <w:tcW w:w="1320" w:type="dxa"/>
            <w:vAlign w:val="bottom"/>
            <w:shd w:val="clear" w:color="auto" w:fill="CCEBF8"/>
          </w:tcPr>
          <w:p>
            <w:pPr>
              <w:jc w:val="center"/>
              <w:ind w:right="326"/>
              <w:spacing w:after="0"/>
              <w:rPr>
                <w:sz w:val="20"/>
                <w:szCs w:val="20"/>
                <w:color w:val="auto"/>
              </w:rPr>
            </w:pPr>
            <w:r>
              <w:rPr>
                <w:rFonts w:ascii="Arial" w:cs="Arial" w:eastAsia="Arial" w:hAnsi="Arial"/>
                <w:sz w:val="11"/>
                <w:szCs w:val="11"/>
                <w:b w:val="1"/>
                <w:bCs w:val="1"/>
                <w:color w:val="009BDE"/>
                <w:w w:val="97"/>
              </w:rPr>
              <w:t>Weighted-Average</w:t>
            </w:r>
          </w:p>
        </w:tc>
        <w:tc>
          <w:tcPr>
            <w:tcW w:w="1700" w:type="dxa"/>
            <w:vAlign w:val="bottom"/>
            <w:shd w:val="clear" w:color="auto" w:fill="CCEBF8"/>
          </w:tcPr>
          <w:p>
            <w:pPr>
              <w:jc w:val="center"/>
              <w:ind w:left="86"/>
              <w:spacing w:after="0"/>
              <w:rPr>
                <w:sz w:val="20"/>
                <w:szCs w:val="20"/>
                <w:color w:val="auto"/>
              </w:rPr>
            </w:pPr>
            <w:r>
              <w:rPr>
                <w:rFonts w:ascii="Arial" w:cs="Arial" w:eastAsia="Arial" w:hAnsi="Arial"/>
                <w:sz w:val="11"/>
                <w:szCs w:val="11"/>
                <w:b w:val="1"/>
                <w:bCs w:val="1"/>
                <w:color w:val="009BDE"/>
                <w:w w:val="99"/>
              </w:rPr>
              <w:t>Equity Compensation</w:t>
            </w:r>
          </w:p>
        </w:tc>
      </w:tr>
      <w:tr>
        <w:trPr>
          <w:trHeight w:val="126"/>
        </w:trPr>
        <w:tc>
          <w:tcPr>
            <w:tcW w:w="1720" w:type="dxa"/>
            <w:vAlign w:val="bottom"/>
            <w:shd w:val="clear" w:color="auto" w:fill="CCEBF8"/>
          </w:tcPr>
          <w:p>
            <w:pPr>
              <w:spacing w:after="0"/>
              <w:rPr>
                <w:sz w:val="10"/>
                <w:szCs w:val="10"/>
                <w:color w:val="auto"/>
              </w:rPr>
            </w:pPr>
          </w:p>
        </w:tc>
        <w:tc>
          <w:tcPr>
            <w:tcW w:w="2240" w:type="dxa"/>
            <w:vAlign w:val="bottom"/>
            <w:shd w:val="clear" w:color="auto" w:fill="CCEBF8"/>
          </w:tcPr>
          <w:p>
            <w:pPr>
              <w:jc w:val="center"/>
              <w:ind w:left="66"/>
              <w:spacing w:after="0"/>
              <w:rPr>
                <w:sz w:val="20"/>
                <w:szCs w:val="20"/>
                <w:color w:val="auto"/>
              </w:rPr>
            </w:pPr>
            <w:r>
              <w:rPr>
                <w:rFonts w:ascii="Arial" w:cs="Arial" w:eastAsia="Arial" w:hAnsi="Arial"/>
                <w:sz w:val="11"/>
                <w:szCs w:val="11"/>
                <w:b w:val="1"/>
                <w:bCs w:val="1"/>
                <w:color w:val="009BDE"/>
                <w:w w:val="97"/>
              </w:rPr>
              <w:t>Exercise of Outstanding</w:t>
            </w:r>
          </w:p>
        </w:tc>
        <w:tc>
          <w:tcPr>
            <w:tcW w:w="360" w:type="dxa"/>
            <w:vAlign w:val="bottom"/>
            <w:shd w:val="clear" w:color="auto" w:fill="CCEBF8"/>
          </w:tcPr>
          <w:p>
            <w:pPr>
              <w:spacing w:after="0"/>
              <w:rPr>
                <w:sz w:val="10"/>
                <w:szCs w:val="10"/>
                <w:color w:val="auto"/>
              </w:rPr>
            </w:pPr>
          </w:p>
        </w:tc>
        <w:tc>
          <w:tcPr>
            <w:tcW w:w="1320" w:type="dxa"/>
            <w:vAlign w:val="bottom"/>
            <w:shd w:val="clear" w:color="auto" w:fill="CCEBF8"/>
          </w:tcPr>
          <w:p>
            <w:pPr>
              <w:jc w:val="center"/>
              <w:ind w:right="326"/>
              <w:spacing w:after="0"/>
              <w:rPr>
                <w:sz w:val="20"/>
                <w:szCs w:val="20"/>
                <w:color w:val="auto"/>
              </w:rPr>
            </w:pPr>
            <w:r>
              <w:rPr>
                <w:rFonts w:ascii="Arial" w:cs="Arial" w:eastAsia="Arial" w:hAnsi="Arial"/>
                <w:sz w:val="11"/>
                <w:szCs w:val="11"/>
                <w:b w:val="1"/>
                <w:bCs w:val="1"/>
                <w:color w:val="009BDE"/>
                <w:w w:val="96"/>
              </w:rPr>
              <w:t>Exercise Price of</w:t>
            </w:r>
          </w:p>
        </w:tc>
        <w:tc>
          <w:tcPr>
            <w:tcW w:w="1700" w:type="dxa"/>
            <w:vAlign w:val="bottom"/>
            <w:shd w:val="clear" w:color="auto" w:fill="CCEBF8"/>
          </w:tcPr>
          <w:p>
            <w:pPr>
              <w:jc w:val="center"/>
              <w:ind w:left="86"/>
              <w:spacing w:after="0"/>
              <w:rPr>
                <w:sz w:val="20"/>
                <w:szCs w:val="20"/>
                <w:color w:val="auto"/>
              </w:rPr>
            </w:pPr>
            <w:r>
              <w:rPr>
                <w:rFonts w:ascii="Arial" w:cs="Arial" w:eastAsia="Arial" w:hAnsi="Arial"/>
                <w:sz w:val="11"/>
                <w:szCs w:val="11"/>
                <w:b w:val="1"/>
                <w:bCs w:val="1"/>
                <w:color w:val="009BDE"/>
                <w:w w:val="99"/>
              </w:rPr>
              <w:t>Plans (Excluding</w:t>
            </w:r>
          </w:p>
        </w:tc>
      </w:tr>
      <w:tr>
        <w:trPr>
          <w:trHeight w:val="126"/>
        </w:trPr>
        <w:tc>
          <w:tcPr>
            <w:tcW w:w="1720" w:type="dxa"/>
            <w:vAlign w:val="bottom"/>
            <w:shd w:val="clear" w:color="auto" w:fill="CCEBF8"/>
          </w:tcPr>
          <w:p>
            <w:pPr>
              <w:spacing w:after="0"/>
              <w:rPr>
                <w:sz w:val="10"/>
                <w:szCs w:val="10"/>
                <w:color w:val="auto"/>
              </w:rPr>
            </w:pPr>
          </w:p>
        </w:tc>
        <w:tc>
          <w:tcPr>
            <w:tcW w:w="2240" w:type="dxa"/>
            <w:vAlign w:val="bottom"/>
            <w:shd w:val="clear" w:color="auto" w:fill="CCEBF8"/>
          </w:tcPr>
          <w:p>
            <w:pPr>
              <w:jc w:val="center"/>
              <w:ind w:left="66"/>
              <w:spacing w:after="0"/>
              <w:rPr>
                <w:sz w:val="20"/>
                <w:szCs w:val="20"/>
                <w:color w:val="auto"/>
              </w:rPr>
            </w:pPr>
            <w:r>
              <w:rPr>
                <w:rFonts w:ascii="Arial" w:cs="Arial" w:eastAsia="Arial" w:hAnsi="Arial"/>
                <w:sz w:val="11"/>
                <w:szCs w:val="11"/>
                <w:b w:val="1"/>
                <w:bCs w:val="1"/>
                <w:color w:val="009BDE"/>
                <w:w w:val="96"/>
              </w:rPr>
              <w:t>Options, Warrants</w:t>
            </w:r>
          </w:p>
        </w:tc>
        <w:tc>
          <w:tcPr>
            <w:tcW w:w="1680" w:type="dxa"/>
            <w:vAlign w:val="bottom"/>
            <w:gridSpan w:val="2"/>
            <w:shd w:val="clear" w:color="auto" w:fill="CCEBF8"/>
          </w:tcPr>
          <w:p>
            <w:pPr>
              <w:jc w:val="center"/>
              <w:spacing w:after="0"/>
              <w:rPr>
                <w:sz w:val="20"/>
                <w:szCs w:val="20"/>
                <w:color w:val="auto"/>
              </w:rPr>
            </w:pPr>
            <w:r>
              <w:rPr>
                <w:rFonts w:ascii="Arial" w:cs="Arial" w:eastAsia="Arial" w:hAnsi="Arial"/>
                <w:sz w:val="11"/>
                <w:szCs w:val="11"/>
                <w:b w:val="1"/>
                <w:bCs w:val="1"/>
                <w:color w:val="009BDE"/>
                <w:w w:val="97"/>
              </w:rPr>
              <w:t>Outstanding Options,</w:t>
            </w:r>
          </w:p>
        </w:tc>
        <w:tc>
          <w:tcPr>
            <w:tcW w:w="1700" w:type="dxa"/>
            <w:vAlign w:val="bottom"/>
            <w:shd w:val="clear" w:color="auto" w:fill="CCEBF8"/>
          </w:tcPr>
          <w:p>
            <w:pPr>
              <w:jc w:val="center"/>
              <w:ind w:left="86"/>
              <w:spacing w:after="0"/>
              <w:rPr>
                <w:sz w:val="20"/>
                <w:szCs w:val="20"/>
                <w:color w:val="auto"/>
              </w:rPr>
            </w:pPr>
            <w:r>
              <w:rPr>
                <w:rFonts w:ascii="Arial" w:cs="Arial" w:eastAsia="Arial" w:hAnsi="Arial"/>
                <w:sz w:val="11"/>
                <w:szCs w:val="11"/>
                <w:b w:val="1"/>
                <w:bCs w:val="1"/>
                <w:color w:val="009BDE"/>
                <w:w w:val="98"/>
              </w:rPr>
              <w:t>Securities Reflected</w:t>
            </w:r>
          </w:p>
        </w:tc>
      </w:tr>
      <w:tr>
        <w:trPr>
          <w:trHeight w:val="126"/>
        </w:trPr>
        <w:tc>
          <w:tcPr>
            <w:tcW w:w="1720" w:type="dxa"/>
            <w:vAlign w:val="bottom"/>
            <w:shd w:val="clear" w:color="auto" w:fill="CCEBF8"/>
          </w:tcPr>
          <w:p>
            <w:pPr>
              <w:spacing w:after="0"/>
              <w:rPr>
                <w:sz w:val="10"/>
                <w:szCs w:val="10"/>
                <w:color w:val="auto"/>
              </w:rPr>
            </w:pPr>
          </w:p>
        </w:tc>
        <w:tc>
          <w:tcPr>
            <w:tcW w:w="2240" w:type="dxa"/>
            <w:vAlign w:val="bottom"/>
            <w:shd w:val="clear" w:color="auto" w:fill="CCEBF8"/>
          </w:tcPr>
          <w:p>
            <w:pPr>
              <w:jc w:val="center"/>
              <w:ind w:left="66"/>
              <w:spacing w:after="0"/>
              <w:rPr>
                <w:sz w:val="20"/>
                <w:szCs w:val="20"/>
                <w:color w:val="auto"/>
              </w:rPr>
            </w:pPr>
            <w:r>
              <w:rPr>
                <w:rFonts w:ascii="Arial" w:cs="Arial" w:eastAsia="Arial" w:hAnsi="Arial"/>
                <w:sz w:val="11"/>
                <w:szCs w:val="11"/>
                <w:b w:val="1"/>
                <w:bCs w:val="1"/>
                <w:color w:val="009BDE"/>
                <w:w w:val="98"/>
              </w:rPr>
              <w:t>and Rights</w:t>
            </w:r>
          </w:p>
        </w:tc>
        <w:tc>
          <w:tcPr>
            <w:tcW w:w="1680" w:type="dxa"/>
            <w:vAlign w:val="bottom"/>
            <w:gridSpan w:val="2"/>
            <w:shd w:val="clear" w:color="auto" w:fill="CCEBF8"/>
          </w:tcPr>
          <w:p>
            <w:pPr>
              <w:jc w:val="center"/>
              <w:spacing w:after="0"/>
              <w:rPr>
                <w:sz w:val="20"/>
                <w:szCs w:val="20"/>
                <w:color w:val="auto"/>
              </w:rPr>
            </w:pPr>
            <w:r>
              <w:rPr>
                <w:rFonts w:ascii="Arial" w:cs="Arial" w:eastAsia="Arial" w:hAnsi="Arial"/>
                <w:sz w:val="11"/>
                <w:szCs w:val="11"/>
                <w:b w:val="1"/>
                <w:bCs w:val="1"/>
                <w:color w:val="009BDE"/>
                <w:w w:val="98"/>
              </w:rPr>
              <w:t>Warrants and Rights</w:t>
            </w:r>
          </w:p>
        </w:tc>
        <w:tc>
          <w:tcPr>
            <w:tcW w:w="1700" w:type="dxa"/>
            <w:vAlign w:val="bottom"/>
            <w:shd w:val="clear" w:color="auto" w:fill="CCEBF8"/>
          </w:tcPr>
          <w:p>
            <w:pPr>
              <w:jc w:val="center"/>
              <w:ind w:left="106"/>
              <w:spacing w:after="0"/>
              <w:rPr>
                <w:sz w:val="20"/>
                <w:szCs w:val="20"/>
                <w:color w:val="auto"/>
              </w:rPr>
            </w:pPr>
            <w:r>
              <w:rPr>
                <w:rFonts w:ascii="Arial" w:cs="Arial" w:eastAsia="Arial" w:hAnsi="Arial"/>
                <w:sz w:val="11"/>
                <w:szCs w:val="11"/>
                <w:b w:val="1"/>
                <w:bCs w:val="1"/>
                <w:color w:val="009BDE"/>
                <w:w w:val="98"/>
              </w:rPr>
              <w:t>in Column(a))</w:t>
            </w:r>
          </w:p>
        </w:tc>
      </w:tr>
      <w:tr>
        <w:trPr>
          <w:trHeight w:val="151"/>
        </w:trPr>
        <w:tc>
          <w:tcPr>
            <w:tcW w:w="1720" w:type="dxa"/>
            <w:vAlign w:val="bottom"/>
            <w:shd w:val="clear" w:color="auto" w:fill="CCEBF8"/>
          </w:tcPr>
          <w:p>
            <w:pPr>
              <w:ind w:left="60"/>
              <w:spacing w:after="0"/>
              <w:rPr>
                <w:sz w:val="20"/>
                <w:szCs w:val="20"/>
                <w:color w:val="auto"/>
              </w:rPr>
            </w:pPr>
            <w:r>
              <w:rPr>
                <w:rFonts w:ascii="Arial" w:cs="Arial" w:eastAsia="Arial" w:hAnsi="Arial"/>
                <w:sz w:val="11"/>
                <w:szCs w:val="11"/>
                <w:b w:val="1"/>
                <w:bCs w:val="1"/>
                <w:color w:val="009BDE"/>
              </w:rPr>
              <w:t>Plan Category</w:t>
            </w:r>
          </w:p>
        </w:tc>
        <w:tc>
          <w:tcPr>
            <w:tcW w:w="2240" w:type="dxa"/>
            <w:vAlign w:val="bottom"/>
            <w:shd w:val="clear" w:color="auto" w:fill="CCEBF8"/>
          </w:tcPr>
          <w:p>
            <w:pPr>
              <w:jc w:val="center"/>
              <w:ind w:left="66"/>
              <w:spacing w:after="0"/>
              <w:rPr>
                <w:sz w:val="20"/>
                <w:szCs w:val="20"/>
                <w:color w:val="auto"/>
              </w:rPr>
            </w:pPr>
            <w:r>
              <w:rPr>
                <w:rFonts w:ascii="Arial" w:cs="Arial" w:eastAsia="Arial" w:hAnsi="Arial"/>
                <w:sz w:val="11"/>
                <w:szCs w:val="11"/>
                <w:b w:val="1"/>
                <w:bCs w:val="1"/>
                <w:color w:val="009BDE"/>
                <w:w w:val="88"/>
              </w:rPr>
              <w:t>(a)</w:t>
            </w:r>
          </w:p>
        </w:tc>
        <w:tc>
          <w:tcPr>
            <w:tcW w:w="360" w:type="dxa"/>
            <w:vAlign w:val="bottom"/>
            <w:shd w:val="clear" w:color="auto" w:fill="CCEBF8"/>
          </w:tcPr>
          <w:p>
            <w:pPr>
              <w:spacing w:after="0"/>
              <w:rPr>
                <w:sz w:val="13"/>
                <w:szCs w:val="13"/>
                <w:color w:val="auto"/>
              </w:rPr>
            </w:pPr>
          </w:p>
        </w:tc>
        <w:tc>
          <w:tcPr>
            <w:tcW w:w="1320" w:type="dxa"/>
            <w:vAlign w:val="bottom"/>
            <w:shd w:val="clear" w:color="auto" w:fill="CCEBF8"/>
          </w:tcPr>
          <w:p>
            <w:pPr>
              <w:jc w:val="center"/>
              <w:ind w:right="326"/>
              <w:spacing w:after="0"/>
              <w:rPr>
                <w:sz w:val="20"/>
                <w:szCs w:val="20"/>
                <w:color w:val="auto"/>
              </w:rPr>
            </w:pPr>
            <w:r>
              <w:rPr>
                <w:rFonts w:ascii="Arial" w:cs="Arial" w:eastAsia="Arial" w:hAnsi="Arial"/>
                <w:sz w:val="11"/>
                <w:szCs w:val="11"/>
                <w:b w:val="1"/>
                <w:bCs w:val="1"/>
                <w:color w:val="009BDE"/>
                <w:w w:val="94"/>
              </w:rPr>
              <w:t>(b)(3)</w:t>
            </w:r>
          </w:p>
        </w:tc>
        <w:tc>
          <w:tcPr>
            <w:tcW w:w="1700" w:type="dxa"/>
            <w:vAlign w:val="bottom"/>
            <w:shd w:val="clear" w:color="auto" w:fill="CCEBF8"/>
          </w:tcPr>
          <w:p>
            <w:pPr>
              <w:jc w:val="center"/>
              <w:ind w:left="86"/>
              <w:spacing w:after="0"/>
              <w:rPr>
                <w:sz w:val="20"/>
                <w:szCs w:val="20"/>
                <w:color w:val="auto"/>
              </w:rPr>
            </w:pPr>
            <w:r>
              <w:rPr>
                <w:rFonts w:ascii="Arial" w:cs="Arial" w:eastAsia="Arial" w:hAnsi="Arial"/>
                <w:sz w:val="11"/>
                <w:szCs w:val="11"/>
                <w:b w:val="1"/>
                <w:bCs w:val="1"/>
                <w:color w:val="009BDE"/>
                <w:w w:val="88"/>
              </w:rPr>
              <w:t>(c)</w:t>
            </w:r>
          </w:p>
        </w:tc>
      </w:tr>
      <w:tr>
        <w:trPr>
          <w:trHeight w:val="85"/>
        </w:trPr>
        <w:tc>
          <w:tcPr>
            <w:tcW w:w="1720" w:type="dxa"/>
            <w:vAlign w:val="bottom"/>
            <w:tcBorders>
              <w:bottom w:val="single" w:sz="8" w:color="009BDE"/>
            </w:tcBorders>
            <w:shd w:val="clear" w:color="auto" w:fill="CCEBF8"/>
          </w:tcPr>
          <w:p>
            <w:pPr>
              <w:spacing w:after="0"/>
              <w:rPr>
                <w:sz w:val="7"/>
                <w:szCs w:val="7"/>
                <w:color w:val="auto"/>
              </w:rPr>
            </w:pPr>
          </w:p>
        </w:tc>
        <w:tc>
          <w:tcPr>
            <w:tcW w:w="2240" w:type="dxa"/>
            <w:vAlign w:val="bottom"/>
            <w:tcBorders>
              <w:bottom w:val="single" w:sz="8" w:color="009BDE"/>
            </w:tcBorders>
            <w:shd w:val="clear" w:color="auto" w:fill="CCEBF8"/>
          </w:tcPr>
          <w:p>
            <w:pPr>
              <w:spacing w:after="0"/>
              <w:rPr>
                <w:sz w:val="7"/>
                <w:szCs w:val="7"/>
                <w:color w:val="auto"/>
              </w:rPr>
            </w:pPr>
          </w:p>
        </w:tc>
        <w:tc>
          <w:tcPr>
            <w:tcW w:w="360" w:type="dxa"/>
            <w:vAlign w:val="bottom"/>
            <w:tcBorders>
              <w:bottom w:val="single" w:sz="8" w:color="009BDE"/>
            </w:tcBorders>
            <w:shd w:val="clear" w:color="auto" w:fill="CCEBF8"/>
          </w:tcPr>
          <w:p>
            <w:pPr>
              <w:spacing w:after="0"/>
              <w:rPr>
                <w:sz w:val="7"/>
                <w:szCs w:val="7"/>
                <w:color w:val="auto"/>
              </w:rPr>
            </w:pPr>
          </w:p>
        </w:tc>
        <w:tc>
          <w:tcPr>
            <w:tcW w:w="1320" w:type="dxa"/>
            <w:vAlign w:val="bottom"/>
            <w:tcBorders>
              <w:bottom w:val="single" w:sz="8" w:color="009BDE"/>
            </w:tcBorders>
            <w:shd w:val="clear" w:color="auto" w:fill="CCEBF8"/>
          </w:tcPr>
          <w:p>
            <w:pPr>
              <w:spacing w:after="0"/>
              <w:rPr>
                <w:sz w:val="7"/>
                <w:szCs w:val="7"/>
                <w:color w:val="auto"/>
              </w:rPr>
            </w:pPr>
          </w:p>
        </w:tc>
        <w:tc>
          <w:tcPr>
            <w:tcW w:w="1700" w:type="dxa"/>
            <w:vAlign w:val="bottom"/>
            <w:tcBorders>
              <w:bottom w:val="single" w:sz="8" w:color="009BDE"/>
            </w:tcBorders>
            <w:shd w:val="clear" w:color="auto" w:fill="CCEBF8"/>
          </w:tcPr>
          <w:p>
            <w:pPr>
              <w:spacing w:after="0"/>
              <w:rPr>
                <w:sz w:val="7"/>
                <w:szCs w:val="7"/>
                <w:color w:val="auto"/>
              </w:rPr>
            </w:pPr>
          </w:p>
        </w:tc>
      </w:tr>
      <w:tr>
        <w:trPr>
          <w:trHeight w:val="179"/>
        </w:trPr>
        <w:tc>
          <w:tcPr>
            <w:tcW w:w="1720" w:type="dxa"/>
            <w:vAlign w:val="bottom"/>
          </w:tcPr>
          <w:p>
            <w:pPr>
              <w:ind w:left="40"/>
              <w:spacing w:after="0"/>
              <w:rPr>
                <w:sz w:val="20"/>
                <w:szCs w:val="20"/>
                <w:color w:val="auto"/>
              </w:rPr>
            </w:pPr>
            <w:r>
              <w:rPr>
                <w:rFonts w:ascii="Arial" w:cs="Arial" w:eastAsia="Arial" w:hAnsi="Arial"/>
                <w:sz w:val="11"/>
                <w:szCs w:val="11"/>
                <w:color w:val="auto"/>
              </w:rPr>
              <w:t>Equity compensation plans</w:t>
            </w:r>
          </w:p>
        </w:tc>
        <w:tc>
          <w:tcPr>
            <w:tcW w:w="2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30"/>
        </w:trPr>
        <w:tc>
          <w:tcPr>
            <w:tcW w:w="1720" w:type="dxa"/>
            <w:vAlign w:val="bottom"/>
          </w:tcPr>
          <w:p>
            <w:pPr>
              <w:ind w:left="40"/>
              <w:spacing w:after="0"/>
              <w:rPr>
                <w:sz w:val="20"/>
                <w:szCs w:val="20"/>
                <w:color w:val="auto"/>
              </w:rPr>
            </w:pPr>
            <w:r>
              <w:rPr>
                <w:rFonts w:ascii="Arial" w:cs="Arial" w:eastAsia="Arial" w:hAnsi="Arial"/>
                <w:sz w:val="11"/>
                <w:szCs w:val="11"/>
                <w:color w:val="auto"/>
              </w:rPr>
              <w:t>approved by shareholders(1)</w:t>
            </w:r>
          </w:p>
        </w:tc>
        <w:tc>
          <w:tcPr>
            <w:tcW w:w="2240" w:type="dxa"/>
            <w:vAlign w:val="bottom"/>
          </w:tcPr>
          <w:p>
            <w:pPr>
              <w:jc w:val="right"/>
              <w:ind w:right="246"/>
              <w:spacing w:after="0"/>
              <w:rPr>
                <w:sz w:val="20"/>
                <w:szCs w:val="20"/>
                <w:color w:val="auto"/>
              </w:rPr>
            </w:pPr>
            <w:r>
              <w:rPr>
                <w:rFonts w:ascii="Arial" w:cs="Arial" w:eastAsia="Arial" w:hAnsi="Arial"/>
                <w:sz w:val="11"/>
                <w:szCs w:val="11"/>
                <w:color w:val="auto"/>
              </w:rPr>
              <w:t>3,895,240(2)</w:t>
            </w: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320" w:type="dxa"/>
            <w:vAlign w:val="bottom"/>
          </w:tcPr>
          <w:p>
            <w:pPr>
              <w:jc w:val="right"/>
              <w:ind w:right="246"/>
              <w:spacing w:after="0"/>
              <w:rPr>
                <w:sz w:val="20"/>
                <w:szCs w:val="20"/>
                <w:color w:val="auto"/>
              </w:rPr>
            </w:pPr>
            <w:r>
              <w:rPr>
                <w:rFonts w:ascii="Arial" w:cs="Arial" w:eastAsia="Arial" w:hAnsi="Arial"/>
                <w:sz w:val="11"/>
                <w:szCs w:val="11"/>
                <w:color w:val="auto"/>
              </w:rPr>
              <w:t>93.62</w:t>
            </w:r>
          </w:p>
        </w:tc>
        <w:tc>
          <w:tcPr>
            <w:tcW w:w="1700" w:type="dxa"/>
            <w:vAlign w:val="bottom"/>
          </w:tcPr>
          <w:p>
            <w:pPr>
              <w:jc w:val="right"/>
              <w:spacing w:after="0"/>
              <w:rPr>
                <w:sz w:val="20"/>
                <w:szCs w:val="20"/>
                <w:color w:val="auto"/>
              </w:rPr>
            </w:pPr>
            <w:r>
              <w:rPr>
                <w:rFonts w:ascii="Arial" w:cs="Arial" w:eastAsia="Arial" w:hAnsi="Arial"/>
                <w:sz w:val="11"/>
                <w:szCs w:val="11"/>
                <w:color w:val="auto"/>
              </w:rPr>
              <w:t>5,737,153(4)</w:t>
            </w:r>
          </w:p>
        </w:tc>
      </w:tr>
      <w:tr>
        <w:trPr>
          <w:trHeight w:val="67"/>
        </w:trPr>
        <w:tc>
          <w:tcPr>
            <w:tcW w:w="1720" w:type="dxa"/>
            <w:vAlign w:val="bottom"/>
            <w:tcBorders>
              <w:bottom w:val="single" w:sz="8" w:color="009BDE"/>
            </w:tcBorders>
          </w:tcPr>
          <w:p>
            <w:pPr>
              <w:spacing w:after="0"/>
              <w:rPr>
                <w:sz w:val="5"/>
                <w:szCs w:val="5"/>
                <w:color w:val="auto"/>
              </w:rPr>
            </w:pPr>
          </w:p>
        </w:tc>
        <w:tc>
          <w:tcPr>
            <w:tcW w:w="2240" w:type="dxa"/>
            <w:vAlign w:val="bottom"/>
            <w:tcBorders>
              <w:bottom w:val="single" w:sz="8" w:color="009BDE"/>
            </w:tcBorders>
          </w:tcPr>
          <w:p>
            <w:pPr>
              <w:spacing w:after="0"/>
              <w:rPr>
                <w:sz w:val="5"/>
                <w:szCs w:val="5"/>
                <w:color w:val="auto"/>
              </w:rPr>
            </w:pPr>
          </w:p>
        </w:tc>
        <w:tc>
          <w:tcPr>
            <w:tcW w:w="360" w:type="dxa"/>
            <w:vAlign w:val="bottom"/>
            <w:tcBorders>
              <w:bottom w:val="single" w:sz="8" w:color="009BDE"/>
            </w:tcBorders>
          </w:tcPr>
          <w:p>
            <w:pPr>
              <w:spacing w:after="0"/>
              <w:rPr>
                <w:sz w:val="5"/>
                <w:szCs w:val="5"/>
                <w:color w:val="auto"/>
              </w:rPr>
            </w:pPr>
          </w:p>
        </w:tc>
        <w:tc>
          <w:tcPr>
            <w:tcW w:w="1320" w:type="dxa"/>
            <w:vAlign w:val="bottom"/>
            <w:tcBorders>
              <w:bottom w:val="single" w:sz="8" w:color="009BDE"/>
            </w:tcBorders>
          </w:tcPr>
          <w:p>
            <w:pPr>
              <w:spacing w:after="0"/>
              <w:rPr>
                <w:sz w:val="5"/>
                <w:szCs w:val="5"/>
                <w:color w:val="auto"/>
              </w:rPr>
            </w:pPr>
          </w:p>
        </w:tc>
        <w:tc>
          <w:tcPr>
            <w:tcW w:w="1700" w:type="dxa"/>
            <w:vAlign w:val="bottom"/>
            <w:tcBorders>
              <w:bottom w:val="single" w:sz="8" w:color="009BDE"/>
            </w:tcBorders>
          </w:tcPr>
          <w:p>
            <w:pPr>
              <w:spacing w:after="0"/>
              <w:rPr>
                <w:sz w:val="5"/>
                <w:szCs w:val="5"/>
                <w:color w:val="auto"/>
              </w:rPr>
            </w:pPr>
          </w:p>
        </w:tc>
      </w:tr>
      <w:tr>
        <w:trPr>
          <w:trHeight w:val="179"/>
        </w:trPr>
        <w:tc>
          <w:tcPr>
            <w:tcW w:w="1720" w:type="dxa"/>
            <w:vAlign w:val="bottom"/>
          </w:tcPr>
          <w:p>
            <w:pPr>
              <w:ind w:left="40"/>
              <w:spacing w:after="0"/>
              <w:rPr>
                <w:sz w:val="20"/>
                <w:szCs w:val="20"/>
                <w:color w:val="auto"/>
              </w:rPr>
            </w:pPr>
            <w:r>
              <w:rPr>
                <w:rFonts w:ascii="Arial" w:cs="Arial" w:eastAsia="Arial" w:hAnsi="Arial"/>
                <w:sz w:val="11"/>
                <w:szCs w:val="11"/>
                <w:color w:val="auto"/>
              </w:rPr>
              <w:t>Equity compensation plans not</w:t>
            </w:r>
          </w:p>
        </w:tc>
        <w:tc>
          <w:tcPr>
            <w:tcW w:w="2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30"/>
        </w:trPr>
        <w:tc>
          <w:tcPr>
            <w:tcW w:w="1720" w:type="dxa"/>
            <w:vAlign w:val="bottom"/>
          </w:tcPr>
          <w:p>
            <w:pPr>
              <w:ind w:left="40"/>
              <w:spacing w:after="0"/>
              <w:rPr>
                <w:sz w:val="20"/>
                <w:szCs w:val="20"/>
                <w:color w:val="auto"/>
              </w:rPr>
            </w:pPr>
            <w:r>
              <w:rPr>
                <w:rFonts w:ascii="Arial" w:cs="Arial" w:eastAsia="Arial" w:hAnsi="Arial"/>
                <w:sz w:val="11"/>
                <w:szCs w:val="11"/>
                <w:color w:val="auto"/>
              </w:rPr>
              <w:t>approved by shareholders</w:t>
            </w:r>
          </w:p>
        </w:tc>
        <w:tc>
          <w:tcPr>
            <w:tcW w:w="2240" w:type="dxa"/>
            <w:vAlign w:val="bottom"/>
          </w:tcPr>
          <w:p>
            <w:pPr>
              <w:jc w:val="right"/>
              <w:ind w:right="386"/>
              <w:spacing w:after="0"/>
              <w:rPr>
                <w:sz w:val="20"/>
                <w:szCs w:val="20"/>
                <w:color w:val="auto"/>
              </w:rPr>
            </w:pPr>
            <w:r>
              <w:rPr>
                <w:rFonts w:ascii="Arial" w:cs="Arial" w:eastAsia="Arial" w:hAnsi="Arial"/>
                <w:sz w:val="11"/>
                <w:szCs w:val="11"/>
                <w:color w:val="auto"/>
              </w:rPr>
              <w:t>0</w:t>
            </w:r>
          </w:p>
        </w:tc>
        <w:tc>
          <w:tcPr>
            <w:tcW w:w="360" w:type="dxa"/>
            <w:vAlign w:val="bottom"/>
          </w:tcPr>
          <w:p>
            <w:pPr>
              <w:spacing w:after="0"/>
              <w:rPr>
                <w:sz w:val="11"/>
                <w:szCs w:val="11"/>
                <w:color w:val="auto"/>
              </w:rPr>
            </w:pPr>
          </w:p>
        </w:tc>
        <w:tc>
          <w:tcPr>
            <w:tcW w:w="1320" w:type="dxa"/>
            <w:vAlign w:val="bottom"/>
          </w:tcPr>
          <w:p>
            <w:pPr>
              <w:jc w:val="right"/>
              <w:ind w:right="246"/>
              <w:spacing w:after="0"/>
              <w:rPr>
                <w:sz w:val="20"/>
                <w:szCs w:val="20"/>
                <w:color w:val="auto"/>
              </w:rPr>
            </w:pPr>
            <w:r>
              <w:rPr>
                <w:rFonts w:ascii="Arial" w:cs="Arial" w:eastAsia="Arial" w:hAnsi="Arial"/>
                <w:sz w:val="11"/>
                <w:szCs w:val="11"/>
                <w:color w:val="auto"/>
              </w:rPr>
              <w:t>—</w:t>
            </w:r>
          </w:p>
        </w:tc>
        <w:tc>
          <w:tcPr>
            <w:tcW w:w="1700" w:type="dxa"/>
            <w:vAlign w:val="bottom"/>
          </w:tcPr>
          <w:p>
            <w:pPr>
              <w:jc w:val="right"/>
              <w:ind w:right="106"/>
              <w:spacing w:after="0"/>
              <w:rPr>
                <w:sz w:val="20"/>
                <w:szCs w:val="20"/>
                <w:color w:val="auto"/>
              </w:rPr>
            </w:pPr>
            <w:r>
              <w:rPr>
                <w:rFonts w:ascii="Arial" w:cs="Arial" w:eastAsia="Arial" w:hAnsi="Arial"/>
                <w:sz w:val="11"/>
                <w:szCs w:val="11"/>
                <w:color w:val="auto"/>
              </w:rPr>
              <w:t>0</w:t>
            </w:r>
          </w:p>
        </w:tc>
      </w:tr>
      <w:tr>
        <w:trPr>
          <w:trHeight w:val="67"/>
        </w:trPr>
        <w:tc>
          <w:tcPr>
            <w:tcW w:w="1720" w:type="dxa"/>
            <w:vAlign w:val="bottom"/>
            <w:tcBorders>
              <w:bottom w:val="single" w:sz="8" w:color="009BDE"/>
            </w:tcBorders>
          </w:tcPr>
          <w:p>
            <w:pPr>
              <w:spacing w:after="0"/>
              <w:rPr>
                <w:sz w:val="5"/>
                <w:szCs w:val="5"/>
                <w:color w:val="auto"/>
              </w:rPr>
            </w:pPr>
          </w:p>
        </w:tc>
        <w:tc>
          <w:tcPr>
            <w:tcW w:w="2240" w:type="dxa"/>
            <w:vAlign w:val="bottom"/>
            <w:tcBorders>
              <w:bottom w:val="single" w:sz="8" w:color="009BDE"/>
            </w:tcBorders>
          </w:tcPr>
          <w:p>
            <w:pPr>
              <w:spacing w:after="0"/>
              <w:rPr>
                <w:sz w:val="5"/>
                <w:szCs w:val="5"/>
                <w:color w:val="auto"/>
              </w:rPr>
            </w:pPr>
          </w:p>
        </w:tc>
        <w:tc>
          <w:tcPr>
            <w:tcW w:w="360" w:type="dxa"/>
            <w:vAlign w:val="bottom"/>
            <w:tcBorders>
              <w:bottom w:val="single" w:sz="8" w:color="009BDE"/>
            </w:tcBorders>
          </w:tcPr>
          <w:p>
            <w:pPr>
              <w:spacing w:after="0"/>
              <w:rPr>
                <w:sz w:val="5"/>
                <w:szCs w:val="5"/>
                <w:color w:val="auto"/>
              </w:rPr>
            </w:pPr>
          </w:p>
        </w:tc>
        <w:tc>
          <w:tcPr>
            <w:tcW w:w="1320" w:type="dxa"/>
            <w:vAlign w:val="bottom"/>
            <w:tcBorders>
              <w:bottom w:val="single" w:sz="8" w:color="009BDE"/>
            </w:tcBorders>
          </w:tcPr>
          <w:p>
            <w:pPr>
              <w:spacing w:after="0"/>
              <w:rPr>
                <w:sz w:val="5"/>
                <w:szCs w:val="5"/>
                <w:color w:val="auto"/>
              </w:rPr>
            </w:pPr>
          </w:p>
        </w:tc>
        <w:tc>
          <w:tcPr>
            <w:tcW w:w="1700" w:type="dxa"/>
            <w:vAlign w:val="bottom"/>
            <w:tcBorders>
              <w:bottom w:val="single" w:sz="8" w:color="009BDE"/>
            </w:tcBorders>
          </w:tcPr>
          <w:p>
            <w:pPr>
              <w:spacing w:after="0"/>
              <w:rPr>
                <w:sz w:val="5"/>
                <w:szCs w:val="5"/>
                <w:color w:val="auto"/>
              </w:rPr>
            </w:pPr>
          </w:p>
        </w:tc>
      </w:tr>
      <w:tr>
        <w:trPr>
          <w:trHeight w:val="183"/>
        </w:trPr>
        <w:tc>
          <w:tcPr>
            <w:tcW w:w="1720" w:type="dxa"/>
            <w:vAlign w:val="bottom"/>
          </w:tcPr>
          <w:p>
            <w:pPr>
              <w:ind w:left="40"/>
              <w:spacing w:after="0"/>
              <w:rPr>
                <w:sz w:val="20"/>
                <w:szCs w:val="20"/>
                <w:color w:val="auto"/>
              </w:rPr>
            </w:pPr>
            <w:r>
              <w:rPr>
                <w:rFonts w:ascii="Arial" w:cs="Arial" w:eastAsia="Arial" w:hAnsi="Arial"/>
                <w:sz w:val="11"/>
                <w:szCs w:val="11"/>
                <w:color w:val="auto"/>
              </w:rPr>
              <w:t>Total</w:t>
            </w:r>
          </w:p>
        </w:tc>
        <w:tc>
          <w:tcPr>
            <w:tcW w:w="2240" w:type="dxa"/>
            <w:vAlign w:val="bottom"/>
          </w:tcPr>
          <w:p>
            <w:pPr>
              <w:jc w:val="right"/>
              <w:ind w:right="246"/>
              <w:spacing w:after="0"/>
              <w:rPr>
                <w:sz w:val="20"/>
                <w:szCs w:val="20"/>
                <w:color w:val="auto"/>
              </w:rPr>
            </w:pPr>
            <w:r>
              <w:rPr>
                <w:rFonts w:ascii="Arial" w:cs="Arial" w:eastAsia="Arial" w:hAnsi="Arial"/>
                <w:sz w:val="11"/>
                <w:szCs w:val="11"/>
                <w:color w:val="auto"/>
              </w:rPr>
              <w:t>3,895,240(2)</w:t>
            </w: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320" w:type="dxa"/>
            <w:vAlign w:val="bottom"/>
          </w:tcPr>
          <w:p>
            <w:pPr>
              <w:jc w:val="right"/>
              <w:ind w:right="246"/>
              <w:spacing w:after="0"/>
              <w:rPr>
                <w:sz w:val="20"/>
                <w:szCs w:val="20"/>
                <w:color w:val="auto"/>
              </w:rPr>
            </w:pPr>
            <w:r>
              <w:rPr>
                <w:rFonts w:ascii="Arial" w:cs="Arial" w:eastAsia="Arial" w:hAnsi="Arial"/>
                <w:sz w:val="11"/>
                <w:szCs w:val="11"/>
                <w:color w:val="auto"/>
              </w:rPr>
              <w:t>93.62</w:t>
            </w:r>
          </w:p>
        </w:tc>
        <w:tc>
          <w:tcPr>
            <w:tcW w:w="1700" w:type="dxa"/>
            <w:vAlign w:val="bottom"/>
          </w:tcPr>
          <w:p>
            <w:pPr>
              <w:jc w:val="right"/>
              <w:spacing w:after="0"/>
              <w:rPr>
                <w:sz w:val="20"/>
                <w:szCs w:val="20"/>
                <w:color w:val="auto"/>
              </w:rPr>
            </w:pPr>
            <w:r>
              <w:rPr>
                <w:rFonts w:ascii="Arial" w:cs="Arial" w:eastAsia="Arial" w:hAnsi="Arial"/>
                <w:sz w:val="11"/>
                <w:szCs w:val="11"/>
                <w:color w:val="auto"/>
              </w:rPr>
              <w:t>5,737,153(4)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42545</wp:posOffset>
            </wp:positionV>
            <wp:extent cx="4663440" cy="571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13" w:lineRule="exact"/>
        <w:rPr>
          <w:sz w:val="20"/>
          <w:szCs w:val="20"/>
          <w:color w:val="auto"/>
        </w:rPr>
      </w:pPr>
    </w:p>
    <w:p>
      <w:pPr>
        <w:ind w:left="2260" w:hanging="288"/>
        <w:spacing w:after="0"/>
        <w:tabs>
          <w:tab w:leader="none" w:pos="2260" w:val="left"/>
        </w:tabs>
        <w:numPr>
          <w:ilvl w:val="0"/>
          <w:numId w:val="77"/>
        </w:numPr>
        <w:rPr>
          <w:rFonts w:ascii="Arial" w:cs="Arial" w:eastAsia="Arial" w:hAnsi="Arial"/>
          <w:sz w:val="10"/>
          <w:szCs w:val="10"/>
          <w:color w:val="auto"/>
        </w:rPr>
      </w:pPr>
      <w:r>
        <w:rPr>
          <w:rFonts w:ascii="Arial" w:cs="Arial" w:eastAsia="Arial" w:hAnsi="Arial"/>
          <w:sz w:val="10"/>
          <w:szCs w:val="10"/>
          <w:color w:val="auto"/>
        </w:rPr>
        <w:t>The only shareholder approved plan which was in effect as of December 25, 2022 was the 2003 Plan.</w:t>
      </w:r>
    </w:p>
    <w:p>
      <w:pPr>
        <w:spacing w:after="0" w:line="47" w:lineRule="exact"/>
        <w:rPr>
          <w:rFonts w:ascii="Arial" w:cs="Arial" w:eastAsia="Arial" w:hAnsi="Arial"/>
          <w:sz w:val="10"/>
          <w:szCs w:val="10"/>
          <w:color w:val="auto"/>
        </w:rPr>
      </w:pPr>
    </w:p>
    <w:p>
      <w:pPr>
        <w:ind w:left="2260" w:right="939"/>
        <w:spacing w:after="0" w:line="228" w:lineRule="auto"/>
        <w:rPr>
          <w:rFonts w:ascii="Arial" w:cs="Arial" w:eastAsia="Arial" w:hAnsi="Arial"/>
          <w:sz w:val="10"/>
          <w:szCs w:val="10"/>
          <w:color w:val="auto"/>
        </w:rPr>
      </w:pPr>
      <w:r>
        <w:rPr>
          <w:rFonts w:ascii="Arial" w:cs="Arial" w:eastAsia="Arial" w:hAnsi="Arial"/>
          <w:sz w:val="10"/>
          <w:szCs w:val="10"/>
          <w:color w:val="auto"/>
        </w:rPr>
        <w:t>Included in shares which may be issued pursuant to outstanding awards is the target number of shares subject to outstanding contingent stock performance awards under the 2003 Plan. The actual number of shares, if any, which will be issued pursuant to these awards may be higher or lower than this target number based upon the Company’s achievement of the applicable performance goals over the performance periods specified in these awards. Also included in shares to be issued pursuant to outstanding awards are shares granted to outside directors to the extent that such directors deferred receipt of those shares until they retire from the Board.</w:t>
      </w:r>
    </w:p>
    <w:p>
      <w:pPr>
        <w:spacing w:after="0" w:line="47" w:lineRule="exact"/>
        <w:rPr>
          <w:rFonts w:ascii="Arial" w:cs="Arial" w:eastAsia="Arial" w:hAnsi="Arial"/>
          <w:sz w:val="10"/>
          <w:szCs w:val="10"/>
          <w:color w:val="auto"/>
        </w:rPr>
      </w:pPr>
    </w:p>
    <w:p>
      <w:pPr>
        <w:ind w:left="2260" w:right="919" w:hanging="288"/>
        <w:spacing w:after="0" w:line="228" w:lineRule="auto"/>
        <w:tabs>
          <w:tab w:leader="none" w:pos="2260" w:val="left"/>
        </w:tabs>
        <w:numPr>
          <w:ilvl w:val="0"/>
          <w:numId w:val="77"/>
        </w:numPr>
        <w:rPr>
          <w:rFonts w:ascii="Arial" w:cs="Arial" w:eastAsia="Arial" w:hAnsi="Arial"/>
          <w:sz w:val="10"/>
          <w:szCs w:val="10"/>
          <w:color w:val="auto"/>
        </w:rPr>
      </w:pPr>
      <w:r>
        <w:rPr>
          <w:rFonts w:ascii="Arial" w:cs="Arial" w:eastAsia="Arial" w:hAnsi="Arial"/>
          <w:sz w:val="10"/>
          <w:szCs w:val="10"/>
          <w:color w:val="auto"/>
        </w:rPr>
        <w:t>Comprised of 1,756,680 shares subject to outstanding option awards, 734,590 shares subject to outstanding contingent stock performance awards (reflecting such awards at their actual payout percentage for those awards where the performance period has been completed and target numbers for those awards where the performance period has not been completed), and 1,247,570 shares subject to outstanding restricted stock unit awards and 156,400 shares subject to deferred stock awards.</w:t>
      </w:r>
    </w:p>
    <w:p>
      <w:pPr>
        <w:spacing w:after="0" w:line="49" w:lineRule="exact"/>
        <w:rPr>
          <w:rFonts w:ascii="Arial" w:cs="Arial" w:eastAsia="Arial" w:hAnsi="Arial"/>
          <w:sz w:val="10"/>
          <w:szCs w:val="10"/>
          <w:color w:val="auto"/>
        </w:rPr>
      </w:pPr>
    </w:p>
    <w:p>
      <w:pPr>
        <w:ind w:left="2260" w:right="959" w:hanging="288"/>
        <w:spacing w:after="0" w:line="232" w:lineRule="auto"/>
        <w:tabs>
          <w:tab w:leader="none" w:pos="2260" w:val="left"/>
        </w:tabs>
        <w:numPr>
          <w:ilvl w:val="0"/>
          <w:numId w:val="77"/>
        </w:numPr>
        <w:rPr>
          <w:rFonts w:ascii="Arial" w:cs="Arial" w:eastAsia="Arial" w:hAnsi="Arial"/>
          <w:sz w:val="10"/>
          <w:szCs w:val="10"/>
          <w:color w:val="auto"/>
        </w:rPr>
      </w:pPr>
      <w:r>
        <w:rPr>
          <w:rFonts w:ascii="Arial" w:cs="Arial" w:eastAsia="Arial" w:hAnsi="Arial"/>
          <w:sz w:val="10"/>
          <w:szCs w:val="10"/>
          <w:color w:val="auto"/>
        </w:rPr>
        <w:t>The weighted average exercise price of outstanding options, warrants and rights excludes restricted stock units and performance-based stock awards, which do not have an exercise price.</w:t>
      </w:r>
    </w:p>
    <w:p>
      <w:pPr>
        <w:spacing w:after="0" w:line="47" w:lineRule="exact"/>
        <w:rPr>
          <w:rFonts w:ascii="Arial" w:cs="Arial" w:eastAsia="Arial" w:hAnsi="Arial"/>
          <w:sz w:val="10"/>
          <w:szCs w:val="10"/>
          <w:color w:val="auto"/>
        </w:rPr>
      </w:pPr>
    </w:p>
    <w:p>
      <w:pPr>
        <w:ind w:left="2260" w:right="959" w:hanging="288"/>
        <w:spacing w:after="0" w:line="232" w:lineRule="auto"/>
        <w:tabs>
          <w:tab w:leader="none" w:pos="2260" w:val="left"/>
        </w:tabs>
        <w:numPr>
          <w:ilvl w:val="0"/>
          <w:numId w:val="77"/>
        </w:numPr>
        <w:rPr>
          <w:rFonts w:ascii="Arial" w:cs="Arial" w:eastAsia="Arial" w:hAnsi="Arial"/>
          <w:sz w:val="10"/>
          <w:szCs w:val="10"/>
          <w:color w:val="auto"/>
        </w:rPr>
      </w:pPr>
      <w:r>
        <w:rPr>
          <w:rFonts w:ascii="Arial" w:cs="Arial" w:eastAsia="Arial" w:hAnsi="Arial"/>
          <w:sz w:val="10"/>
          <w:szCs w:val="10"/>
          <w:color w:val="auto"/>
        </w:rPr>
        <w:t>All such shares are eligible for issuance as contingent stock performance awards, restricted stock or deferred restricted stock, or other stock awards under the 2003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56515</wp:posOffset>
            </wp:positionV>
            <wp:extent cx="3971925" cy="21717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27"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95</w:t>
      </w:r>
    </w:p>
    <w:p>
      <w:pPr>
        <w:sectPr>
          <w:pgSz w:w="11900" w:h="16838" w:orient="portrait"/>
          <w:cols w:equalWidth="0" w:num="1">
            <w:col w:w="10159"/>
          </w:cols>
          <w:pgMar w:left="300" w:top="372" w:right="1440" w:bottom="1440" w:gutter="0" w:footer="0" w:header="0"/>
        </w:sectPr>
      </w:pPr>
    </w:p>
    <w:bookmarkStart w:id="117" w:name="page118"/>
    <w:bookmarkEnd w:id="11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Certain Relationships and Related Person Transactions</w:t>
      </w:r>
    </w:p>
    <w:p>
      <w:pPr>
        <w:spacing w:after="0" w:line="97" w:lineRule="exact"/>
        <w:rPr>
          <w:sz w:val="20"/>
          <w:szCs w:val="20"/>
          <w:color w:val="auto"/>
        </w:rPr>
      </w:pPr>
    </w:p>
    <w:p>
      <w:pPr>
        <w:ind w:left="1980" w:right="979"/>
        <w:spacing w:after="0" w:line="239" w:lineRule="auto"/>
        <w:rPr>
          <w:sz w:val="20"/>
          <w:szCs w:val="20"/>
          <w:color w:val="auto"/>
        </w:rPr>
      </w:pPr>
      <w:r>
        <w:rPr>
          <w:rFonts w:ascii="Arial" w:cs="Arial" w:eastAsia="Arial" w:hAnsi="Arial"/>
          <w:sz w:val="11"/>
          <w:szCs w:val="11"/>
          <w:color w:val="auto"/>
        </w:rPr>
        <w:t>The Company has a policy that any transaction which would require disclosure under Item 404(a) of Regulation S-K of the rules and regulations of the SEC, with respect to a director or nominee for election as a director, must be reviewed and approved or ratified by the Company’s full Board, excluding any director interested in such transaction. All other related person transactions which would require disclosure under Item 404(a), including, without limitation, those involving executive officers of the Company, must be reviewed and approved or ratified by either the Company’s full Board or a committee of the Board which has been delegated with such duty. Any such related person transactions will only be approved or ratified if the Board, or the applicable committee of the Board, determines that such transaction will not impair the involved person’s service to, and exercise of judgment on behalf of, the Company, or otherwise create a conflict of interest which would be detrimental to the Company. This policy is contained in Section 21, entitled “Code of Conduct; Conflicts of Interest” of the Company’s Corporate Governance Principles.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Delinquent Section 16(a) Reports</w:t>
      </w:r>
    </w:p>
    <w:p>
      <w:pPr>
        <w:spacing w:after="0" w:line="97" w:lineRule="exact"/>
        <w:rPr>
          <w:sz w:val="20"/>
          <w:szCs w:val="20"/>
          <w:color w:val="auto"/>
        </w:rPr>
      </w:pPr>
    </w:p>
    <w:p>
      <w:pPr>
        <w:ind w:left="1980" w:right="859"/>
        <w:spacing w:after="0"/>
        <w:rPr>
          <w:sz w:val="20"/>
          <w:szCs w:val="20"/>
          <w:color w:val="auto"/>
        </w:rPr>
      </w:pPr>
      <w:r>
        <w:rPr>
          <w:rFonts w:ascii="Arial" w:cs="Arial" w:eastAsia="Arial" w:hAnsi="Arial"/>
          <w:sz w:val="11"/>
          <w:szCs w:val="11"/>
          <w:color w:val="auto"/>
        </w:rPr>
        <w:t>Section 16(a) of the Exchange Act requires Hasbro’s executive officers and directors and persons who beneficially own more than 10% of our Common Stock (collectively, “Reporting Persons”) to file reports of beneficial ownership and changes in beneficial ownership with the SEC. Reporting Persons are required by SEC regulations to furnish Hasbro with copies of all Section 16(a) reports that they file. Based solely on our review of such reports received or written representations from certain Reporting Persons, we believe that during fiscal 2022 all Reporting Persons complied with all applicable reporting requirements under Section 16(a).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60325</wp:posOffset>
            </wp:positionV>
            <wp:extent cx="3971925" cy="21717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3"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96</w:t>
      </w:r>
    </w:p>
    <w:p>
      <w:pPr>
        <w:sectPr>
          <w:pgSz w:w="11900" w:h="16838" w:orient="portrait"/>
          <w:cols w:equalWidth="0" w:num="1">
            <w:col w:w="10159"/>
          </w:cols>
          <w:pgMar w:left="300" w:top="372" w:right="1440" w:bottom="1440" w:gutter="0" w:footer="0" w:header="0"/>
        </w:sectPr>
      </w:pPr>
    </w:p>
    <w:bookmarkStart w:id="118" w:name="page119"/>
    <w:bookmarkEnd w:id="11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jc w:val="right"/>
        <w:ind w:right="1059"/>
        <w:spacing w:after="0"/>
        <w:rPr>
          <w:sz w:val="20"/>
          <w:szCs w:val="20"/>
          <w:color w:val="auto"/>
        </w:rPr>
      </w:pPr>
      <w:r>
        <w:rPr>
          <w:rFonts w:ascii="Arial" w:cs="Arial" w:eastAsia="Arial" w:hAnsi="Arial"/>
          <w:sz w:val="22"/>
          <w:szCs w:val="22"/>
          <w:color w:val="0060ED"/>
        </w:rPr>
        <w:t>Questions and Answers about the Proxy Materials and the Annual Meeting</w:t>
      </w:r>
    </w:p>
    <w:p>
      <w:pPr>
        <w:sectPr>
          <w:pgSz w:w="11900" w:h="16838" w:orient="portrait"/>
          <w:cols w:equalWidth="0" w:num="1">
            <w:col w:w="10159"/>
          </w:cols>
          <w:pgMar w:left="300" w:top="372" w:right="1440" w:bottom="1440" w:gutter="0" w:footer="0" w:header="0"/>
        </w:sectPr>
      </w:pPr>
    </w:p>
    <w:p>
      <w:pPr>
        <w:spacing w:after="0" w:line="184" w:lineRule="exact"/>
        <w:rPr>
          <w:sz w:val="20"/>
          <w:szCs w:val="20"/>
          <w:color w:val="auto"/>
        </w:rPr>
      </w:pPr>
    </w:p>
    <w:p>
      <w:pPr>
        <w:ind w:left="1980"/>
        <w:spacing w:after="0"/>
        <w:tabs>
          <w:tab w:leader="none" w:pos="2160" w:val="left"/>
        </w:tabs>
        <w:rPr>
          <w:sz w:val="20"/>
          <w:szCs w:val="20"/>
          <w:color w:val="auto"/>
        </w:rPr>
      </w:pPr>
      <w:r>
        <w:rPr>
          <w:rFonts w:ascii="Arial" w:cs="Arial" w:eastAsia="Arial" w:hAnsi="Arial"/>
          <w:sz w:val="11"/>
          <w:szCs w:val="11"/>
          <w:b w:val="1"/>
          <w:bCs w:val="1"/>
          <w:color w:val="auto"/>
        </w:rPr>
        <w:t>Q:</w:t>
      </w:r>
      <w:r>
        <w:rPr>
          <w:sz w:val="20"/>
          <w:szCs w:val="20"/>
          <w:color w:val="auto"/>
        </w:rPr>
        <w:tab/>
      </w:r>
      <w:r>
        <w:rPr>
          <w:rFonts w:ascii="Arial" w:cs="Arial" w:eastAsia="Arial" w:hAnsi="Arial"/>
          <w:sz w:val="10"/>
          <w:szCs w:val="10"/>
          <w:b w:val="1"/>
          <w:bCs w:val="1"/>
          <w:color w:val="auto"/>
        </w:rPr>
        <w:t>Why am I receiving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29210</wp:posOffset>
            </wp:positionV>
            <wp:extent cx="2240280" cy="571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2240280" cy="5715"/>
                    </a:xfrm>
                    <a:prstGeom prst="rect">
                      <a:avLst/>
                    </a:prstGeom>
                    <a:noFill/>
                  </pic:spPr>
                </pic:pic>
              </a:graphicData>
            </a:graphic>
          </wp:anchor>
        </w:drawing>
      </w:r>
    </w:p>
    <w:p>
      <w:pPr>
        <w:spacing w:after="0" w:line="163" w:lineRule="exact"/>
        <w:rPr>
          <w:sz w:val="20"/>
          <w:szCs w:val="20"/>
          <w:color w:val="auto"/>
        </w:rPr>
      </w:pPr>
    </w:p>
    <w:p>
      <w:pPr>
        <w:ind w:left="2180" w:hanging="208"/>
        <w:spacing w:after="0" w:line="239" w:lineRule="auto"/>
        <w:tabs>
          <w:tab w:leader="none" w:pos="2180" w:val="left"/>
        </w:tabs>
        <w:numPr>
          <w:ilvl w:val="0"/>
          <w:numId w:val="78"/>
        </w:numPr>
        <w:rPr>
          <w:rFonts w:ascii="Arial" w:cs="Arial" w:eastAsia="Arial" w:hAnsi="Arial"/>
          <w:sz w:val="11"/>
          <w:szCs w:val="11"/>
          <w:b w:val="1"/>
          <w:bCs w:val="1"/>
          <w:color w:val="auto"/>
        </w:rPr>
      </w:pPr>
      <w:r>
        <w:rPr>
          <w:rFonts w:ascii="Arial" w:cs="Arial" w:eastAsia="Arial" w:hAnsi="Arial"/>
          <w:sz w:val="11"/>
          <w:szCs w:val="11"/>
          <w:color w:val="auto"/>
        </w:rPr>
        <w:t>You are receiving this Proxy Statement and the accompanying proxy materials because you were a shareholder of record of the Company’s common stock at the close of business on March 22, 2023 (the “Record Date”) and you otherwise are entitled to notice of, and to vote at, the 2023 Annual Meeting of Shareholders (the “Meeting” or the “Annual Meeting”). Your Board of Directors is delivering this Proxy Statement and the accompanying proxy materials, including a proxy card, to you in connection with the solicitation of proxies by and on behalf of your Board, for use at the Annual Meeting, which will take place on May 18, 2023, and at any adjournments and postponements thereof. This Proxy Statement is intended to assist you in making an informed vote on the proposals described in this Proxy Statement. This Proxy Statement and the accompanying proxy card and other materials are first being mailed on or about April 3, 2023 in connection with the solicitation of proxies on behalf of your Board.</w:t>
      </w:r>
    </w:p>
    <w:p>
      <w:pPr>
        <w:spacing w:after="0" w:line="151" w:lineRule="exact"/>
        <w:rPr>
          <w:sz w:val="20"/>
          <w:szCs w:val="20"/>
          <w:color w:val="auto"/>
        </w:rPr>
      </w:pPr>
    </w:p>
    <w:p>
      <w:pPr>
        <w:ind w:left="1980"/>
        <w:spacing w:after="0"/>
        <w:tabs>
          <w:tab w:leader="none" w:pos="2160" w:val="left"/>
        </w:tabs>
        <w:rPr>
          <w:sz w:val="20"/>
          <w:szCs w:val="20"/>
          <w:color w:val="auto"/>
        </w:rPr>
      </w:pPr>
      <w:r>
        <w:rPr>
          <w:rFonts w:ascii="Arial" w:cs="Arial" w:eastAsia="Arial" w:hAnsi="Arial"/>
          <w:sz w:val="11"/>
          <w:szCs w:val="11"/>
          <w:b w:val="1"/>
          <w:bCs w:val="1"/>
          <w:color w:val="auto"/>
        </w:rPr>
        <w:t>Q:</w:t>
      </w:r>
      <w:r>
        <w:rPr>
          <w:sz w:val="20"/>
          <w:szCs w:val="20"/>
          <w:color w:val="auto"/>
        </w:rPr>
        <w:tab/>
      </w:r>
      <w:r>
        <w:rPr>
          <w:rFonts w:ascii="Arial" w:cs="Arial" w:eastAsia="Arial" w:hAnsi="Arial"/>
          <w:sz w:val="10"/>
          <w:szCs w:val="10"/>
          <w:b w:val="1"/>
          <w:bCs w:val="1"/>
          <w:color w:val="auto"/>
        </w:rPr>
        <w:t>What matters will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29210</wp:posOffset>
            </wp:positionV>
            <wp:extent cx="2240280" cy="571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2240280" cy="5715"/>
                    </a:xfrm>
                    <a:prstGeom prst="rect">
                      <a:avLst/>
                    </a:prstGeom>
                    <a:noFill/>
                  </pic:spPr>
                </pic:pic>
              </a:graphicData>
            </a:graphic>
          </wp:anchor>
        </w:drawing>
      </w:r>
    </w:p>
    <w:p>
      <w:pPr>
        <w:spacing w:after="0" w:line="163" w:lineRule="exact"/>
        <w:rPr>
          <w:sz w:val="20"/>
          <w:szCs w:val="20"/>
          <w:color w:val="auto"/>
        </w:rPr>
      </w:pPr>
    </w:p>
    <w:p>
      <w:pPr>
        <w:ind w:left="2180" w:right="60" w:hanging="208"/>
        <w:spacing w:after="0" w:line="239" w:lineRule="auto"/>
        <w:tabs>
          <w:tab w:leader="none" w:pos="2180" w:val="left"/>
        </w:tabs>
        <w:numPr>
          <w:ilvl w:val="0"/>
          <w:numId w:val="79"/>
        </w:numPr>
        <w:rPr>
          <w:rFonts w:ascii="Arial" w:cs="Arial" w:eastAsia="Arial" w:hAnsi="Arial"/>
          <w:sz w:val="11"/>
          <w:szCs w:val="11"/>
          <w:b w:val="1"/>
          <w:bCs w:val="1"/>
          <w:color w:val="auto"/>
        </w:rPr>
      </w:pPr>
      <w:r>
        <w:rPr>
          <w:rFonts w:ascii="Arial" w:cs="Arial" w:eastAsia="Arial" w:hAnsi="Arial"/>
          <w:sz w:val="11"/>
          <w:szCs w:val="11"/>
          <w:color w:val="auto"/>
        </w:rPr>
        <w:t xml:space="preserve">Proposal 1 — Election of eleven (11) directors to your Board of Directors to serve until the next annual meeting of shareholders and until their successors are duly elected and qualified. </w:t>
      </w:r>
      <w:r>
        <w:rPr>
          <w:rFonts w:ascii="Arial" w:cs="Arial" w:eastAsia="Arial" w:hAnsi="Arial"/>
          <w:sz w:val="11"/>
          <w:szCs w:val="11"/>
          <w:b w:val="1"/>
          <w:bCs w:val="1"/>
          <w:color w:val="auto"/>
        </w:rPr>
        <w:t>Your Board</w:t>
      </w:r>
      <w:r>
        <w:rPr>
          <w:rFonts w:ascii="Arial" w:cs="Arial" w:eastAsia="Arial" w:hAnsi="Arial"/>
          <w:sz w:val="11"/>
          <w:szCs w:val="11"/>
          <w:color w:val="auto"/>
        </w:rPr>
        <w:t xml:space="preserve"> </w:t>
      </w:r>
      <w:r>
        <w:rPr>
          <w:rFonts w:ascii="Arial" w:cs="Arial" w:eastAsia="Arial" w:hAnsi="Arial"/>
          <w:sz w:val="11"/>
          <w:szCs w:val="11"/>
          <w:b w:val="1"/>
          <w:bCs w:val="1"/>
          <w:color w:val="auto"/>
        </w:rPr>
        <w:t>unanimously recommends that you vote “FOR ALL” of your Board’s nominees: Michael R. Burns, Hope F. Cochran, Christian P. Cocks, Lisa Gersh, Elizabeth Hamren, Blake Jorgensen, Tracy A. Leinbach, Laurel J. Richie, Richard S. Stoddart, Mary Beth West, and Linda Zecher Higgins.</w:t>
      </w:r>
    </w:p>
    <w:p>
      <w:pPr>
        <w:spacing w:after="0" w:line="99" w:lineRule="exact"/>
        <w:rPr>
          <w:rFonts w:ascii="Arial" w:cs="Arial" w:eastAsia="Arial" w:hAnsi="Arial"/>
          <w:sz w:val="11"/>
          <w:szCs w:val="11"/>
          <w:b w:val="1"/>
          <w:bCs w:val="1"/>
          <w:color w:val="auto"/>
        </w:rPr>
      </w:pPr>
    </w:p>
    <w:p>
      <w:pPr>
        <w:ind w:left="2180" w:right="80"/>
        <w:spacing w:after="0" w:line="245" w:lineRule="auto"/>
        <w:rPr>
          <w:rFonts w:ascii="Arial" w:cs="Arial" w:eastAsia="Arial" w:hAnsi="Arial"/>
          <w:sz w:val="11"/>
          <w:szCs w:val="11"/>
          <w:b w:val="1"/>
          <w:bCs w:val="1"/>
          <w:color w:val="auto"/>
        </w:rPr>
      </w:pPr>
      <w:r>
        <w:rPr>
          <w:rFonts w:ascii="Arial" w:cs="Arial" w:eastAsia="Arial" w:hAnsi="Arial"/>
          <w:sz w:val="11"/>
          <w:szCs w:val="11"/>
          <w:color w:val="auto"/>
        </w:rPr>
        <w:t>Proposal 2 — An advisory vote to approve the compensation of the Company’s Named Executive Officers.</w:t>
      </w:r>
    </w:p>
    <w:p>
      <w:pPr>
        <w:spacing w:after="0" w:line="92" w:lineRule="exact"/>
        <w:rPr>
          <w:rFonts w:ascii="Arial" w:cs="Arial" w:eastAsia="Arial" w:hAnsi="Arial"/>
          <w:sz w:val="11"/>
          <w:szCs w:val="11"/>
          <w:b w:val="1"/>
          <w:bCs w:val="1"/>
          <w:color w:val="auto"/>
        </w:rPr>
      </w:pPr>
    </w:p>
    <w:p>
      <w:pPr>
        <w:ind w:left="2180" w:right="60"/>
        <w:spacing w:after="0" w:line="245" w:lineRule="auto"/>
        <w:rPr>
          <w:rFonts w:ascii="Arial" w:cs="Arial" w:eastAsia="Arial" w:hAnsi="Arial"/>
          <w:sz w:val="11"/>
          <w:szCs w:val="11"/>
          <w:b w:val="1"/>
          <w:bCs w:val="1"/>
          <w:color w:val="auto"/>
        </w:rPr>
      </w:pPr>
      <w:r>
        <w:rPr>
          <w:rFonts w:ascii="Arial" w:cs="Arial" w:eastAsia="Arial" w:hAnsi="Arial"/>
          <w:sz w:val="11"/>
          <w:szCs w:val="11"/>
          <w:color w:val="auto"/>
        </w:rPr>
        <w:t>Proposal 3 — An advisory vote on the Frequency of the Vote on the Compensation of the Company’s Named Executive Officers.</w:t>
      </w:r>
    </w:p>
    <w:p>
      <w:pPr>
        <w:spacing w:after="0" w:line="92" w:lineRule="exact"/>
        <w:rPr>
          <w:rFonts w:ascii="Arial" w:cs="Arial" w:eastAsia="Arial" w:hAnsi="Arial"/>
          <w:sz w:val="11"/>
          <w:szCs w:val="11"/>
          <w:b w:val="1"/>
          <w:bCs w:val="1"/>
          <w:color w:val="auto"/>
        </w:rPr>
      </w:pPr>
    </w:p>
    <w:p>
      <w:pPr>
        <w:ind w:left="2180" w:right="80"/>
        <w:spacing w:after="0" w:line="245" w:lineRule="auto"/>
        <w:rPr>
          <w:rFonts w:ascii="Arial" w:cs="Arial" w:eastAsia="Arial" w:hAnsi="Arial"/>
          <w:sz w:val="11"/>
          <w:szCs w:val="11"/>
          <w:b w:val="1"/>
          <w:bCs w:val="1"/>
          <w:color w:val="auto"/>
        </w:rPr>
      </w:pPr>
      <w:r>
        <w:rPr>
          <w:rFonts w:ascii="Arial" w:cs="Arial" w:eastAsia="Arial" w:hAnsi="Arial"/>
          <w:sz w:val="11"/>
          <w:szCs w:val="11"/>
          <w:color w:val="auto"/>
        </w:rPr>
        <w:t>Proposal 4 — Approval of amendments to the Restated 2003 Stock Incentive Performance Plan.</w:t>
      </w:r>
    </w:p>
    <w:p>
      <w:pPr>
        <w:spacing w:after="0" w:line="92" w:lineRule="exact"/>
        <w:rPr>
          <w:rFonts w:ascii="Arial" w:cs="Arial" w:eastAsia="Arial" w:hAnsi="Arial"/>
          <w:sz w:val="11"/>
          <w:szCs w:val="11"/>
          <w:b w:val="1"/>
          <w:bCs w:val="1"/>
          <w:color w:val="auto"/>
        </w:rPr>
      </w:pPr>
    </w:p>
    <w:p>
      <w:pPr>
        <w:ind w:left="2180"/>
        <w:spacing w:after="0" w:line="242" w:lineRule="auto"/>
        <w:rPr>
          <w:rFonts w:ascii="Arial" w:cs="Arial" w:eastAsia="Arial" w:hAnsi="Arial"/>
          <w:sz w:val="11"/>
          <w:szCs w:val="11"/>
          <w:b w:val="1"/>
          <w:bCs w:val="1"/>
          <w:color w:val="auto"/>
        </w:rPr>
      </w:pPr>
      <w:r>
        <w:rPr>
          <w:rFonts w:ascii="Arial" w:cs="Arial" w:eastAsia="Arial" w:hAnsi="Arial"/>
          <w:sz w:val="11"/>
          <w:szCs w:val="11"/>
          <w:color w:val="auto"/>
        </w:rPr>
        <w:t>Proposal 5 — Ratification of the selection of KPMG LLP (“KPMG”) as the Company’s independent registered public accounting firm for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424815</wp:posOffset>
            </wp:positionV>
            <wp:extent cx="3971925" cy="21717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3"/>
        <w:spacing w:after="0"/>
        <w:tabs>
          <w:tab w:leader="none" w:pos="202" w:val="left"/>
        </w:tabs>
        <w:rPr>
          <w:sz w:val="20"/>
          <w:szCs w:val="20"/>
          <w:color w:val="auto"/>
        </w:rPr>
      </w:pPr>
      <w:r>
        <w:rPr>
          <w:rFonts w:ascii="Arial" w:cs="Arial" w:eastAsia="Arial" w:hAnsi="Arial"/>
          <w:sz w:val="11"/>
          <w:szCs w:val="11"/>
          <w:b w:val="1"/>
          <w:bCs w:val="1"/>
          <w:color w:val="auto"/>
        </w:rPr>
        <w:t>Q:</w:t>
      </w:r>
      <w:r>
        <w:rPr>
          <w:sz w:val="20"/>
          <w:szCs w:val="20"/>
          <w:color w:val="auto"/>
        </w:rPr>
        <w:tab/>
      </w:r>
      <w:r>
        <w:rPr>
          <w:rFonts w:ascii="Arial" w:cs="Arial" w:eastAsia="Arial" w:hAnsi="Arial"/>
          <w:sz w:val="10"/>
          <w:szCs w:val="10"/>
          <w:b w:val="1"/>
          <w:bCs w:val="1"/>
          <w:color w:val="auto"/>
        </w:rPr>
        <w:t>What are the recommendations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2286000" cy="571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2286000" cy="5715"/>
                    </a:xfrm>
                    <a:prstGeom prst="rect">
                      <a:avLst/>
                    </a:prstGeom>
                    <a:noFill/>
                  </pic:spPr>
                </pic:pic>
              </a:graphicData>
            </a:graphic>
          </wp:anchor>
        </w:drawing>
      </w:r>
    </w:p>
    <w:p>
      <w:pPr>
        <w:spacing w:after="0" w:line="163" w:lineRule="exact"/>
        <w:rPr>
          <w:sz w:val="20"/>
          <w:szCs w:val="20"/>
          <w:color w:val="auto"/>
        </w:rPr>
      </w:pPr>
    </w:p>
    <w:p>
      <w:pPr>
        <w:ind w:left="223" w:right="919" w:hanging="223"/>
        <w:spacing w:after="0" w:line="245" w:lineRule="auto"/>
        <w:tabs>
          <w:tab w:leader="none" w:pos="223" w:val="left"/>
        </w:tabs>
        <w:numPr>
          <w:ilvl w:val="0"/>
          <w:numId w:val="80"/>
        </w:numPr>
        <w:rPr>
          <w:rFonts w:ascii="Arial" w:cs="Arial" w:eastAsia="Arial" w:hAnsi="Arial"/>
          <w:sz w:val="11"/>
          <w:szCs w:val="11"/>
          <w:b w:val="1"/>
          <w:bCs w:val="1"/>
          <w:color w:val="auto"/>
        </w:rPr>
      </w:pPr>
      <w:r>
        <w:rPr>
          <w:rFonts w:ascii="Arial" w:cs="Arial" w:eastAsia="Arial" w:hAnsi="Arial"/>
          <w:sz w:val="11"/>
          <w:szCs w:val="11"/>
          <w:color w:val="auto"/>
        </w:rPr>
        <w:t>Your Board of Directors unanimously recommends that you vote your shares as follows:</w:t>
      </w:r>
    </w:p>
    <w:p>
      <w:pPr>
        <w:spacing w:after="0" w:line="92" w:lineRule="exact"/>
        <w:rPr>
          <w:rFonts w:ascii="Arial" w:cs="Arial" w:eastAsia="Arial" w:hAnsi="Arial"/>
          <w:sz w:val="11"/>
          <w:szCs w:val="11"/>
          <w:b w:val="1"/>
          <w:bCs w:val="1"/>
          <w:color w:val="auto"/>
        </w:rPr>
      </w:pPr>
    </w:p>
    <w:p>
      <w:pPr>
        <w:ind w:left="343" w:hanging="127"/>
        <w:spacing w:after="0"/>
        <w:tabs>
          <w:tab w:leader="none" w:pos="343" w:val="left"/>
        </w:tabs>
        <w:numPr>
          <w:ilvl w:val="1"/>
          <w:numId w:val="80"/>
        </w:numPr>
        <w:rPr>
          <w:rFonts w:ascii="Arial" w:cs="Arial" w:eastAsia="Arial" w:hAnsi="Arial"/>
          <w:sz w:val="11"/>
          <w:szCs w:val="11"/>
          <w:color w:val="auto"/>
        </w:rPr>
      </w:pPr>
      <w:r>
        <w:rPr>
          <w:rFonts w:ascii="Arial" w:cs="Arial" w:eastAsia="Arial" w:hAnsi="Arial"/>
          <w:sz w:val="11"/>
          <w:szCs w:val="11"/>
          <w:color w:val="auto"/>
        </w:rPr>
        <w:t>“FOR ALL” the nominees proposed by your Board of Directors.</w:t>
      </w:r>
    </w:p>
    <w:p>
      <w:pPr>
        <w:spacing w:after="0" w:line="98" w:lineRule="exact"/>
        <w:rPr>
          <w:rFonts w:ascii="Arial" w:cs="Arial" w:eastAsia="Arial" w:hAnsi="Arial"/>
          <w:sz w:val="11"/>
          <w:szCs w:val="11"/>
          <w:color w:val="auto"/>
        </w:rPr>
      </w:pPr>
    </w:p>
    <w:p>
      <w:pPr>
        <w:jc w:val="both"/>
        <w:ind w:left="343" w:right="1239" w:hanging="127"/>
        <w:spacing w:after="0" w:line="293" w:lineRule="auto"/>
        <w:tabs>
          <w:tab w:leader="none" w:pos="343" w:val="left"/>
        </w:tabs>
        <w:numPr>
          <w:ilvl w:val="1"/>
          <w:numId w:val="80"/>
        </w:numPr>
        <w:rPr>
          <w:rFonts w:ascii="Arial" w:cs="Arial" w:eastAsia="Arial" w:hAnsi="Arial"/>
          <w:sz w:val="10"/>
          <w:szCs w:val="10"/>
          <w:color w:val="auto"/>
        </w:rPr>
      </w:pPr>
      <w:r>
        <w:rPr>
          <w:rFonts w:ascii="Arial" w:cs="Arial" w:eastAsia="Arial" w:hAnsi="Arial"/>
          <w:sz w:val="10"/>
          <w:szCs w:val="10"/>
          <w:color w:val="auto"/>
        </w:rPr>
        <w:t>“FOR” the approval, on a non-binding advisory basis, of the compensation of the Company’s Named Executive Officers.</w:t>
      </w:r>
    </w:p>
    <w:p>
      <w:pPr>
        <w:spacing w:after="0" w:line="70" w:lineRule="exact"/>
        <w:rPr>
          <w:rFonts w:ascii="Arial" w:cs="Arial" w:eastAsia="Arial" w:hAnsi="Arial"/>
          <w:sz w:val="10"/>
          <w:szCs w:val="10"/>
          <w:color w:val="auto"/>
        </w:rPr>
      </w:pPr>
    </w:p>
    <w:p>
      <w:pPr>
        <w:ind w:left="343" w:right="919" w:hanging="127"/>
        <w:spacing w:after="0" w:line="293" w:lineRule="auto"/>
        <w:tabs>
          <w:tab w:leader="none" w:pos="343" w:val="left"/>
        </w:tabs>
        <w:numPr>
          <w:ilvl w:val="1"/>
          <w:numId w:val="80"/>
        </w:numPr>
        <w:rPr>
          <w:rFonts w:ascii="Arial" w:cs="Arial" w:eastAsia="Arial" w:hAnsi="Arial"/>
          <w:sz w:val="10"/>
          <w:szCs w:val="10"/>
          <w:color w:val="auto"/>
        </w:rPr>
      </w:pPr>
      <w:r>
        <w:rPr>
          <w:rFonts w:ascii="Arial" w:cs="Arial" w:eastAsia="Arial" w:hAnsi="Arial"/>
          <w:sz w:val="10"/>
          <w:szCs w:val="10"/>
          <w:color w:val="auto"/>
        </w:rPr>
        <w:t>“In support” of having an annual advisory vote (a vote every year) on the Company’s compensation for its Named Executive Officers.</w:t>
      </w:r>
    </w:p>
    <w:p>
      <w:pPr>
        <w:spacing w:after="0" w:line="70" w:lineRule="exact"/>
        <w:rPr>
          <w:rFonts w:ascii="Arial" w:cs="Arial" w:eastAsia="Arial" w:hAnsi="Arial"/>
          <w:sz w:val="10"/>
          <w:szCs w:val="10"/>
          <w:color w:val="auto"/>
        </w:rPr>
      </w:pPr>
    </w:p>
    <w:p>
      <w:pPr>
        <w:ind w:left="343" w:right="1159" w:hanging="127"/>
        <w:spacing w:after="0" w:line="245" w:lineRule="auto"/>
        <w:tabs>
          <w:tab w:leader="none" w:pos="343" w:val="left"/>
        </w:tabs>
        <w:numPr>
          <w:ilvl w:val="1"/>
          <w:numId w:val="80"/>
        </w:numPr>
        <w:rPr>
          <w:rFonts w:ascii="Arial" w:cs="Arial" w:eastAsia="Arial" w:hAnsi="Arial"/>
          <w:sz w:val="11"/>
          <w:szCs w:val="11"/>
          <w:color w:val="auto"/>
        </w:rPr>
      </w:pPr>
      <w:r>
        <w:rPr>
          <w:rFonts w:ascii="Arial" w:cs="Arial" w:eastAsia="Arial" w:hAnsi="Arial"/>
          <w:sz w:val="11"/>
          <w:szCs w:val="11"/>
          <w:color w:val="auto"/>
        </w:rPr>
        <w:t>“FOR” the amendments to the Restated 2003 Stock Incentive Performance Plan.</w:t>
      </w:r>
    </w:p>
    <w:p>
      <w:pPr>
        <w:spacing w:after="0" w:line="92" w:lineRule="exact"/>
        <w:rPr>
          <w:rFonts w:ascii="Arial" w:cs="Arial" w:eastAsia="Arial" w:hAnsi="Arial"/>
          <w:sz w:val="11"/>
          <w:szCs w:val="11"/>
          <w:color w:val="auto"/>
        </w:rPr>
      </w:pPr>
    </w:p>
    <w:p>
      <w:pPr>
        <w:ind w:left="343" w:right="979" w:hanging="127"/>
        <w:spacing w:after="0" w:line="293" w:lineRule="auto"/>
        <w:tabs>
          <w:tab w:leader="none" w:pos="343" w:val="left"/>
        </w:tabs>
        <w:numPr>
          <w:ilvl w:val="1"/>
          <w:numId w:val="80"/>
        </w:numPr>
        <w:rPr>
          <w:rFonts w:ascii="Arial" w:cs="Arial" w:eastAsia="Arial" w:hAnsi="Arial"/>
          <w:sz w:val="10"/>
          <w:szCs w:val="10"/>
          <w:color w:val="auto"/>
        </w:rPr>
      </w:pPr>
      <w:r>
        <w:rPr>
          <w:rFonts w:ascii="Arial" w:cs="Arial" w:eastAsia="Arial" w:hAnsi="Arial"/>
          <w:sz w:val="10"/>
          <w:szCs w:val="10"/>
          <w:color w:val="auto"/>
        </w:rPr>
        <w:t>“FOR” the ratification of the selection of KPMG as the Company’s independent registered public accounting firm for fiscal 2023.</w:t>
      </w:r>
    </w:p>
    <w:p>
      <w:pPr>
        <w:spacing w:after="0" w:line="121" w:lineRule="exact"/>
        <w:rPr>
          <w:sz w:val="20"/>
          <w:szCs w:val="20"/>
          <w:color w:val="auto"/>
        </w:rPr>
      </w:pPr>
    </w:p>
    <w:p>
      <w:pPr>
        <w:ind w:left="3"/>
        <w:spacing w:after="0"/>
        <w:tabs>
          <w:tab w:leader="none" w:pos="202" w:val="left"/>
        </w:tabs>
        <w:rPr>
          <w:sz w:val="20"/>
          <w:szCs w:val="20"/>
          <w:color w:val="auto"/>
        </w:rPr>
      </w:pPr>
      <w:r>
        <w:rPr>
          <w:rFonts w:ascii="Arial" w:cs="Arial" w:eastAsia="Arial" w:hAnsi="Arial"/>
          <w:sz w:val="11"/>
          <w:szCs w:val="11"/>
          <w:b w:val="1"/>
          <w:bCs w:val="1"/>
          <w:color w:val="auto"/>
        </w:rPr>
        <w:t>Q:</w:t>
      </w:r>
      <w:r>
        <w:rPr>
          <w:sz w:val="20"/>
          <w:szCs w:val="20"/>
          <w:color w:val="auto"/>
        </w:rPr>
        <w:tab/>
      </w:r>
      <w:r>
        <w:rPr>
          <w:rFonts w:ascii="Arial" w:cs="Arial" w:eastAsia="Arial" w:hAnsi="Arial"/>
          <w:sz w:val="10"/>
          <w:szCs w:val="10"/>
          <w:b w:val="1"/>
          <w:bCs w:val="1"/>
          <w:color w:val="auto"/>
        </w:rPr>
        <w:t>Who may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2286000" cy="571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2286000" cy="5715"/>
                    </a:xfrm>
                    <a:prstGeom prst="rect">
                      <a:avLst/>
                    </a:prstGeom>
                    <a:noFill/>
                  </pic:spPr>
                </pic:pic>
              </a:graphicData>
            </a:graphic>
          </wp:anchor>
        </w:drawing>
      </w:r>
    </w:p>
    <w:p>
      <w:pPr>
        <w:spacing w:after="0" w:line="163" w:lineRule="exact"/>
        <w:rPr>
          <w:sz w:val="20"/>
          <w:szCs w:val="20"/>
          <w:color w:val="auto"/>
        </w:rPr>
      </w:pPr>
    </w:p>
    <w:p>
      <w:pPr>
        <w:ind w:left="223" w:right="919" w:hanging="223"/>
        <w:spacing w:after="0"/>
        <w:tabs>
          <w:tab w:leader="none" w:pos="223" w:val="left"/>
        </w:tabs>
        <w:numPr>
          <w:ilvl w:val="0"/>
          <w:numId w:val="81"/>
        </w:numPr>
        <w:rPr>
          <w:rFonts w:ascii="Arial" w:cs="Arial" w:eastAsia="Arial" w:hAnsi="Arial"/>
          <w:sz w:val="11"/>
          <w:szCs w:val="11"/>
          <w:b w:val="1"/>
          <w:bCs w:val="1"/>
          <w:color w:val="auto"/>
        </w:rPr>
      </w:pPr>
      <w:r>
        <w:rPr>
          <w:rFonts w:ascii="Arial" w:cs="Arial" w:eastAsia="Arial" w:hAnsi="Arial"/>
          <w:sz w:val="11"/>
          <w:szCs w:val="11"/>
          <w:color w:val="auto"/>
        </w:rPr>
        <w:t>Shareholders of Hasbro at the close of business on the Record Date are entitled to vote on all items being voted on at the Annual Meeting and any adjournments or postponements thereof. As of the Record Date, there were 138,598,376 shares of Hasbro common stock, par value $0.50 per share (“Common Stock”), outstanding. Each share of Hasbro Common Stock is entitled to one vote.</w:t>
      </w:r>
    </w:p>
    <w:p>
      <w:pPr>
        <w:spacing w:after="0" w:line="147" w:lineRule="exact"/>
        <w:rPr>
          <w:sz w:val="20"/>
          <w:szCs w:val="20"/>
          <w:color w:val="auto"/>
        </w:rPr>
      </w:pPr>
    </w:p>
    <w:p>
      <w:pPr>
        <w:ind w:left="3"/>
        <w:spacing w:after="0"/>
        <w:tabs>
          <w:tab w:leader="none" w:pos="202" w:val="left"/>
        </w:tabs>
        <w:rPr>
          <w:sz w:val="20"/>
          <w:szCs w:val="20"/>
          <w:color w:val="auto"/>
        </w:rPr>
      </w:pPr>
      <w:r>
        <w:rPr>
          <w:rFonts w:ascii="Arial" w:cs="Arial" w:eastAsia="Arial" w:hAnsi="Arial"/>
          <w:sz w:val="11"/>
          <w:szCs w:val="11"/>
          <w:b w:val="1"/>
          <w:bCs w:val="1"/>
          <w:color w:val="auto"/>
        </w:rPr>
        <w:t>Q:</w:t>
      </w:r>
      <w:r>
        <w:rPr>
          <w:sz w:val="20"/>
          <w:szCs w:val="20"/>
          <w:color w:val="auto"/>
        </w:rPr>
        <w:tab/>
      </w:r>
      <w:r>
        <w:rPr>
          <w:rFonts w:ascii="Arial" w:cs="Arial" w:eastAsia="Arial" w:hAnsi="Arial"/>
          <w:sz w:val="10"/>
          <w:szCs w:val="10"/>
          <w:b w:val="1"/>
          <w:bCs w:val="1"/>
          <w:color w:val="auto"/>
        </w:rPr>
        <w:t>Who can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2286000" cy="571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2286000" cy="5715"/>
                    </a:xfrm>
                    <a:prstGeom prst="rect">
                      <a:avLst/>
                    </a:prstGeom>
                    <a:noFill/>
                  </pic:spPr>
                </pic:pic>
              </a:graphicData>
            </a:graphic>
          </wp:anchor>
        </w:drawing>
      </w:r>
    </w:p>
    <w:p>
      <w:pPr>
        <w:spacing w:after="0" w:line="154" w:lineRule="exact"/>
        <w:rPr>
          <w:sz w:val="20"/>
          <w:szCs w:val="20"/>
          <w:color w:val="auto"/>
        </w:rPr>
      </w:pPr>
    </w:p>
    <w:p>
      <w:pPr>
        <w:ind w:left="223" w:right="899" w:hanging="223"/>
        <w:spacing w:after="0" w:line="270" w:lineRule="auto"/>
        <w:tabs>
          <w:tab w:leader="none" w:pos="223" w:val="left"/>
        </w:tabs>
        <w:numPr>
          <w:ilvl w:val="0"/>
          <w:numId w:val="82"/>
        </w:numPr>
        <w:rPr>
          <w:rFonts w:ascii="Arial" w:cs="Arial" w:eastAsia="Arial" w:hAnsi="Arial"/>
          <w:sz w:val="10"/>
          <w:szCs w:val="10"/>
          <w:b w:val="1"/>
          <w:bCs w:val="1"/>
          <w:color w:val="auto"/>
        </w:rPr>
      </w:pPr>
      <w:r>
        <w:rPr>
          <w:rFonts w:ascii="Arial" w:cs="Arial" w:eastAsia="Arial" w:hAnsi="Arial"/>
          <w:sz w:val="10"/>
          <w:szCs w:val="10"/>
          <w:color w:val="auto"/>
        </w:rPr>
        <w:t>Attendance at the Annual Meeting through the website www.meetnow.global/MPL92M4 or any adjournment or postponement thereof will be limited to shareholders of the Company as of the close of business on the Record Date and guests. You will not be able to attend the Annual Meeting in person at a physical location.</w:t>
      </w:r>
    </w:p>
    <w:p>
      <w:pPr>
        <w:spacing w:after="0" w:line="133" w:lineRule="exact"/>
        <w:rPr>
          <w:sz w:val="20"/>
          <w:szCs w:val="20"/>
          <w:color w:val="auto"/>
        </w:rPr>
      </w:pPr>
    </w:p>
    <w:p>
      <w:pPr>
        <w:ind w:left="3"/>
        <w:spacing w:after="0"/>
        <w:tabs>
          <w:tab w:leader="none" w:pos="202" w:val="left"/>
        </w:tabs>
        <w:rPr>
          <w:sz w:val="20"/>
          <w:szCs w:val="20"/>
          <w:color w:val="auto"/>
        </w:rPr>
      </w:pPr>
      <w:r>
        <w:rPr>
          <w:rFonts w:ascii="Arial" w:cs="Arial" w:eastAsia="Arial" w:hAnsi="Arial"/>
          <w:sz w:val="11"/>
          <w:szCs w:val="11"/>
          <w:b w:val="1"/>
          <w:bCs w:val="1"/>
          <w:color w:val="auto"/>
        </w:rPr>
        <w:t>Q:</w:t>
      </w:r>
      <w:r>
        <w:rPr>
          <w:sz w:val="20"/>
          <w:szCs w:val="20"/>
          <w:color w:val="auto"/>
        </w:rPr>
        <w:tab/>
      </w:r>
      <w:r>
        <w:rPr>
          <w:rFonts w:ascii="Arial" w:cs="Arial" w:eastAsia="Arial" w:hAnsi="Arial"/>
          <w:sz w:val="10"/>
          <w:szCs w:val="10"/>
          <w:b w:val="1"/>
          <w:bCs w:val="1"/>
          <w:color w:val="auto"/>
        </w:rPr>
        <w:t>How can I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2286000" cy="571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2286000" cy="5715"/>
                    </a:xfrm>
                    <a:prstGeom prst="rect">
                      <a:avLst/>
                    </a:prstGeom>
                    <a:noFill/>
                  </pic:spPr>
                </pic:pic>
              </a:graphicData>
            </a:graphic>
          </wp:anchor>
        </w:drawing>
      </w:r>
    </w:p>
    <w:p>
      <w:pPr>
        <w:spacing w:after="0" w:line="151" w:lineRule="exact"/>
        <w:rPr>
          <w:sz w:val="20"/>
          <w:szCs w:val="20"/>
          <w:color w:val="auto"/>
        </w:rPr>
      </w:pPr>
    </w:p>
    <w:p>
      <w:pPr>
        <w:ind w:left="223" w:hanging="223"/>
        <w:spacing w:after="0"/>
        <w:tabs>
          <w:tab w:leader="none" w:pos="223" w:val="left"/>
        </w:tabs>
        <w:numPr>
          <w:ilvl w:val="0"/>
          <w:numId w:val="83"/>
        </w:numPr>
        <w:rPr>
          <w:rFonts w:ascii="Arial" w:cs="Arial" w:eastAsia="Arial" w:hAnsi="Arial"/>
          <w:sz w:val="11"/>
          <w:szCs w:val="11"/>
          <w:b w:val="1"/>
          <w:bCs w:val="1"/>
          <w:color w:val="auto"/>
        </w:rPr>
      </w:pPr>
      <w:r>
        <w:rPr>
          <w:rFonts w:ascii="Arial" w:cs="Arial" w:eastAsia="Arial" w:hAnsi="Arial"/>
          <w:sz w:val="11"/>
          <w:szCs w:val="11"/>
          <w:b w:val="1"/>
          <w:bCs w:val="1"/>
          <w:color w:val="auto"/>
        </w:rPr>
        <w:t>Registered Holders.</w:t>
      </w:r>
    </w:p>
    <w:p>
      <w:pPr>
        <w:spacing w:after="0" w:line="110" w:lineRule="exact"/>
        <w:rPr>
          <w:rFonts w:ascii="Arial" w:cs="Arial" w:eastAsia="Arial" w:hAnsi="Arial"/>
          <w:sz w:val="11"/>
          <w:szCs w:val="11"/>
          <w:b w:val="1"/>
          <w:bCs w:val="1"/>
          <w:color w:val="auto"/>
        </w:rPr>
      </w:pPr>
    </w:p>
    <w:p>
      <w:pPr>
        <w:ind w:left="223" w:right="879"/>
        <w:spacing w:after="0"/>
        <w:rPr>
          <w:rFonts w:ascii="Arial" w:cs="Arial" w:eastAsia="Arial" w:hAnsi="Arial"/>
          <w:sz w:val="11"/>
          <w:szCs w:val="11"/>
          <w:b w:val="1"/>
          <w:bCs w:val="1"/>
          <w:color w:val="auto"/>
        </w:rPr>
      </w:pPr>
      <w:r>
        <w:rPr>
          <w:rFonts w:ascii="Arial" w:cs="Arial" w:eastAsia="Arial" w:hAnsi="Arial"/>
          <w:sz w:val="11"/>
          <w:szCs w:val="11"/>
          <w:color w:val="auto"/>
        </w:rPr>
        <w:t xml:space="preserve">As a registered holder, you will be able to attend the Annual Meeting online, ask a question and vote by visiting </w:t>
      </w:r>
      <w:r>
        <w:rPr>
          <w:rFonts w:ascii="Arial" w:cs="Arial" w:eastAsia="Arial" w:hAnsi="Arial"/>
          <w:sz w:val="11"/>
          <w:szCs w:val="11"/>
          <w:u w:val="single" w:color="auto"/>
          <w:color w:val="auto"/>
        </w:rPr>
        <w:t>www.meetnow.global/MPL92M4</w:t>
      </w:r>
      <w:r>
        <w:rPr>
          <w:rFonts w:ascii="Arial" w:cs="Arial" w:eastAsia="Arial" w:hAnsi="Arial"/>
          <w:sz w:val="11"/>
          <w:szCs w:val="11"/>
          <w:color w:val="auto"/>
        </w:rPr>
        <w:t xml:space="preserve"> and following the instructions on your Notice, proxy card, or on the instructions that accompanied your proxy materials.</w:t>
      </w:r>
    </w:p>
    <w:p>
      <w:pPr>
        <w:spacing w:after="0" w:line="200" w:lineRule="exact"/>
        <w:rPr>
          <w:sz w:val="20"/>
          <w:szCs w:val="20"/>
          <w:color w:val="auto"/>
        </w:rPr>
      </w:pPr>
    </w:p>
    <w:p>
      <w:pPr>
        <w:sectPr>
          <w:pgSz w:w="11900" w:h="16838" w:orient="portrait"/>
          <w:cols w:equalWidth="0" w:num="2">
            <w:col w:w="5480" w:space="237"/>
            <w:col w:w="4442"/>
          </w:cols>
          <w:pgMar w:left="300" w:top="372" w:right="1440" w:bottom="1440" w:gutter="0" w:footer="0" w:header="0"/>
          <w:type w:val="continuous"/>
        </w:sectPr>
      </w:pPr>
    </w:p>
    <w:p>
      <w:pPr>
        <w:spacing w:after="0" w:line="52" w:lineRule="exact"/>
        <w:rPr>
          <w:sz w:val="20"/>
          <w:szCs w:val="20"/>
          <w:color w:val="auto"/>
        </w:rPr>
      </w:pPr>
    </w:p>
    <w:p>
      <w:pPr>
        <w:ind w:left="2080"/>
        <w:spacing w:after="0"/>
        <w:rPr>
          <w:sz w:val="20"/>
          <w:szCs w:val="20"/>
          <w:color w:val="auto"/>
        </w:rPr>
      </w:pPr>
      <w:r>
        <w:rPr>
          <w:rFonts w:ascii="Arial" w:cs="Arial" w:eastAsia="Arial" w:hAnsi="Arial"/>
          <w:sz w:val="10"/>
          <w:szCs w:val="10"/>
          <w:b w:val="1"/>
          <w:bCs w:val="1"/>
          <w:color w:val="FCFCFC"/>
        </w:rPr>
        <w:t>97</w:t>
      </w:r>
    </w:p>
    <w:p>
      <w:pPr>
        <w:sectPr>
          <w:pgSz w:w="11900" w:h="16838" w:orient="portrait"/>
          <w:cols w:equalWidth="0" w:num="1">
            <w:col w:w="10159"/>
          </w:cols>
          <w:pgMar w:left="300" w:top="372" w:right="1440"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240" w:lineRule="exact"/>
        <w:rPr>
          <w:sz w:val="20"/>
          <w:szCs w:val="20"/>
          <w:color w:val="auto"/>
        </w:rPr>
      </w:pPr>
    </w:p>
    <w:p>
      <w:pPr>
        <w:ind w:left="2180"/>
        <w:spacing w:after="0"/>
        <w:rPr>
          <w:sz w:val="20"/>
          <w:szCs w:val="20"/>
          <w:color w:val="auto"/>
        </w:rPr>
      </w:pPr>
      <w:r>
        <w:rPr>
          <w:rFonts w:ascii="Arial" w:cs="Arial" w:eastAsia="Arial" w:hAnsi="Arial"/>
          <w:sz w:val="11"/>
          <w:szCs w:val="11"/>
          <w:b w:val="1"/>
          <w:bCs w:val="1"/>
          <w:color w:val="auto"/>
        </w:rPr>
        <w:t>Beneficial Holders.</w:t>
      </w:r>
    </w:p>
    <w:p>
      <w:pPr>
        <w:spacing w:after="0" w:line="111" w:lineRule="exact"/>
        <w:rPr>
          <w:sz w:val="20"/>
          <w:szCs w:val="20"/>
          <w:color w:val="auto"/>
        </w:rPr>
      </w:pPr>
    </w:p>
    <w:p>
      <w:pPr>
        <w:ind w:left="2180" w:right="220"/>
        <w:spacing w:after="0" w:line="245" w:lineRule="auto"/>
        <w:rPr>
          <w:sz w:val="20"/>
          <w:szCs w:val="20"/>
          <w:color w:val="auto"/>
        </w:rPr>
      </w:pPr>
      <w:r>
        <w:rPr>
          <w:rFonts w:ascii="Arial" w:cs="Arial" w:eastAsia="Arial" w:hAnsi="Arial"/>
          <w:sz w:val="11"/>
          <w:szCs w:val="11"/>
          <w:color w:val="auto"/>
        </w:rPr>
        <w:t>If you hold your shares in street name as a beneficial holder and wish to attend the Annual Meeting, you have two options:</w:t>
      </w:r>
    </w:p>
    <w:p>
      <w:pPr>
        <w:spacing w:after="0" w:line="93" w:lineRule="exact"/>
        <w:rPr>
          <w:sz w:val="20"/>
          <w:szCs w:val="20"/>
          <w:color w:val="auto"/>
        </w:rPr>
      </w:pPr>
    </w:p>
    <w:p>
      <w:pPr>
        <w:ind w:left="2660" w:right="40" w:hanging="247"/>
        <w:spacing w:after="0" w:line="239" w:lineRule="auto"/>
        <w:tabs>
          <w:tab w:leader="none" w:pos="2660" w:val="left"/>
        </w:tabs>
        <w:numPr>
          <w:ilvl w:val="0"/>
          <w:numId w:val="84"/>
        </w:numPr>
        <w:rPr>
          <w:rFonts w:ascii="Arial" w:cs="Arial" w:eastAsia="Arial" w:hAnsi="Arial"/>
          <w:sz w:val="11"/>
          <w:szCs w:val="11"/>
          <w:color w:val="auto"/>
        </w:rPr>
      </w:pPr>
      <w:r>
        <w:rPr>
          <w:rFonts w:ascii="Arial" w:cs="Arial" w:eastAsia="Arial" w:hAnsi="Arial"/>
          <w:sz w:val="11"/>
          <w:szCs w:val="11"/>
          <w:color w:val="auto"/>
        </w:rPr>
        <w:t>Option 1 - Register in Advance. You may register in advance by submitting proof of your proxy power by submitting a “legal proxy” form that you can obtain from your broker by following the instructions on their voting instructions. Upon receipt, send the legal proxy reflecting your holdings in Hasbro along with your name and email address to Computershare Trust Company (“Computershare”) by email or mail as set forth below. Requests for registration must be labeled as “Legal Proxy” and be received no later than 5:00 p.m., Eastern Time, on May 15, 2023.</w:t>
      </w:r>
    </w:p>
    <w:p>
      <w:pPr>
        <w:spacing w:after="0" w:line="99" w:lineRule="exact"/>
        <w:rPr>
          <w:sz w:val="20"/>
          <w:szCs w:val="20"/>
          <w:color w:val="auto"/>
        </w:rPr>
      </w:pPr>
    </w:p>
    <w:p>
      <w:pPr>
        <w:ind w:left="2620"/>
        <w:spacing w:after="0"/>
        <w:rPr>
          <w:sz w:val="20"/>
          <w:szCs w:val="20"/>
          <w:color w:val="auto"/>
        </w:rPr>
      </w:pPr>
      <w:r>
        <w:rPr>
          <w:rFonts w:ascii="Arial" w:cs="Arial" w:eastAsia="Arial" w:hAnsi="Arial"/>
          <w:sz w:val="10"/>
          <w:szCs w:val="10"/>
          <w:color w:val="auto"/>
        </w:rPr>
        <w:t>By email: Forward the email from your broker and attach an</w:t>
      </w:r>
    </w:p>
    <w:p>
      <w:pPr>
        <w:spacing w:after="0" w:line="11" w:lineRule="exact"/>
        <w:rPr>
          <w:sz w:val="20"/>
          <w:szCs w:val="20"/>
          <w:color w:val="auto"/>
        </w:rPr>
      </w:pPr>
    </w:p>
    <w:p>
      <w:pPr>
        <w:ind w:left="2620"/>
        <w:spacing w:after="0"/>
        <w:rPr>
          <w:sz w:val="20"/>
          <w:szCs w:val="20"/>
          <w:color w:val="auto"/>
        </w:rPr>
      </w:pPr>
      <w:r>
        <w:rPr>
          <w:rFonts w:ascii="Arial" w:cs="Arial" w:eastAsia="Arial" w:hAnsi="Arial"/>
          <w:sz w:val="11"/>
          <w:szCs w:val="11"/>
          <w:color w:val="auto"/>
        </w:rPr>
        <w:t>image of your legal proxy, to</w:t>
      </w:r>
    </w:p>
    <w:p>
      <w:pPr>
        <w:ind w:left="2620"/>
        <w:spacing w:after="0"/>
        <w:rPr>
          <w:sz w:val="20"/>
          <w:szCs w:val="20"/>
          <w:color w:val="auto"/>
        </w:rPr>
      </w:pPr>
      <w:r>
        <w:rPr>
          <w:rFonts w:ascii="Arial" w:cs="Arial" w:eastAsia="Arial" w:hAnsi="Arial"/>
          <w:sz w:val="11"/>
          <w:szCs w:val="11"/>
          <w:u w:val="single" w:color="auto"/>
          <w:color w:val="auto"/>
        </w:rPr>
        <w:t>legalproxy@computershare.com</w:t>
      </w:r>
      <w:r>
        <w:rPr>
          <w:rFonts w:ascii="Arial" w:cs="Arial" w:eastAsia="Arial" w:hAnsi="Arial"/>
          <w:sz w:val="11"/>
          <w:szCs w:val="11"/>
          <w:color w:val="auto"/>
        </w:rPr>
        <w:t>.</w:t>
      </w:r>
    </w:p>
    <w:p>
      <w:pPr>
        <w:spacing w:after="0" w:line="98" w:lineRule="exact"/>
        <w:rPr>
          <w:sz w:val="20"/>
          <w:szCs w:val="20"/>
          <w:color w:val="auto"/>
        </w:rPr>
      </w:pPr>
    </w:p>
    <w:p>
      <w:pPr>
        <w:ind w:left="2620"/>
        <w:spacing w:after="0"/>
        <w:rPr>
          <w:sz w:val="20"/>
          <w:szCs w:val="20"/>
          <w:color w:val="auto"/>
        </w:rPr>
      </w:pPr>
      <w:r>
        <w:rPr>
          <w:rFonts w:ascii="Arial" w:cs="Arial" w:eastAsia="Arial" w:hAnsi="Arial"/>
          <w:sz w:val="11"/>
          <w:szCs w:val="11"/>
          <w:color w:val="auto"/>
        </w:rPr>
        <w:t>By mail: Computershare</w:t>
      </w:r>
    </w:p>
    <w:p>
      <w:pPr>
        <w:ind w:left="2620"/>
        <w:spacing w:after="0"/>
        <w:rPr>
          <w:sz w:val="20"/>
          <w:szCs w:val="20"/>
          <w:color w:val="auto"/>
        </w:rPr>
      </w:pPr>
      <w:r>
        <w:rPr>
          <w:rFonts w:ascii="Arial" w:cs="Arial" w:eastAsia="Arial" w:hAnsi="Arial"/>
          <w:sz w:val="11"/>
          <w:szCs w:val="11"/>
          <w:color w:val="auto"/>
        </w:rPr>
        <w:t>Hasbro Legal Proxy</w:t>
      </w:r>
    </w:p>
    <w:p>
      <w:pPr>
        <w:ind w:left="2620"/>
        <w:spacing w:after="0"/>
        <w:rPr>
          <w:sz w:val="20"/>
          <w:szCs w:val="20"/>
          <w:color w:val="auto"/>
        </w:rPr>
      </w:pPr>
      <w:r>
        <w:rPr>
          <w:rFonts w:ascii="Arial" w:cs="Arial" w:eastAsia="Arial" w:hAnsi="Arial"/>
          <w:sz w:val="11"/>
          <w:szCs w:val="11"/>
          <w:color w:val="auto"/>
        </w:rPr>
        <w:t>P.O. Box 43001</w:t>
      </w:r>
    </w:p>
    <w:p>
      <w:pPr>
        <w:ind w:left="2620"/>
        <w:spacing w:after="0"/>
        <w:rPr>
          <w:sz w:val="20"/>
          <w:szCs w:val="20"/>
          <w:color w:val="auto"/>
        </w:rPr>
      </w:pPr>
      <w:r>
        <w:rPr>
          <w:rFonts w:ascii="Arial" w:cs="Arial" w:eastAsia="Arial" w:hAnsi="Arial"/>
          <w:sz w:val="11"/>
          <w:szCs w:val="11"/>
          <w:color w:val="auto"/>
        </w:rPr>
        <w:t>Providence, RI 02940-3001</w:t>
      </w:r>
    </w:p>
    <w:p>
      <w:pPr>
        <w:spacing w:after="0" w:line="99" w:lineRule="exact"/>
        <w:rPr>
          <w:sz w:val="20"/>
          <w:szCs w:val="20"/>
          <w:color w:val="auto"/>
        </w:rPr>
      </w:pPr>
    </w:p>
    <w:p>
      <w:pPr>
        <w:ind w:left="2660" w:hanging="247"/>
        <w:spacing w:after="0" w:line="239" w:lineRule="auto"/>
        <w:tabs>
          <w:tab w:leader="none" w:pos="2660" w:val="left"/>
        </w:tabs>
        <w:numPr>
          <w:ilvl w:val="0"/>
          <w:numId w:val="85"/>
        </w:numPr>
        <w:rPr>
          <w:rFonts w:ascii="Arial" w:cs="Arial" w:eastAsia="Arial" w:hAnsi="Arial"/>
          <w:sz w:val="11"/>
          <w:szCs w:val="11"/>
          <w:color w:val="auto"/>
        </w:rPr>
      </w:pPr>
      <w:r>
        <w:rPr>
          <w:rFonts w:ascii="Arial" w:cs="Arial" w:eastAsia="Arial" w:hAnsi="Arial"/>
          <w:sz w:val="11"/>
          <w:szCs w:val="11"/>
          <w:color w:val="auto"/>
        </w:rPr>
        <w:t>Option 2 - Register at the Annual Meeting. For the 2023 proxy season, an industry solution has been agreed upon to allow beneficial holders to register online at the Annual Meeting to attend, ask questions and vote. We expect that the vast majority of beneficial holders will be able to fully participate using the control number received with their voting instruction form. Please note, however, that this option is intended to be provided as a convenience to beneficial holders only, and there is no guarantee this option will be available for every type of beneficial holder voting control number. The inability to provide this option to any or all beneficial holders shall in no way impact the validity of the Annual Meeting. Beneficial holders may choose the Register in Advance of the Annual Meeting option above, if they prefer to use this traditional, paper-based option.</w:t>
      </w:r>
    </w:p>
    <w:p>
      <w:pPr>
        <w:spacing w:after="0" w:line="100" w:lineRule="exact"/>
        <w:rPr>
          <w:sz w:val="20"/>
          <w:szCs w:val="20"/>
          <w:color w:val="auto"/>
        </w:rPr>
      </w:pPr>
    </w:p>
    <w:p>
      <w:pPr>
        <w:ind w:left="2180"/>
        <w:spacing w:after="0"/>
        <w:rPr>
          <w:sz w:val="20"/>
          <w:szCs w:val="20"/>
          <w:color w:val="auto"/>
        </w:rPr>
      </w:pPr>
      <w:r>
        <w:rPr>
          <w:rFonts w:ascii="Arial" w:cs="Arial" w:eastAsia="Arial" w:hAnsi="Arial"/>
          <w:sz w:val="11"/>
          <w:szCs w:val="11"/>
          <w:color w:val="auto"/>
        </w:rPr>
        <w:t xml:space="preserve">In any event, please go </w:t>
      </w:r>
      <w:r>
        <w:rPr>
          <w:rFonts w:ascii="Arial" w:cs="Arial" w:eastAsia="Arial" w:hAnsi="Arial"/>
          <w:sz w:val="11"/>
          <w:szCs w:val="11"/>
          <w:u w:val="single" w:color="auto"/>
          <w:color w:val="auto"/>
        </w:rPr>
        <w:t>www.meetnow.global/MPL92M4</w:t>
      </w:r>
      <w:r>
        <w:rPr>
          <w:rFonts w:ascii="Arial" w:cs="Arial" w:eastAsia="Arial" w:hAnsi="Arial"/>
          <w:sz w:val="11"/>
          <w:szCs w:val="11"/>
          <w:color w:val="auto"/>
        </w:rPr>
        <w:t xml:space="preserve"> for more information on the available options and registration instructions. The online meeting will begin promptly at 10:00 A.M. Eastern Time. We encourage you to access the Annual Meeting prior to the start time leaving ample time for the check in. Please follow the registration instructions as outlined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123190</wp:posOffset>
            </wp:positionV>
            <wp:extent cx="3971925" cy="21717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23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98</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3"/>
        <w:spacing w:after="0"/>
        <w:tabs>
          <w:tab w:leader="none" w:pos="202" w:val="left"/>
        </w:tabs>
        <w:rPr>
          <w:sz w:val="20"/>
          <w:szCs w:val="20"/>
          <w:color w:val="auto"/>
        </w:rPr>
      </w:pPr>
      <w:r>
        <w:rPr>
          <w:rFonts w:ascii="Arial" w:cs="Arial" w:eastAsia="Arial" w:hAnsi="Arial"/>
          <w:sz w:val="11"/>
          <w:szCs w:val="11"/>
          <w:b w:val="1"/>
          <w:bCs w:val="1"/>
          <w:color w:val="auto"/>
        </w:rPr>
        <w:t>Q:</w:t>
      </w:r>
      <w:r>
        <w:rPr>
          <w:sz w:val="20"/>
          <w:szCs w:val="20"/>
          <w:color w:val="auto"/>
        </w:rPr>
        <w:tab/>
      </w:r>
      <w:r>
        <w:rPr>
          <w:rFonts w:ascii="Arial" w:cs="Arial" w:eastAsia="Arial" w:hAnsi="Arial"/>
          <w:sz w:val="10"/>
          <w:szCs w:val="10"/>
          <w:b w:val="1"/>
          <w:bCs w:val="1"/>
          <w:color w:val="auto"/>
        </w:rPr>
        <w:t>How can I attend the Annual Meeting as a guest?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-467360</wp:posOffset>
            </wp:positionV>
            <wp:extent cx="7214870" cy="4127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7214870"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wp:posOffset>
            </wp:positionV>
            <wp:extent cx="2286000" cy="571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2286000" cy="5715"/>
                    </a:xfrm>
                    <a:prstGeom prst="rect">
                      <a:avLst/>
                    </a:prstGeom>
                    <a:noFill/>
                  </pic:spPr>
                </pic:pic>
              </a:graphicData>
            </a:graphic>
          </wp:anchor>
        </w:drawing>
      </w:r>
    </w:p>
    <w:p>
      <w:pPr>
        <w:spacing w:after="0" w:line="163" w:lineRule="exact"/>
        <w:rPr>
          <w:sz w:val="20"/>
          <w:szCs w:val="20"/>
          <w:color w:val="auto"/>
        </w:rPr>
      </w:pPr>
    </w:p>
    <w:p>
      <w:pPr>
        <w:ind w:left="223" w:right="919" w:hanging="223"/>
        <w:spacing w:after="0"/>
        <w:tabs>
          <w:tab w:leader="none" w:pos="223" w:val="left"/>
        </w:tabs>
        <w:numPr>
          <w:ilvl w:val="0"/>
          <w:numId w:val="86"/>
        </w:numPr>
        <w:rPr>
          <w:rFonts w:ascii="Arial" w:cs="Arial" w:eastAsia="Arial" w:hAnsi="Arial"/>
          <w:sz w:val="11"/>
          <w:szCs w:val="11"/>
          <w:b w:val="1"/>
          <w:bCs w:val="1"/>
          <w:color w:val="auto"/>
        </w:rPr>
      </w:pPr>
      <w:r>
        <w:rPr>
          <w:rFonts w:ascii="Arial" w:cs="Arial" w:eastAsia="Arial" w:hAnsi="Arial"/>
          <w:sz w:val="11"/>
          <w:szCs w:val="11"/>
          <w:color w:val="auto"/>
        </w:rPr>
        <w:t xml:space="preserve">Guests will be allowed to attend the Annual Meeting by accessing the website, </w:t>
      </w:r>
      <w:r>
        <w:rPr>
          <w:rFonts w:ascii="Arial" w:cs="Arial" w:eastAsia="Arial" w:hAnsi="Arial"/>
          <w:sz w:val="11"/>
          <w:szCs w:val="11"/>
          <w:u w:val="single" w:color="auto"/>
          <w:color w:val="auto"/>
        </w:rPr>
        <w:t>www.meetnow.global/MPL92M4</w:t>
      </w:r>
      <w:r>
        <w:rPr>
          <w:rFonts w:ascii="Arial" w:cs="Arial" w:eastAsia="Arial" w:hAnsi="Arial"/>
          <w:sz w:val="11"/>
          <w:szCs w:val="11"/>
          <w:color w:val="auto"/>
        </w:rPr>
        <w:t xml:space="preserve"> beginning 15 minutes prior to the Annual Meeting’s scheduled start time and following the instructions provided to attend. Guests at the Annual Meeting will be able to listen to the Annual Meeting but will not be able to vote nor submit a comment or question during the Annual Meeting.</w:t>
      </w:r>
    </w:p>
    <w:p>
      <w:pPr>
        <w:spacing w:after="0" w:line="147" w:lineRule="exact"/>
        <w:rPr>
          <w:sz w:val="20"/>
          <w:szCs w:val="20"/>
          <w:color w:val="auto"/>
        </w:rPr>
      </w:pPr>
    </w:p>
    <w:p>
      <w:pPr>
        <w:ind w:left="3"/>
        <w:spacing w:after="0"/>
        <w:tabs>
          <w:tab w:leader="none" w:pos="202" w:val="left"/>
        </w:tabs>
        <w:rPr>
          <w:sz w:val="20"/>
          <w:szCs w:val="20"/>
          <w:color w:val="auto"/>
        </w:rPr>
      </w:pPr>
      <w:r>
        <w:rPr>
          <w:rFonts w:ascii="Arial" w:cs="Arial" w:eastAsia="Arial" w:hAnsi="Arial"/>
          <w:sz w:val="11"/>
          <w:szCs w:val="11"/>
          <w:b w:val="1"/>
          <w:bCs w:val="1"/>
          <w:color w:val="auto"/>
        </w:rPr>
        <w:t>Q:</w:t>
      </w:r>
      <w:r>
        <w:rPr>
          <w:sz w:val="20"/>
          <w:szCs w:val="20"/>
          <w:color w:val="auto"/>
        </w:rPr>
        <w:tab/>
      </w:r>
      <w:r>
        <w:rPr>
          <w:rFonts w:ascii="Arial" w:cs="Arial" w:eastAsia="Arial" w:hAnsi="Arial"/>
          <w:sz w:val="10"/>
          <w:szCs w:val="10"/>
          <w:b w:val="1"/>
          <w:bCs w:val="1"/>
          <w:color w:val="auto"/>
        </w:rPr>
        <w:t>Do I need to register to attend the Annual Meeting virtually?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2286000" cy="571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2286000" cy="5715"/>
                    </a:xfrm>
                    <a:prstGeom prst="rect">
                      <a:avLst/>
                    </a:prstGeom>
                    <a:noFill/>
                  </pic:spPr>
                </pic:pic>
              </a:graphicData>
            </a:graphic>
          </wp:anchor>
        </w:drawing>
      </w:r>
    </w:p>
    <w:p>
      <w:pPr>
        <w:spacing w:after="0" w:line="163" w:lineRule="exact"/>
        <w:rPr>
          <w:sz w:val="20"/>
          <w:szCs w:val="20"/>
          <w:color w:val="auto"/>
        </w:rPr>
      </w:pPr>
    </w:p>
    <w:p>
      <w:pPr>
        <w:ind w:left="223" w:right="859" w:hanging="223"/>
        <w:spacing w:after="0" w:line="239" w:lineRule="auto"/>
        <w:tabs>
          <w:tab w:leader="none" w:pos="223" w:val="left"/>
        </w:tabs>
        <w:numPr>
          <w:ilvl w:val="0"/>
          <w:numId w:val="87"/>
        </w:numPr>
        <w:rPr>
          <w:rFonts w:ascii="Arial" w:cs="Arial" w:eastAsia="Arial" w:hAnsi="Arial"/>
          <w:sz w:val="11"/>
          <w:szCs w:val="11"/>
          <w:b w:val="1"/>
          <w:bCs w:val="1"/>
          <w:color w:val="auto"/>
        </w:rPr>
      </w:pPr>
      <w:r>
        <w:rPr>
          <w:rFonts w:ascii="Arial" w:cs="Arial" w:eastAsia="Arial" w:hAnsi="Arial"/>
          <w:sz w:val="11"/>
          <w:szCs w:val="11"/>
          <w:color w:val="auto"/>
        </w:rPr>
        <w:t xml:space="preserve">Registration is only required if you are a Beneficial Holder choosing to use the “Register in Advance” option set forth above. Online access to the webcast will open approximately 15 minutes prior to the start of the Annual Meeting. Shareholders attending the meeting virtually will be able to submit questions before or during the Meeting using the Q&amp;A tab. To submit questions in advance of the Annual Meeting, visit </w:t>
      </w:r>
      <w:r>
        <w:rPr>
          <w:rFonts w:ascii="Arial" w:cs="Arial" w:eastAsia="Arial" w:hAnsi="Arial"/>
          <w:sz w:val="11"/>
          <w:szCs w:val="11"/>
          <w:u w:val="single" w:color="auto"/>
          <w:color w:val="auto"/>
        </w:rPr>
        <w:t>www.meetnow.global/MPL92M4</w:t>
      </w:r>
      <w:r>
        <w:rPr>
          <w:rFonts w:ascii="Arial" w:cs="Arial" w:eastAsia="Arial" w:hAnsi="Arial"/>
          <w:sz w:val="11"/>
          <w:szCs w:val="11"/>
          <w:color w:val="auto"/>
        </w:rPr>
        <w:t xml:space="preserve"> before 10:00 A.M. Eastern Time on May 18, 2023.</w:t>
      </w:r>
    </w:p>
    <w:p>
      <w:pPr>
        <w:spacing w:after="0" w:line="132" w:lineRule="exact"/>
        <w:rPr>
          <w:sz w:val="20"/>
          <w:szCs w:val="20"/>
          <w:color w:val="auto"/>
        </w:rPr>
      </w:pPr>
    </w:p>
    <w:p>
      <w:pPr>
        <w:ind w:left="3" w:right="1079"/>
        <w:spacing w:after="0" w:line="268" w:lineRule="auto"/>
        <w:rPr>
          <w:sz w:val="20"/>
          <w:szCs w:val="20"/>
          <w:color w:val="auto"/>
        </w:rPr>
      </w:pPr>
      <w:r>
        <w:rPr>
          <w:rFonts w:ascii="Arial" w:cs="Arial" w:eastAsia="Arial" w:hAnsi="Arial"/>
          <w:sz w:val="11"/>
          <w:szCs w:val="11"/>
          <w:b w:val="1"/>
          <w:bCs w:val="1"/>
          <w:color w:val="auto"/>
        </w:rPr>
        <w:t>Stockholders who attend the Meeting virtually via the Internet will have the opportunity to participate fully in the Meeting.</w:t>
      </w:r>
    </w:p>
    <w:p>
      <w:pPr>
        <w:spacing w:after="0" w:line="132" w:lineRule="exact"/>
        <w:rPr>
          <w:sz w:val="20"/>
          <w:szCs w:val="20"/>
          <w:color w:val="auto"/>
        </w:rPr>
      </w:pPr>
    </w:p>
    <w:p>
      <w:pPr>
        <w:ind w:left="3"/>
        <w:spacing w:after="0"/>
        <w:tabs>
          <w:tab w:leader="none" w:pos="202" w:val="left"/>
        </w:tabs>
        <w:rPr>
          <w:sz w:val="20"/>
          <w:szCs w:val="20"/>
          <w:color w:val="auto"/>
        </w:rPr>
      </w:pPr>
      <w:r>
        <w:rPr>
          <w:rFonts w:ascii="Arial" w:cs="Arial" w:eastAsia="Arial" w:hAnsi="Arial"/>
          <w:sz w:val="11"/>
          <w:szCs w:val="11"/>
          <w:b w:val="1"/>
          <w:bCs w:val="1"/>
          <w:color w:val="auto"/>
        </w:rPr>
        <w:t>Q:</w:t>
      </w:r>
      <w:r>
        <w:rPr>
          <w:sz w:val="20"/>
          <w:szCs w:val="20"/>
          <w:color w:val="auto"/>
        </w:rPr>
        <w:tab/>
      </w:r>
      <w:r>
        <w:rPr>
          <w:rFonts w:ascii="Arial" w:cs="Arial" w:eastAsia="Arial" w:hAnsi="Arial"/>
          <w:sz w:val="10"/>
          <w:szCs w:val="10"/>
          <w:b w:val="1"/>
          <w:bCs w:val="1"/>
          <w:color w:val="auto"/>
        </w:rPr>
        <w:t>What shares are included on the enclosed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2286000" cy="571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2286000" cy="5715"/>
                    </a:xfrm>
                    <a:prstGeom prst="rect">
                      <a:avLst/>
                    </a:prstGeom>
                    <a:noFill/>
                  </pic:spPr>
                </pic:pic>
              </a:graphicData>
            </a:graphic>
          </wp:anchor>
        </w:drawing>
      </w:r>
    </w:p>
    <w:p>
      <w:pPr>
        <w:spacing w:after="0" w:line="154" w:lineRule="exact"/>
        <w:rPr>
          <w:sz w:val="20"/>
          <w:szCs w:val="20"/>
          <w:color w:val="auto"/>
        </w:rPr>
      </w:pPr>
    </w:p>
    <w:p>
      <w:pPr>
        <w:ind w:left="223" w:right="919" w:hanging="223"/>
        <w:spacing w:after="0"/>
        <w:tabs>
          <w:tab w:leader="none" w:pos="223" w:val="left"/>
        </w:tabs>
        <w:numPr>
          <w:ilvl w:val="0"/>
          <w:numId w:val="88"/>
        </w:numPr>
        <w:rPr>
          <w:rFonts w:ascii="Arial" w:cs="Arial" w:eastAsia="Arial" w:hAnsi="Arial"/>
          <w:sz w:val="11"/>
          <w:szCs w:val="11"/>
          <w:b w:val="1"/>
          <w:bCs w:val="1"/>
          <w:color w:val="auto"/>
        </w:rPr>
      </w:pPr>
      <w:r>
        <w:rPr>
          <w:rFonts w:ascii="Arial" w:cs="Arial" w:eastAsia="Arial" w:hAnsi="Arial"/>
          <w:sz w:val="11"/>
          <w:szCs w:val="11"/>
          <w:color w:val="auto"/>
        </w:rPr>
        <w:t>If you are a Registered shareholder of Hasbro as of the Record Date, the enclosed proxy card represents all shares of Hasbro Common Stock that are registered in your name, including shares purchased through the Computershare CIP, a Direct Stock Purchase and Dividend Reinvestment Plan for Hasbro.</w:t>
      </w:r>
    </w:p>
    <w:p>
      <w:pPr>
        <w:spacing w:after="0" w:line="96" w:lineRule="exact"/>
        <w:rPr>
          <w:rFonts w:ascii="Arial" w:cs="Arial" w:eastAsia="Arial" w:hAnsi="Arial"/>
          <w:sz w:val="11"/>
          <w:szCs w:val="11"/>
          <w:b w:val="1"/>
          <w:bCs w:val="1"/>
          <w:color w:val="auto"/>
        </w:rPr>
      </w:pPr>
    </w:p>
    <w:p>
      <w:pPr>
        <w:ind w:left="223" w:right="919"/>
        <w:spacing w:after="0" w:line="268" w:lineRule="auto"/>
        <w:rPr>
          <w:rFonts w:ascii="Arial" w:cs="Arial" w:eastAsia="Arial" w:hAnsi="Arial"/>
          <w:sz w:val="11"/>
          <w:szCs w:val="11"/>
          <w:b w:val="1"/>
          <w:bCs w:val="1"/>
          <w:color w:val="auto"/>
        </w:rPr>
      </w:pPr>
      <w:r>
        <w:rPr>
          <w:rFonts w:ascii="Arial" w:cs="Arial" w:eastAsia="Arial" w:hAnsi="Arial"/>
          <w:sz w:val="10"/>
          <w:szCs w:val="10"/>
          <w:color w:val="auto"/>
        </w:rPr>
        <w:t>If your shares are held through a broker, bank or other nominee, your broker, bank or other nominee has enclosed a voting instruction form for you to use to direct it how to vote the shares held by such broker, bank or other nominee. Please return your completed voting instruction form to your broker, bank or other nominee. If your broker, bank or other nominee permits you to provide voting instructions via the Internet or by telephone, you may vote that way as well.</w:t>
      </w:r>
    </w:p>
    <w:p>
      <w:pPr>
        <w:spacing w:after="0" w:line="82" w:lineRule="exact"/>
        <w:rPr>
          <w:rFonts w:ascii="Arial" w:cs="Arial" w:eastAsia="Arial" w:hAnsi="Arial"/>
          <w:sz w:val="11"/>
          <w:szCs w:val="11"/>
          <w:b w:val="1"/>
          <w:bCs w:val="1"/>
          <w:color w:val="auto"/>
        </w:rPr>
      </w:pPr>
    </w:p>
    <w:p>
      <w:pPr>
        <w:jc w:val="both"/>
        <w:ind w:left="223" w:right="1059"/>
        <w:spacing w:after="0" w:line="242" w:lineRule="auto"/>
        <w:rPr>
          <w:rFonts w:ascii="Arial" w:cs="Arial" w:eastAsia="Arial" w:hAnsi="Arial"/>
          <w:sz w:val="11"/>
          <w:szCs w:val="11"/>
          <w:b w:val="1"/>
          <w:bCs w:val="1"/>
          <w:color w:val="auto"/>
        </w:rPr>
      </w:pPr>
      <w:r>
        <w:rPr>
          <w:rFonts w:ascii="Arial" w:cs="Arial" w:eastAsia="Arial" w:hAnsi="Arial"/>
          <w:sz w:val="11"/>
          <w:szCs w:val="11"/>
          <w:color w:val="auto"/>
        </w:rPr>
        <w:t>If you hold shares in the Hasbro Retirement Savings Plan, you will receive paper proxy materials together with a proxy card reflecting your shares held in the Plan, along with any shares</w:t>
      </w:r>
    </w:p>
    <w:p>
      <w:pPr>
        <w:sectPr>
          <w:pgSz w:w="11900" w:h="16838" w:orient="portrait"/>
          <w:cols w:equalWidth="0" w:num="2">
            <w:col w:w="5480" w:space="237"/>
            <w:col w:w="4442"/>
          </w:cols>
          <w:pgMar w:left="300" w:top="372" w:right="1440" w:bottom="1440" w:gutter="0" w:footer="0" w:header="0"/>
        </w:sectPr>
      </w:pPr>
    </w:p>
    <w:bookmarkStart w:id="120" w:name="page121"/>
    <w:bookmarkEnd w:id="120"/>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252" w:lineRule="exact"/>
        <w:rPr>
          <w:sz w:val="20"/>
          <w:szCs w:val="20"/>
          <w:color w:val="auto"/>
        </w:rPr>
      </w:pPr>
    </w:p>
    <w:p>
      <w:pPr>
        <w:ind w:left="2180" w:right="40"/>
        <w:spacing w:after="0" w:line="241" w:lineRule="auto"/>
        <w:rPr>
          <w:sz w:val="20"/>
          <w:szCs w:val="20"/>
          <w:color w:val="auto"/>
        </w:rPr>
      </w:pPr>
      <w:r>
        <w:rPr>
          <w:rFonts w:ascii="Arial" w:cs="Arial" w:eastAsia="Arial" w:hAnsi="Arial"/>
          <w:sz w:val="11"/>
          <w:szCs w:val="11"/>
          <w:color w:val="auto"/>
        </w:rPr>
        <w:t>you may hold as a registered holder, if applicable. If you consented to receive proxy materials electronically, you will receive an email notification with links to the proxy materials and the Internet site to vote your shares.</w:t>
      </w:r>
    </w:p>
    <w:p>
      <w:pPr>
        <w:spacing w:after="0" w:line="146" w:lineRule="exact"/>
        <w:rPr>
          <w:sz w:val="20"/>
          <w:szCs w:val="20"/>
          <w:color w:val="auto"/>
        </w:rPr>
      </w:pPr>
    </w:p>
    <w:p>
      <w:pPr>
        <w:ind w:left="2180" w:right="60" w:hanging="208"/>
        <w:spacing w:after="0" w:line="268" w:lineRule="auto"/>
        <w:tabs>
          <w:tab w:leader="none" w:pos="2180" w:val="left"/>
        </w:tabs>
        <w:numPr>
          <w:ilvl w:val="0"/>
          <w:numId w:val="89"/>
        </w:numPr>
        <w:rPr>
          <w:rFonts w:ascii="Arial" w:cs="Arial" w:eastAsia="Arial" w:hAnsi="Arial"/>
          <w:sz w:val="11"/>
          <w:szCs w:val="11"/>
          <w:b w:val="1"/>
          <w:bCs w:val="1"/>
          <w:color w:val="auto"/>
        </w:rPr>
      </w:pPr>
      <w:r>
        <w:rPr>
          <w:rFonts w:ascii="Arial" w:cs="Arial" w:eastAsia="Arial" w:hAnsi="Arial"/>
          <w:sz w:val="11"/>
          <w:szCs w:val="11"/>
          <w:b w:val="1"/>
          <w:bCs w:val="1"/>
          <w:color w:val="auto"/>
        </w:rPr>
        <w:t>What does it mean if I receive more than one proxy card on or about the same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10160</wp:posOffset>
            </wp:positionV>
            <wp:extent cx="2240280" cy="571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2240280" cy="5715"/>
                    </a:xfrm>
                    <a:prstGeom prst="rect">
                      <a:avLst/>
                    </a:prstGeom>
                    <a:noFill/>
                  </pic:spPr>
                </pic:pic>
              </a:graphicData>
            </a:graphic>
          </wp:anchor>
        </w:drawing>
      </w:r>
    </w:p>
    <w:p>
      <w:pPr>
        <w:spacing w:after="0" w:line="133" w:lineRule="exact"/>
        <w:rPr>
          <w:sz w:val="20"/>
          <w:szCs w:val="20"/>
          <w:color w:val="auto"/>
        </w:rPr>
      </w:pPr>
    </w:p>
    <w:p>
      <w:pPr>
        <w:ind w:left="2180" w:hanging="208"/>
        <w:spacing w:after="0" w:line="267" w:lineRule="auto"/>
        <w:tabs>
          <w:tab w:leader="none" w:pos="2180" w:val="left"/>
        </w:tabs>
        <w:numPr>
          <w:ilvl w:val="0"/>
          <w:numId w:val="90"/>
        </w:numPr>
        <w:rPr>
          <w:rFonts w:ascii="Arial" w:cs="Arial" w:eastAsia="Arial" w:hAnsi="Arial"/>
          <w:sz w:val="10"/>
          <w:szCs w:val="10"/>
          <w:b w:val="1"/>
          <w:bCs w:val="1"/>
          <w:color w:val="auto"/>
        </w:rPr>
      </w:pPr>
      <w:r>
        <w:rPr>
          <w:rFonts w:ascii="Arial" w:cs="Arial" w:eastAsia="Arial" w:hAnsi="Arial"/>
          <w:sz w:val="10"/>
          <w:szCs w:val="10"/>
          <w:color w:val="auto"/>
        </w:rPr>
        <w:t>It generally means that you hold shares registered in more than one account. In order to vote all of your shares, please sign, date and return each proxy card or voting instruction form in the postage-paid envelope provided or, if you vote via the Internet or telephone, please be sure to vote using each proxy card or voting instruction form you receive. The latest-dated, validly executed proxy you submit will be counted, and, if you wish to vote as recommended by your Board of Directors, then you should only submit proxy cards.</w:t>
      </w:r>
    </w:p>
    <w:p>
      <w:pPr>
        <w:spacing w:after="0" w:line="135" w:lineRule="exact"/>
        <w:rPr>
          <w:sz w:val="20"/>
          <w:szCs w:val="20"/>
          <w:color w:val="auto"/>
        </w:rPr>
      </w:pPr>
    </w:p>
    <w:p>
      <w:pPr>
        <w:jc w:val="center"/>
        <w:ind w:left="80"/>
        <w:spacing w:after="0"/>
        <w:tabs>
          <w:tab w:leader="none" w:pos="60" w:val="left"/>
        </w:tabs>
        <w:rPr>
          <w:sz w:val="20"/>
          <w:szCs w:val="20"/>
          <w:color w:val="auto"/>
        </w:rPr>
      </w:pPr>
      <w:r>
        <w:rPr>
          <w:rFonts w:ascii="Arial" w:cs="Arial" w:eastAsia="Arial" w:hAnsi="Arial"/>
          <w:sz w:val="11"/>
          <w:szCs w:val="11"/>
          <w:b w:val="1"/>
          <w:bCs w:val="1"/>
          <w:color w:val="auto"/>
        </w:rPr>
        <w:t>Q:</w:t>
      </w:r>
      <w:r>
        <w:rPr>
          <w:sz w:val="20"/>
          <w:szCs w:val="20"/>
          <w:color w:val="auto"/>
        </w:rPr>
        <w:tab/>
      </w:r>
      <w:r>
        <w:rPr>
          <w:rFonts w:ascii="Arial" w:cs="Arial" w:eastAsia="Arial" w:hAnsi="Arial"/>
          <w:sz w:val="10"/>
          <w:szCs w:val="10"/>
          <w:b w:val="1"/>
          <w:bCs w:val="1"/>
          <w:color w:val="auto"/>
        </w:rPr>
        <w:t>How do I vote my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29210</wp:posOffset>
            </wp:positionV>
            <wp:extent cx="2240280" cy="571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2240280" cy="5715"/>
                    </a:xfrm>
                    <a:prstGeom prst="rect">
                      <a:avLst/>
                    </a:prstGeom>
                    <a:noFill/>
                  </pic:spPr>
                </pic:pic>
              </a:graphicData>
            </a:graphic>
          </wp:anchor>
        </w:drawing>
      </w:r>
    </w:p>
    <w:p>
      <w:pPr>
        <w:spacing w:after="0" w:line="163" w:lineRule="exact"/>
        <w:rPr>
          <w:sz w:val="20"/>
          <w:szCs w:val="20"/>
          <w:color w:val="auto"/>
        </w:rPr>
      </w:pPr>
    </w:p>
    <w:p>
      <w:pPr>
        <w:ind w:left="2180" w:right="40" w:hanging="208"/>
        <w:spacing w:after="0" w:line="270" w:lineRule="auto"/>
        <w:tabs>
          <w:tab w:leader="none" w:pos="2180" w:val="left"/>
        </w:tabs>
        <w:numPr>
          <w:ilvl w:val="0"/>
          <w:numId w:val="91"/>
        </w:numPr>
        <w:rPr>
          <w:rFonts w:ascii="Arial" w:cs="Arial" w:eastAsia="Arial" w:hAnsi="Arial"/>
          <w:sz w:val="10"/>
          <w:szCs w:val="10"/>
          <w:b w:val="1"/>
          <w:bCs w:val="1"/>
          <w:color w:val="auto"/>
        </w:rPr>
      </w:pPr>
      <w:r>
        <w:rPr>
          <w:rFonts w:ascii="Arial" w:cs="Arial" w:eastAsia="Arial" w:hAnsi="Arial"/>
          <w:sz w:val="10"/>
          <w:szCs w:val="10"/>
          <w:color w:val="auto"/>
        </w:rPr>
        <w:t>We encourage all shareholders to submit proxies in advance of the Annual Meeting by telephone, by Internet or by mail. Sending your proxy by any of these methods will not affect your right to virtually attend and vote at the Annual Meeting or by executing a proxy designating a representative to vote for you at the Annual Meeting.</w:t>
      </w:r>
    </w:p>
    <w:p>
      <w:pPr>
        <w:spacing w:after="0" w:line="82" w:lineRule="exact"/>
        <w:rPr>
          <w:rFonts w:ascii="Arial" w:cs="Arial" w:eastAsia="Arial" w:hAnsi="Arial"/>
          <w:sz w:val="10"/>
          <w:szCs w:val="10"/>
          <w:b w:val="1"/>
          <w:bCs w:val="1"/>
          <w:color w:val="auto"/>
        </w:rPr>
      </w:pPr>
    </w:p>
    <w:p>
      <w:pPr>
        <w:ind w:left="2180"/>
        <w:spacing w:after="0"/>
        <w:rPr>
          <w:rFonts w:ascii="Arial" w:cs="Arial" w:eastAsia="Arial" w:hAnsi="Arial"/>
          <w:sz w:val="10"/>
          <w:szCs w:val="10"/>
          <w:b w:val="1"/>
          <w:bCs w:val="1"/>
          <w:color w:val="auto"/>
        </w:rPr>
      </w:pPr>
      <w:r>
        <w:rPr>
          <w:rFonts w:ascii="Arial" w:cs="Arial" w:eastAsia="Arial" w:hAnsi="Arial"/>
          <w:sz w:val="11"/>
          <w:szCs w:val="11"/>
          <w:color w:val="auto"/>
        </w:rPr>
        <w:t>If you are a Registered shareholder as of the Record Date, you can vote (i) by following the instructions on the enclosed proxy card to vote by telephone or Internet, (ii) by completing, signing, dating and mailing the enclosed proxy card in the postage-paid envelope provided or (iii) by attending the Annual Meeting virtually and voting during the meeting as described below under the heading “How do I vote my shares during the Annual Meeting?”</w:t>
      </w:r>
    </w:p>
    <w:p>
      <w:pPr>
        <w:spacing w:after="0" w:line="95" w:lineRule="exact"/>
        <w:rPr>
          <w:rFonts w:ascii="Arial" w:cs="Arial" w:eastAsia="Arial" w:hAnsi="Arial"/>
          <w:sz w:val="10"/>
          <w:szCs w:val="10"/>
          <w:b w:val="1"/>
          <w:bCs w:val="1"/>
          <w:color w:val="auto"/>
        </w:rPr>
      </w:pPr>
    </w:p>
    <w:p>
      <w:pPr>
        <w:ind w:left="2180"/>
        <w:spacing w:after="0"/>
        <w:rPr>
          <w:rFonts w:ascii="Arial" w:cs="Arial" w:eastAsia="Arial" w:hAnsi="Arial"/>
          <w:sz w:val="10"/>
          <w:szCs w:val="10"/>
          <w:b w:val="1"/>
          <w:bCs w:val="1"/>
          <w:color w:val="auto"/>
        </w:rPr>
      </w:pPr>
      <w:r>
        <w:rPr>
          <w:rFonts w:ascii="Arial" w:cs="Arial" w:eastAsia="Arial" w:hAnsi="Arial"/>
          <w:sz w:val="11"/>
          <w:szCs w:val="11"/>
          <w:color w:val="auto"/>
        </w:rPr>
        <w:t>If you hold shares through a broker, bank or other nominee, that institution has enclosed a voting instruction form for you to use to direct it how to vote those shares held by such broker, bank or other nominee. Your ability to vote by telephone or over the Internet depends upon your broker, bank or other nominee’s voting process. Please follow the instructions on your voting instruction form carefully.</w:t>
      </w:r>
    </w:p>
    <w:p>
      <w:pPr>
        <w:spacing w:after="0" w:line="95" w:lineRule="exact"/>
        <w:rPr>
          <w:rFonts w:ascii="Arial" w:cs="Arial" w:eastAsia="Arial" w:hAnsi="Arial"/>
          <w:sz w:val="10"/>
          <w:szCs w:val="10"/>
          <w:b w:val="1"/>
          <w:bCs w:val="1"/>
          <w:color w:val="auto"/>
        </w:rPr>
      </w:pPr>
    </w:p>
    <w:p>
      <w:pPr>
        <w:ind w:left="2180"/>
        <w:spacing w:after="0" w:line="242" w:lineRule="auto"/>
        <w:rPr>
          <w:rFonts w:ascii="Arial" w:cs="Arial" w:eastAsia="Arial" w:hAnsi="Arial"/>
          <w:sz w:val="10"/>
          <w:szCs w:val="10"/>
          <w:b w:val="1"/>
          <w:bCs w:val="1"/>
          <w:color w:val="auto"/>
        </w:rPr>
      </w:pPr>
      <w:r>
        <w:rPr>
          <w:rFonts w:ascii="Arial" w:cs="Arial" w:eastAsia="Arial" w:hAnsi="Arial"/>
          <w:sz w:val="11"/>
          <w:szCs w:val="11"/>
          <w:color w:val="auto"/>
        </w:rPr>
        <w:t>Even if you plan to attend the Annual Meeting virtually, we encourage you to vote your shares by submitting your proxy card or voting instruction form in advance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116205</wp:posOffset>
            </wp:positionV>
            <wp:extent cx="3971925" cy="21717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230"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99</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3"/>
        <w:spacing w:after="0"/>
        <w:tabs>
          <w:tab w:leader="none" w:pos="202" w:val="left"/>
        </w:tabs>
        <w:rPr>
          <w:sz w:val="20"/>
          <w:szCs w:val="20"/>
          <w:color w:val="auto"/>
        </w:rPr>
      </w:pPr>
      <w:r>
        <w:rPr>
          <w:rFonts w:ascii="Arial" w:cs="Arial" w:eastAsia="Arial" w:hAnsi="Arial"/>
          <w:sz w:val="11"/>
          <w:szCs w:val="11"/>
          <w:b w:val="1"/>
          <w:bCs w:val="1"/>
          <w:color w:val="auto"/>
        </w:rPr>
        <w:t>Q:</w:t>
      </w:r>
      <w:r>
        <w:rPr>
          <w:sz w:val="20"/>
          <w:szCs w:val="20"/>
          <w:color w:val="auto"/>
        </w:rPr>
        <w:tab/>
      </w:r>
      <w:r>
        <w:rPr>
          <w:rFonts w:ascii="Arial" w:cs="Arial" w:eastAsia="Arial" w:hAnsi="Arial"/>
          <w:sz w:val="10"/>
          <w:szCs w:val="10"/>
          <w:b w:val="1"/>
          <w:bCs w:val="1"/>
          <w:color w:val="auto"/>
        </w:rPr>
        <w:t>How do I vote my shares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-467360</wp:posOffset>
            </wp:positionV>
            <wp:extent cx="7214870" cy="4127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7214870"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wp:posOffset>
            </wp:positionV>
            <wp:extent cx="2286000" cy="571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2286000" cy="5715"/>
                    </a:xfrm>
                    <a:prstGeom prst="rect">
                      <a:avLst/>
                    </a:prstGeom>
                    <a:noFill/>
                  </pic:spPr>
                </pic:pic>
              </a:graphicData>
            </a:graphic>
          </wp:anchor>
        </w:drawing>
      </w:r>
    </w:p>
    <w:p>
      <w:pPr>
        <w:spacing w:after="0" w:line="163" w:lineRule="exact"/>
        <w:rPr>
          <w:sz w:val="20"/>
          <w:szCs w:val="20"/>
          <w:color w:val="auto"/>
        </w:rPr>
      </w:pPr>
    </w:p>
    <w:p>
      <w:pPr>
        <w:ind w:left="223" w:right="859" w:hanging="223"/>
        <w:spacing w:after="0" w:line="239" w:lineRule="auto"/>
        <w:tabs>
          <w:tab w:leader="none" w:pos="223" w:val="left"/>
        </w:tabs>
        <w:numPr>
          <w:ilvl w:val="0"/>
          <w:numId w:val="92"/>
        </w:numPr>
        <w:rPr>
          <w:rFonts w:ascii="Arial" w:cs="Arial" w:eastAsia="Arial" w:hAnsi="Arial"/>
          <w:sz w:val="11"/>
          <w:szCs w:val="11"/>
          <w:b w:val="1"/>
          <w:bCs w:val="1"/>
          <w:color w:val="auto"/>
        </w:rPr>
      </w:pPr>
      <w:r>
        <w:rPr>
          <w:rFonts w:ascii="Arial" w:cs="Arial" w:eastAsia="Arial" w:hAnsi="Arial"/>
          <w:sz w:val="11"/>
          <w:szCs w:val="11"/>
          <w:color w:val="auto"/>
        </w:rPr>
        <w:t>If you are a registered shareholder you can vote during the meeting by following the instructions on the notice, email or proxy card you received. If you are a beneficial shareholder, you may vote by following the instructions on your voting information form or instructions from Computershare if you submitted a valid legal proxy and registered in advance as described in Option #1 of the Beneficial Holder instructions above. During the annual meeting click on the “Vote” tab on the Annual Meeting site to vote your shares. Under Article II, Section 2.6 of Hasbro’s By-laws, the affirmative vote of a majority of votes cast with respect to each director nominee will be required for the nominee to be elected. A majority of the number of votes cast “FOR” a director nominee must exceed the number of votes cast “AGAINST” that director nominee. For each of the nominees you may voted “FOR” such nominee, “AGAINST” such nominee or you may “ABSTAIN” with respect to each nominee.</w:t>
      </w:r>
    </w:p>
    <w:p>
      <w:pPr>
        <w:spacing w:after="0" w:line="151" w:lineRule="exact"/>
        <w:rPr>
          <w:sz w:val="20"/>
          <w:szCs w:val="20"/>
          <w:color w:val="auto"/>
        </w:rPr>
      </w:pPr>
    </w:p>
    <w:p>
      <w:pPr>
        <w:ind w:left="223" w:right="1119" w:hanging="223"/>
        <w:spacing w:after="0" w:line="268" w:lineRule="auto"/>
        <w:tabs>
          <w:tab w:leader="none" w:pos="223" w:val="left"/>
        </w:tabs>
        <w:numPr>
          <w:ilvl w:val="0"/>
          <w:numId w:val="93"/>
        </w:numPr>
        <w:rPr>
          <w:rFonts w:ascii="Arial" w:cs="Arial" w:eastAsia="Arial" w:hAnsi="Arial"/>
          <w:sz w:val="11"/>
          <w:szCs w:val="11"/>
          <w:b w:val="1"/>
          <w:bCs w:val="1"/>
          <w:color w:val="auto"/>
        </w:rPr>
      </w:pPr>
      <w:r>
        <w:rPr>
          <w:rFonts w:ascii="Arial" w:cs="Arial" w:eastAsia="Arial" w:hAnsi="Arial"/>
          <w:sz w:val="11"/>
          <w:szCs w:val="11"/>
          <w:b w:val="1"/>
          <w:bCs w:val="1"/>
          <w:color w:val="auto"/>
        </w:rPr>
        <w:t>What vote is required for approval of each other matter to be considered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2286000" cy="571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2286000" cy="5715"/>
                    </a:xfrm>
                    <a:prstGeom prst="rect">
                      <a:avLst/>
                    </a:prstGeom>
                    <a:noFill/>
                  </pic:spPr>
                </pic:pic>
              </a:graphicData>
            </a:graphic>
          </wp:anchor>
        </w:drawing>
      </w:r>
    </w:p>
    <w:p>
      <w:pPr>
        <w:spacing w:after="0" w:line="121" w:lineRule="exact"/>
        <w:rPr>
          <w:sz w:val="20"/>
          <w:szCs w:val="20"/>
          <w:color w:val="auto"/>
        </w:rPr>
      </w:pPr>
    </w:p>
    <w:p>
      <w:pPr>
        <w:ind w:left="223" w:right="879" w:hanging="223"/>
        <w:spacing w:after="0" w:line="248" w:lineRule="auto"/>
        <w:tabs>
          <w:tab w:leader="none" w:pos="223" w:val="left"/>
        </w:tabs>
        <w:numPr>
          <w:ilvl w:val="0"/>
          <w:numId w:val="94"/>
        </w:numPr>
        <w:rPr>
          <w:rFonts w:ascii="Arial" w:cs="Arial" w:eastAsia="Arial" w:hAnsi="Arial"/>
          <w:sz w:val="11"/>
          <w:szCs w:val="11"/>
          <w:b w:val="1"/>
          <w:bCs w:val="1"/>
          <w:color w:val="auto"/>
        </w:rPr>
      </w:pPr>
      <w:r>
        <w:rPr>
          <w:rFonts w:ascii="Arial" w:cs="Arial" w:eastAsia="Arial" w:hAnsi="Arial"/>
          <w:sz w:val="11"/>
          <w:szCs w:val="11"/>
          <w:color w:val="auto"/>
        </w:rPr>
        <w:t xml:space="preserve">Proposal 2 — </w:t>
      </w:r>
      <w:r>
        <w:rPr>
          <w:rFonts w:ascii="Arial" w:cs="Arial" w:eastAsia="Arial" w:hAnsi="Arial"/>
          <w:sz w:val="11"/>
          <w:szCs w:val="11"/>
          <w:b w:val="1"/>
          <w:bCs w:val="1"/>
          <w:color w:val="auto"/>
        </w:rPr>
        <w:t>Advisory Vote on Compensation.</w:t>
      </w:r>
      <w:r>
        <w:rPr>
          <w:rFonts w:ascii="Arial" w:cs="Arial" w:eastAsia="Arial" w:hAnsi="Arial"/>
          <w:sz w:val="11"/>
          <w:szCs w:val="11"/>
          <w:color w:val="auto"/>
        </w:rPr>
        <w:t xml:space="preserve"> The affirmative vote of a majority of the shares of Common Stock present (in person or by proxy) and entitled to vote at the Annual Meeting on this shareholder advisory vote is required for approval of this proposal.</w:t>
      </w:r>
    </w:p>
    <w:p>
      <w:pPr>
        <w:spacing w:after="0" w:line="80" w:lineRule="exact"/>
        <w:rPr>
          <w:rFonts w:ascii="Arial" w:cs="Arial" w:eastAsia="Arial" w:hAnsi="Arial"/>
          <w:sz w:val="11"/>
          <w:szCs w:val="11"/>
          <w:b w:val="1"/>
          <w:bCs w:val="1"/>
          <w:color w:val="auto"/>
        </w:rPr>
      </w:pPr>
    </w:p>
    <w:p>
      <w:pPr>
        <w:ind w:left="223" w:right="959"/>
        <w:spacing w:after="0" w:line="246" w:lineRule="auto"/>
        <w:rPr>
          <w:rFonts w:ascii="Arial" w:cs="Arial" w:eastAsia="Arial" w:hAnsi="Arial"/>
          <w:sz w:val="11"/>
          <w:szCs w:val="11"/>
          <w:b w:val="1"/>
          <w:bCs w:val="1"/>
          <w:color w:val="auto"/>
        </w:rPr>
      </w:pPr>
      <w:r>
        <w:rPr>
          <w:rFonts w:ascii="Arial" w:cs="Arial" w:eastAsia="Arial" w:hAnsi="Arial"/>
          <w:sz w:val="11"/>
          <w:szCs w:val="11"/>
          <w:color w:val="auto"/>
        </w:rPr>
        <w:t xml:space="preserve">Proposal 3 — </w:t>
      </w:r>
      <w:r>
        <w:rPr>
          <w:rFonts w:ascii="Arial" w:cs="Arial" w:eastAsia="Arial" w:hAnsi="Arial"/>
          <w:sz w:val="11"/>
          <w:szCs w:val="11"/>
          <w:b w:val="1"/>
          <w:bCs w:val="1"/>
          <w:color w:val="auto"/>
        </w:rPr>
        <w:t>Frequency Vote on Compensation.</w:t>
      </w:r>
      <w:r>
        <w:rPr>
          <w:rFonts w:ascii="Arial" w:cs="Arial" w:eastAsia="Arial" w:hAnsi="Arial"/>
          <w:sz w:val="11"/>
          <w:szCs w:val="11"/>
          <w:color w:val="auto"/>
        </w:rPr>
        <w:t xml:space="preserve"> The affirmative vote of a majority of the shares of Common Stock present (in person or by proxy) and entitled to vote at the Annual Meeting on this shareholder advisory vote is required for approval of a desired frequency under the resolution.</w:t>
      </w:r>
    </w:p>
    <w:p>
      <w:pPr>
        <w:spacing w:after="0" w:line="80" w:lineRule="exact"/>
        <w:rPr>
          <w:rFonts w:ascii="Arial" w:cs="Arial" w:eastAsia="Arial" w:hAnsi="Arial"/>
          <w:sz w:val="11"/>
          <w:szCs w:val="11"/>
          <w:b w:val="1"/>
          <w:bCs w:val="1"/>
          <w:color w:val="auto"/>
        </w:rPr>
      </w:pPr>
    </w:p>
    <w:p>
      <w:pPr>
        <w:ind w:left="223" w:right="939"/>
        <w:spacing w:after="0" w:line="281" w:lineRule="auto"/>
        <w:rPr>
          <w:rFonts w:ascii="Arial" w:cs="Arial" w:eastAsia="Arial" w:hAnsi="Arial"/>
          <w:sz w:val="11"/>
          <w:szCs w:val="11"/>
          <w:b w:val="1"/>
          <w:bCs w:val="1"/>
          <w:color w:val="auto"/>
        </w:rPr>
      </w:pPr>
      <w:r>
        <w:rPr>
          <w:rFonts w:ascii="Arial" w:cs="Arial" w:eastAsia="Arial" w:hAnsi="Arial"/>
          <w:sz w:val="10"/>
          <w:szCs w:val="10"/>
          <w:color w:val="auto"/>
        </w:rPr>
        <w:t xml:space="preserve">Proposal 4 - </w:t>
      </w:r>
      <w:r>
        <w:rPr>
          <w:rFonts w:ascii="Arial" w:cs="Arial" w:eastAsia="Arial" w:hAnsi="Arial"/>
          <w:sz w:val="10"/>
          <w:szCs w:val="10"/>
          <w:b w:val="1"/>
          <w:bCs w:val="1"/>
          <w:color w:val="auto"/>
        </w:rPr>
        <w:t>Approve Amendments to the 2003 Plan</w:t>
      </w:r>
      <w:r>
        <w:rPr>
          <w:rFonts w:ascii="Arial" w:cs="Arial" w:eastAsia="Arial" w:hAnsi="Arial"/>
          <w:sz w:val="10"/>
          <w:szCs w:val="10"/>
          <w:color w:val="auto"/>
        </w:rPr>
        <w:t>. The affirmative vote of a majority of the shares of Common Stock present (in person or by proxy) and entitled to vote at the Meeting on the amendments to the 2003 Plan is required for approval this proposal.</w:t>
      </w:r>
    </w:p>
    <w:p>
      <w:pPr>
        <w:spacing w:after="0" w:line="64" w:lineRule="exact"/>
        <w:rPr>
          <w:rFonts w:ascii="Arial" w:cs="Arial" w:eastAsia="Arial" w:hAnsi="Arial"/>
          <w:sz w:val="11"/>
          <w:szCs w:val="11"/>
          <w:b w:val="1"/>
          <w:bCs w:val="1"/>
          <w:color w:val="auto"/>
        </w:rPr>
      </w:pPr>
    </w:p>
    <w:p>
      <w:pPr>
        <w:ind w:left="223" w:right="859"/>
        <w:spacing w:after="0" w:line="246" w:lineRule="auto"/>
        <w:rPr>
          <w:rFonts w:ascii="Arial" w:cs="Arial" w:eastAsia="Arial" w:hAnsi="Arial"/>
          <w:sz w:val="11"/>
          <w:szCs w:val="11"/>
          <w:b w:val="1"/>
          <w:bCs w:val="1"/>
          <w:color w:val="auto"/>
        </w:rPr>
      </w:pPr>
      <w:r>
        <w:rPr>
          <w:rFonts w:ascii="Arial" w:cs="Arial" w:eastAsia="Arial" w:hAnsi="Arial"/>
          <w:sz w:val="11"/>
          <w:szCs w:val="11"/>
          <w:color w:val="auto"/>
        </w:rPr>
        <w:t xml:space="preserve">Proposal 5 — </w:t>
      </w:r>
      <w:r>
        <w:rPr>
          <w:rFonts w:ascii="Arial" w:cs="Arial" w:eastAsia="Arial" w:hAnsi="Arial"/>
          <w:sz w:val="11"/>
          <w:szCs w:val="11"/>
          <w:b w:val="1"/>
          <w:bCs w:val="1"/>
          <w:color w:val="auto"/>
        </w:rPr>
        <w:t>Ratification of the Selection of KPMG.</w:t>
      </w:r>
      <w:r>
        <w:rPr>
          <w:rFonts w:ascii="Arial" w:cs="Arial" w:eastAsia="Arial" w:hAnsi="Arial"/>
          <w:sz w:val="11"/>
          <w:szCs w:val="11"/>
          <w:color w:val="auto"/>
        </w:rPr>
        <w:t xml:space="preserve"> The affirmative vote of a majority of the shares of Common Stock present (in person or by proxy) and entitled to vote at the Annual Meeting on the ratification of the selection of KPMG is required for approval of this proposal.</w:t>
      </w:r>
    </w:p>
    <w:p>
      <w:pPr>
        <w:sectPr>
          <w:pgSz w:w="11900" w:h="16838" w:orient="portrait"/>
          <w:cols w:equalWidth="0" w:num="2">
            <w:col w:w="5420" w:space="297"/>
            <w:col w:w="4442"/>
          </w:cols>
          <w:pgMar w:left="300" w:top="372" w:right="1440" w:bottom="1440" w:gutter="0" w:footer="0" w:header="0"/>
        </w:sectPr>
      </w:pPr>
    </w:p>
    <w:bookmarkStart w:id="121" w:name="page122"/>
    <w:bookmarkEnd w:id="121"/>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252" w:lineRule="exact"/>
        <w:rPr>
          <w:sz w:val="20"/>
          <w:szCs w:val="20"/>
          <w:color w:val="auto"/>
        </w:rPr>
      </w:pPr>
    </w:p>
    <w:p>
      <w:pPr>
        <w:ind w:left="2180" w:right="20"/>
        <w:spacing w:after="0"/>
        <w:rPr>
          <w:sz w:val="20"/>
          <w:szCs w:val="20"/>
          <w:color w:val="auto"/>
        </w:rPr>
      </w:pPr>
      <w:r>
        <w:rPr>
          <w:rFonts w:ascii="Arial" w:cs="Arial" w:eastAsia="Arial" w:hAnsi="Arial"/>
          <w:sz w:val="11"/>
          <w:szCs w:val="11"/>
          <w:color w:val="auto"/>
        </w:rPr>
        <w:t>For proposals 2, 4 and 5, you may vote “FOR”, “AGAINST” or “ABSTAIN”. If you “ABSTAIN” for proposal 2, 4 or 5, it has the same effect as a vote “AGAINST” that proposal. For proposal 3, you may indicate a preference to have the advisory vote on the compensation for the Company’s named executive officers every one year, every two years, every three years, or you can abstain from expressing a preference.</w:t>
      </w:r>
    </w:p>
    <w:p>
      <w:pPr>
        <w:spacing w:after="0" w:line="147" w:lineRule="exact"/>
        <w:rPr>
          <w:sz w:val="20"/>
          <w:szCs w:val="20"/>
          <w:color w:val="auto"/>
        </w:rPr>
      </w:pPr>
    </w:p>
    <w:p>
      <w:pPr>
        <w:ind w:left="2180" w:right="40" w:hanging="208"/>
        <w:spacing w:after="0" w:line="268" w:lineRule="auto"/>
        <w:tabs>
          <w:tab w:leader="none" w:pos="2180" w:val="left"/>
        </w:tabs>
        <w:numPr>
          <w:ilvl w:val="0"/>
          <w:numId w:val="95"/>
        </w:numPr>
        <w:rPr>
          <w:rFonts w:ascii="Arial" w:cs="Arial" w:eastAsia="Arial" w:hAnsi="Arial"/>
          <w:sz w:val="11"/>
          <w:szCs w:val="11"/>
          <w:b w:val="1"/>
          <w:bCs w:val="1"/>
          <w:color w:val="auto"/>
        </w:rPr>
      </w:pPr>
      <w:r>
        <w:rPr>
          <w:rFonts w:ascii="Arial" w:cs="Arial" w:eastAsia="Arial" w:hAnsi="Arial"/>
          <w:sz w:val="11"/>
          <w:szCs w:val="11"/>
          <w:b w:val="1"/>
          <w:bCs w:val="1"/>
          <w:color w:val="auto"/>
        </w:rPr>
        <w:t>What happens if I hold shares in street name and do not submit voting instructions? What is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10160</wp:posOffset>
            </wp:positionV>
            <wp:extent cx="2240280" cy="571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2240280" cy="5715"/>
                    </a:xfrm>
                    <a:prstGeom prst="rect">
                      <a:avLst/>
                    </a:prstGeom>
                    <a:noFill/>
                  </pic:spPr>
                </pic:pic>
              </a:graphicData>
            </a:graphic>
          </wp:anchor>
        </w:drawing>
      </w:r>
    </w:p>
    <w:p>
      <w:pPr>
        <w:spacing w:after="0" w:line="133" w:lineRule="exact"/>
        <w:rPr>
          <w:sz w:val="20"/>
          <w:szCs w:val="20"/>
          <w:color w:val="auto"/>
        </w:rPr>
      </w:pPr>
    </w:p>
    <w:p>
      <w:pPr>
        <w:ind w:left="2180" w:right="60" w:hanging="208"/>
        <w:spacing w:after="0" w:line="267" w:lineRule="auto"/>
        <w:tabs>
          <w:tab w:leader="none" w:pos="2180" w:val="left"/>
        </w:tabs>
        <w:numPr>
          <w:ilvl w:val="0"/>
          <w:numId w:val="96"/>
        </w:numPr>
        <w:rPr>
          <w:rFonts w:ascii="Arial" w:cs="Arial" w:eastAsia="Arial" w:hAnsi="Arial"/>
          <w:sz w:val="10"/>
          <w:szCs w:val="10"/>
          <w:b w:val="1"/>
          <w:bCs w:val="1"/>
          <w:color w:val="auto"/>
        </w:rPr>
      </w:pPr>
      <w:r>
        <w:rPr>
          <w:rFonts w:ascii="Arial" w:cs="Arial" w:eastAsia="Arial" w:hAnsi="Arial"/>
          <w:sz w:val="10"/>
          <w:szCs w:val="10"/>
          <w:color w:val="auto"/>
        </w:rPr>
        <w:t>A broker non-vote occurs when a broker or other nominee holding shares for a beneficial owner does not vote on a particular proposal because the broker or nominee does not have discretionary voting power for that particular item and has not received instructions from the beneficial owner. Under applicable rules that govern brokers or other nominees who are voting with respect to shares held in street name, brokers or other nominees ordinarily have the discretion to vote on “routine” matters but not on non-routine matters.</w:t>
      </w:r>
    </w:p>
    <w:p>
      <w:pPr>
        <w:spacing w:after="0" w:line="83" w:lineRule="exact"/>
        <w:rPr>
          <w:rFonts w:ascii="Arial" w:cs="Arial" w:eastAsia="Arial" w:hAnsi="Arial"/>
          <w:sz w:val="10"/>
          <w:szCs w:val="10"/>
          <w:b w:val="1"/>
          <w:bCs w:val="1"/>
          <w:color w:val="auto"/>
        </w:rPr>
      </w:pPr>
    </w:p>
    <w:p>
      <w:pPr>
        <w:ind w:left="2180" w:right="100"/>
        <w:spacing w:after="0" w:line="239" w:lineRule="auto"/>
        <w:rPr>
          <w:rFonts w:ascii="Arial" w:cs="Arial" w:eastAsia="Arial" w:hAnsi="Arial"/>
          <w:sz w:val="10"/>
          <w:szCs w:val="10"/>
          <w:b w:val="1"/>
          <w:bCs w:val="1"/>
          <w:color w:val="auto"/>
        </w:rPr>
      </w:pPr>
      <w:r>
        <w:rPr>
          <w:rFonts w:ascii="Arial" w:cs="Arial" w:eastAsia="Arial" w:hAnsi="Arial"/>
          <w:sz w:val="11"/>
          <w:szCs w:val="11"/>
          <w:color w:val="auto"/>
        </w:rPr>
        <w:t>If you are a beneficial shareholder and do not vote via the Internet, telephone, during the Meeting or by returning a signed voting instruction card, your shares may only be voted in situations where brokers have discretionary voting authority over the shares. Discretionary voting authority is only permitted on the proposal for the ratification of the selection of KPMG as the Company’s independent registered public accounting firm for 2023, which is a “routine” matter.</w:t>
      </w:r>
    </w:p>
    <w:p>
      <w:pPr>
        <w:spacing w:after="0" w:line="150" w:lineRule="exact"/>
        <w:rPr>
          <w:sz w:val="20"/>
          <w:szCs w:val="20"/>
          <w:color w:val="auto"/>
        </w:rPr>
      </w:pPr>
    </w:p>
    <w:p>
      <w:pPr>
        <w:ind w:left="2180" w:right="60" w:hanging="208"/>
        <w:spacing w:after="0" w:line="268" w:lineRule="auto"/>
        <w:tabs>
          <w:tab w:leader="none" w:pos="2180" w:val="left"/>
        </w:tabs>
        <w:numPr>
          <w:ilvl w:val="0"/>
          <w:numId w:val="97"/>
        </w:numPr>
        <w:rPr>
          <w:rFonts w:ascii="Arial" w:cs="Arial" w:eastAsia="Arial" w:hAnsi="Arial"/>
          <w:sz w:val="11"/>
          <w:szCs w:val="11"/>
          <w:b w:val="1"/>
          <w:bCs w:val="1"/>
          <w:color w:val="auto"/>
        </w:rPr>
      </w:pPr>
      <w:r>
        <w:rPr>
          <w:rFonts w:ascii="Arial" w:cs="Arial" w:eastAsia="Arial" w:hAnsi="Arial"/>
          <w:sz w:val="11"/>
          <w:szCs w:val="11"/>
          <w:b w:val="1"/>
          <w:bCs w:val="1"/>
          <w:color w:val="auto"/>
        </w:rPr>
        <w:t>How will my shares be voted if I submit a proxy card but do not specify how I want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10160</wp:posOffset>
            </wp:positionV>
            <wp:extent cx="2240280" cy="571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2240280" cy="5715"/>
                    </a:xfrm>
                    <a:prstGeom prst="rect">
                      <a:avLst/>
                    </a:prstGeom>
                    <a:noFill/>
                  </pic:spPr>
                </pic:pic>
              </a:graphicData>
            </a:graphic>
          </wp:anchor>
        </w:drawing>
      </w:r>
    </w:p>
    <w:p>
      <w:pPr>
        <w:spacing w:after="0" w:line="133" w:lineRule="exact"/>
        <w:rPr>
          <w:sz w:val="20"/>
          <w:szCs w:val="20"/>
          <w:color w:val="auto"/>
        </w:rPr>
      </w:pPr>
    </w:p>
    <w:p>
      <w:pPr>
        <w:ind w:left="2180" w:hanging="208"/>
        <w:spacing w:after="0" w:line="239" w:lineRule="auto"/>
        <w:tabs>
          <w:tab w:leader="none" w:pos="2180" w:val="left"/>
        </w:tabs>
        <w:numPr>
          <w:ilvl w:val="0"/>
          <w:numId w:val="98"/>
        </w:numPr>
        <w:rPr>
          <w:rFonts w:ascii="Arial" w:cs="Arial" w:eastAsia="Arial" w:hAnsi="Arial"/>
          <w:sz w:val="11"/>
          <w:szCs w:val="11"/>
          <w:b w:val="1"/>
          <w:bCs w:val="1"/>
          <w:color w:val="auto"/>
        </w:rPr>
      </w:pPr>
      <w:r>
        <w:rPr>
          <w:rFonts w:ascii="Arial" w:cs="Arial" w:eastAsia="Arial" w:hAnsi="Arial"/>
          <w:sz w:val="11"/>
          <w:szCs w:val="11"/>
          <w:color w:val="auto"/>
        </w:rPr>
        <w:t>If you submit a validly executed proxy card or voting instruction form but do not specify how you want to vote your shares with respect to a particular proposal, then your shares will be voted in line with the Board’s recommendations with respect to any such proposal, i.e., (i) “FOR ALL” your Board’s eleven (11) director nominees, (ii) “FOR” the approval, on a non-binding advisory basis, of the compensation of the Company’s Named Executive Officers, (iii) “in support” of having an annual advisory vote (a vote every year) on the Company’s compensation for its Named Executive Officers, (iv) “FOR” the amendments to the Restated 2003 Stock Incentive Performance Plan, and (v) “FOR” the ratification of the selection of KPMG as the Company’s independent registered public accounting firm for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119380</wp:posOffset>
            </wp:positionV>
            <wp:extent cx="3971925" cy="21717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235" w:lineRule="exact"/>
        <w:rPr>
          <w:sz w:val="20"/>
          <w:szCs w:val="20"/>
          <w:color w:val="auto"/>
        </w:rPr>
      </w:pPr>
    </w:p>
    <w:p>
      <w:pPr>
        <w:ind w:left="2040"/>
        <w:spacing w:after="0"/>
        <w:rPr>
          <w:sz w:val="20"/>
          <w:szCs w:val="20"/>
          <w:color w:val="auto"/>
        </w:rPr>
      </w:pPr>
      <w:r>
        <w:rPr>
          <w:rFonts w:ascii="Arial" w:cs="Arial" w:eastAsia="Arial" w:hAnsi="Arial"/>
          <w:sz w:val="12"/>
          <w:szCs w:val="12"/>
          <w:b w:val="1"/>
          <w:bCs w:val="1"/>
          <w:color w:val="FCFCFC"/>
        </w:rPr>
        <w:t>100</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left="223" w:right="899"/>
        <w:spacing w:after="0" w:line="269" w:lineRule="auto"/>
        <w:rPr>
          <w:sz w:val="20"/>
          <w:szCs w:val="20"/>
          <w:color w:val="auto"/>
        </w:rPr>
      </w:pPr>
      <w:r>
        <w:rPr>
          <w:rFonts w:ascii="Arial" w:cs="Arial" w:eastAsia="Arial" w:hAnsi="Arial"/>
          <w:sz w:val="10"/>
          <w:szCs w:val="10"/>
          <w:color w:val="auto"/>
        </w:rPr>
        <w:t>As of the date of this Proxy Statement, your Board of Directors knows of no business other than that set forth above to be transacted at the Annual Meeting, but if other matters requiring a vote do arise, it is the intention of Mr. Chris Cocks and Ms. Deborah Thomas, as the individuals to whom you are granting your proxy on the proxy card, to vote in accordance with their best judgment on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-885825</wp:posOffset>
            </wp:positionV>
            <wp:extent cx="7214870" cy="4127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spacing w:after="0" w:line="62" w:lineRule="exact"/>
        <w:rPr>
          <w:sz w:val="20"/>
          <w:szCs w:val="20"/>
          <w:color w:val="auto"/>
        </w:rPr>
      </w:pPr>
    </w:p>
    <w:p>
      <w:pPr>
        <w:ind w:left="223" w:right="859"/>
        <w:spacing w:after="0" w:line="245" w:lineRule="auto"/>
        <w:rPr>
          <w:sz w:val="20"/>
          <w:szCs w:val="20"/>
          <w:color w:val="auto"/>
        </w:rPr>
      </w:pPr>
      <w:r>
        <w:rPr>
          <w:rFonts w:ascii="Arial" w:cs="Arial" w:eastAsia="Arial" w:hAnsi="Arial"/>
          <w:sz w:val="11"/>
          <w:szCs w:val="11"/>
          <w:color w:val="auto"/>
        </w:rPr>
        <w:t>Your Board urges you to mark your proxy card in accordance with your Board’s recommendations.</w:t>
      </w:r>
    </w:p>
    <w:p>
      <w:pPr>
        <w:spacing w:after="0" w:line="144" w:lineRule="exact"/>
        <w:rPr>
          <w:sz w:val="20"/>
          <w:szCs w:val="20"/>
          <w:color w:val="auto"/>
        </w:rPr>
      </w:pPr>
    </w:p>
    <w:p>
      <w:pPr>
        <w:ind w:left="3"/>
        <w:spacing w:after="0"/>
        <w:tabs>
          <w:tab w:leader="none" w:pos="202" w:val="left"/>
        </w:tabs>
        <w:rPr>
          <w:sz w:val="20"/>
          <w:szCs w:val="20"/>
          <w:color w:val="auto"/>
        </w:rPr>
      </w:pPr>
      <w:r>
        <w:rPr>
          <w:rFonts w:ascii="Arial" w:cs="Arial" w:eastAsia="Arial" w:hAnsi="Arial"/>
          <w:sz w:val="11"/>
          <w:szCs w:val="11"/>
          <w:b w:val="1"/>
          <w:bCs w:val="1"/>
          <w:color w:val="auto"/>
        </w:rPr>
        <w:t>Q:</w:t>
      </w:r>
      <w:r>
        <w:rPr>
          <w:sz w:val="20"/>
          <w:szCs w:val="20"/>
          <w:color w:val="auto"/>
        </w:rPr>
        <w:tab/>
      </w:r>
      <w:r>
        <w:rPr>
          <w:rFonts w:ascii="Arial" w:cs="Arial" w:eastAsia="Arial" w:hAnsi="Arial"/>
          <w:sz w:val="10"/>
          <w:szCs w:val="10"/>
          <w:b w:val="1"/>
          <w:bCs w:val="1"/>
          <w:color w:val="auto"/>
        </w:rPr>
        <w:t>What if I have trouble accessing the Annual Meeting virtually?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2286000" cy="571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2286000" cy="5715"/>
                    </a:xfrm>
                    <a:prstGeom prst="rect">
                      <a:avLst/>
                    </a:prstGeom>
                    <a:noFill/>
                  </pic:spPr>
                </pic:pic>
              </a:graphicData>
            </a:graphic>
          </wp:anchor>
        </w:drawing>
      </w:r>
    </w:p>
    <w:p>
      <w:pPr>
        <w:spacing w:after="0" w:line="163" w:lineRule="exact"/>
        <w:rPr>
          <w:sz w:val="20"/>
          <w:szCs w:val="20"/>
          <w:color w:val="auto"/>
        </w:rPr>
      </w:pPr>
    </w:p>
    <w:p>
      <w:pPr>
        <w:ind w:left="223" w:right="879" w:hanging="223"/>
        <w:spacing w:after="0" w:line="266" w:lineRule="auto"/>
        <w:tabs>
          <w:tab w:leader="none" w:pos="223" w:val="left"/>
        </w:tabs>
        <w:numPr>
          <w:ilvl w:val="0"/>
          <w:numId w:val="99"/>
        </w:numPr>
        <w:rPr>
          <w:rFonts w:ascii="Arial" w:cs="Arial" w:eastAsia="Arial" w:hAnsi="Arial"/>
          <w:sz w:val="10"/>
          <w:szCs w:val="10"/>
          <w:b w:val="1"/>
          <w:bCs w:val="1"/>
          <w:color w:val="auto"/>
        </w:rPr>
      </w:pPr>
      <w:r>
        <w:rPr>
          <w:rFonts w:ascii="Arial" w:cs="Arial" w:eastAsia="Arial" w:hAnsi="Arial"/>
          <w:sz w:val="10"/>
          <w:szCs w:val="10"/>
          <w:color w:val="auto"/>
        </w:rPr>
        <w:t>The virtual meeting platform is fully supported across browsers (MS Edge, Firefox, Chrome and Safari) and devices (desktops, laptops, tablets and cell phones) running the most up-to-date version of applicable software and plugins. Note: Internet Explorer not a supported browser. Participants should ensure that they have a strong WiFi connection wherever they intend to participate in the meeting. We encourage you to access the meeting prior to the start time. For further assistance should you need it you may call 1-888-724-2416, Monday through Friday between the hours of 7:30 a.m. and 8 p.m.</w:t>
      </w:r>
    </w:p>
    <w:p>
      <w:pPr>
        <w:spacing w:after="0" w:line="137" w:lineRule="exact"/>
        <w:rPr>
          <w:sz w:val="20"/>
          <w:szCs w:val="20"/>
          <w:color w:val="auto"/>
        </w:rPr>
      </w:pPr>
    </w:p>
    <w:p>
      <w:pPr>
        <w:ind w:left="3"/>
        <w:spacing w:after="0"/>
        <w:tabs>
          <w:tab w:leader="none" w:pos="202" w:val="left"/>
        </w:tabs>
        <w:rPr>
          <w:sz w:val="20"/>
          <w:szCs w:val="20"/>
          <w:color w:val="auto"/>
        </w:rPr>
      </w:pPr>
      <w:r>
        <w:rPr>
          <w:rFonts w:ascii="Arial" w:cs="Arial" w:eastAsia="Arial" w:hAnsi="Arial"/>
          <w:sz w:val="11"/>
          <w:szCs w:val="11"/>
          <w:b w:val="1"/>
          <w:bCs w:val="1"/>
          <w:color w:val="auto"/>
        </w:rPr>
        <w:t>Q:</w:t>
      </w:r>
      <w:r>
        <w:rPr>
          <w:sz w:val="20"/>
          <w:szCs w:val="20"/>
          <w:color w:val="auto"/>
        </w:rPr>
        <w:tab/>
      </w:r>
      <w:r>
        <w:rPr>
          <w:rFonts w:ascii="Arial" w:cs="Arial" w:eastAsia="Arial" w:hAnsi="Arial"/>
          <w:sz w:val="10"/>
          <w:szCs w:val="10"/>
          <w:b w:val="1"/>
          <w:bCs w:val="1"/>
          <w:color w:val="auto"/>
        </w:rPr>
        <w:t>Where can I find the voting results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2286000" cy="571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2286000" cy="5715"/>
                    </a:xfrm>
                    <a:prstGeom prst="rect">
                      <a:avLst/>
                    </a:prstGeom>
                    <a:noFill/>
                  </pic:spPr>
                </pic:pic>
              </a:graphicData>
            </a:graphic>
          </wp:anchor>
        </w:drawing>
      </w:r>
    </w:p>
    <w:p>
      <w:pPr>
        <w:spacing w:after="0" w:line="163" w:lineRule="exact"/>
        <w:rPr>
          <w:sz w:val="20"/>
          <w:szCs w:val="20"/>
          <w:color w:val="auto"/>
        </w:rPr>
      </w:pPr>
    </w:p>
    <w:p>
      <w:pPr>
        <w:ind w:left="223" w:right="939" w:hanging="223"/>
        <w:spacing w:after="0" w:line="242" w:lineRule="auto"/>
        <w:tabs>
          <w:tab w:leader="none" w:pos="223" w:val="left"/>
        </w:tabs>
        <w:numPr>
          <w:ilvl w:val="0"/>
          <w:numId w:val="100"/>
        </w:numPr>
        <w:rPr>
          <w:rFonts w:ascii="Arial" w:cs="Arial" w:eastAsia="Arial" w:hAnsi="Arial"/>
          <w:sz w:val="11"/>
          <w:szCs w:val="11"/>
          <w:b w:val="1"/>
          <w:bCs w:val="1"/>
          <w:color w:val="auto"/>
        </w:rPr>
      </w:pPr>
      <w:r>
        <w:rPr>
          <w:rFonts w:ascii="Arial" w:cs="Arial" w:eastAsia="Arial" w:hAnsi="Arial"/>
          <w:sz w:val="11"/>
          <w:szCs w:val="11"/>
          <w:color w:val="auto"/>
        </w:rPr>
        <w:t>We expect to report results based on the report of the Independent Inspector of Elections on a Current Report on Form 8-K filed with the SEC within four business days following the Annual Meeting.</w:t>
      </w:r>
    </w:p>
    <w:p>
      <w:pPr>
        <w:spacing w:after="0" w:line="145" w:lineRule="exact"/>
        <w:rPr>
          <w:sz w:val="20"/>
          <w:szCs w:val="20"/>
          <w:color w:val="auto"/>
        </w:rPr>
      </w:pPr>
    </w:p>
    <w:p>
      <w:pPr>
        <w:ind w:left="223" w:right="939" w:hanging="223"/>
        <w:spacing w:after="0" w:line="268" w:lineRule="auto"/>
        <w:tabs>
          <w:tab w:leader="none" w:pos="223" w:val="left"/>
        </w:tabs>
        <w:numPr>
          <w:ilvl w:val="0"/>
          <w:numId w:val="101"/>
        </w:numPr>
        <w:rPr>
          <w:rFonts w:ascii="Arial" w:cs="Arial" w:eastAsia="Arial" w:hAnsi="Arial"/>
          <w:sz w:val="11"/>
          <w:szCs w:val="11"/>
          <w:b w:val="1"/>
          <w:bCs w:val="1"/>
          <w:color w:val="auto"/>
        </w:rPr>
      </w:pPr>
      <w:r>
        <w:rPr>
          <w:rFonts w:ascii="Arial" w:cs="Arial" w:eastAsia="Arial" w:hAnsi="Arial"/>
          <w:sz w:val="11"/>
          <w:szCs w:val="11"/>
          <w:b w:val="1"/>
          <w:bCs w:val="1"/>
          <w:color w:val="auto"/>
        </w:rPr>
        <w:t>Do I have any dissenters’ or appraisal rights with respect to any of the matters to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2286000" cy="571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2286000" cy="5715"/>
                    </a:xfrm>
                    <a:prstGeom prst="rect">
                      <a:avLst/>
                    </a:prstGeom>
                    <a:noFill/>
                  </pic:spPr>
                </pic:pic>
              </a:graphicData>
            </a:graphic>
          </wp:anchor>
        </w:drawing>
      </w:r>
    </w:p>
    <w:p>
      <w:pPr>
        <w:spacing w:after="0" w:line="124" w:lineRule="exact"/>
        <w:rPr>
          <w:sz w:val="20"/>
          <w:szCs w:val="20"/>
          <w:color w:val="auto"/>
        </w:rPr>
      </w:pPr>
    </w:p>
    <w:p>
      <w:pPr>
        <w:ind w:left="223" w:right="919" w:hanging="223"/>
        <w:spacing w:after="0" w:line="242" w:lineRule="auto"/>
        <w:tabs>
          <w:tab w:leader="none" w:pos="223" w:val="left"/>
        </w:tabs>
        <w:numPr>
          <w:ilvl w:val="0"/>
          <w:numId w:val="102"/>
        </w:numPr>
        <w:rPr>
          <w:rFonts w:ascii="Arial" w:cs="Arial" w:eastAsia="Arial" w:hAnsi="Arial"/>
          <w:sz w:val="11"/>
          <w:szCs w:val="11"/>
          <w:b w:val="1"/>
          <w:bCs w:val="1"/>
          <w:color w:val="auto"/>
        </w:rPr>
      </w:pPr>
      <w:r>
        <w:rPr>
          <w:rFonts w:ascii="Arial" w:cs="Arial" w:eastAsia="Arial" w:hAnsi="Arial"/>
          <w:sz w:val="11"/>
          <w:szCs w:val="11"/>
          <w:color w:val="auto"/>
        </w:rPr>
        <w:t>No. Rhode Island law does not provide shareholders any dissenters’ or appraisal rights with respect to any of the matters to be voted on at the Annual Meeting.</w:t>
      </w:r>
    </w:p>
    <w:p>
      <w:pPr>
        <w:spacing w:after="0" w:line="145" w:lineRule="exact"/>
        <w:rPr>
          <w:sz w:val="20"/>
          <w:szCs w:val="20"/>
          <w:color w:val="auto"/>
        </w:rPr>
      </w:pPr>
    </w:p>
    <w:p>
      <w:pPr>
        <w:jc w:val="both"/>
        <w:ind w:left="223" w:right="1179" w:hanging="223"/>
        <w:spacing w:after="0" w:line="253" w:lineRule="auto"/>
        <w:tabs>
          <w:tab w:leader="none" w:pos="223" w:val="left"/>
        </w:tabs>
        <w:numPr>
          <w:ilvl w:val="0"/>
          <w:numId w:val="103"/>
        </w:numPr>
        <w:rPr>
          <w:rFonts w:ascii="Arial" w:cs="Arial" w:eastAsia="Arial" w:hAnsi="Arial"/>
          <w:sz w:val="11"/>
          <w:szCs w:val="11"/>
          <w:b w:val="1"/>
          <w:bCs w:val="1"/>
          <w:color w:val="auto"/>
        </w:rPr>
      </w:pPr>
      <w:r>
        <w:rPr>
          <w:rFonts w:ascii="Arial" w:cs="Arial" w:eastAsia="Arial" w:hAnsi="Arial"/>
          <w:sz w:val="11"/>
          <w:szCs w:val="11"/>
          <w:b w:val="1"/>
          <w:bCs w:val="1"/>
          <w:color w:val="auto"/>
        </w:rPr>
        <w:t>Who can I contact if I have questions or need assistance in voting my shares, or if I need additional copies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286000" cy="571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2286000" cy="5715"/>
                    </a:xfrm>
                    <a:prstGeom prst="rect">
                      <a:avLst/>
                    </a:prstGeom>
                    <a:noFill/>
                  </pic:spPr>
                </pic:pic>
              </a:graphicData>
            </a:graphic>
          </wp:anchor>
        </w:drawing>
      </w:r>
    </w:p>
    <w:p>
      <w:pPr>
        <w:spacing w:after="0" w:line="141" w:lineRule="exact"/>
        <w:rPr>
          <w:sz w:val="20"/>
          <w:szCs w:val="20"/>
          <w:color w:val="auto"/>
        </w:rPr>
      </w:pPr>
    </w:p>
    <w:p>
      <w:pPr>
        <w:ind w:left="223" w:right="959" w:hanging="223"/>
        <w:spacing w:after="0" w:line="245" w:lineRule="auto"/>
        <w:tabs>
          <w:tab w:leader="none" w:pos="223" w:val="left"/>
        </w:tabs>
        <w:numPr>
          <w:ilvl w:val="0"/>
          <w:numId w:val="104"/>
        </w:numPr>
        <w:rPr>
          <w:rFonts w:ascii="Arial" w:cs="Arial" w:eastAsia="Arial" w:hAnsi="Arial"/>
          <w:sz w:val="11"/>
          <w:szCs w:val="11"/>
          <w:b w:val="1"/>
          <w:bCs w:val="1"/>
          <w:color w:val="auto"/>
        </w:rPr>
      </w:pPr>
      <w:r>
        <w:rPr>
          <w:rFonts w:ascii="Arial" w:cs="Arial" w:eastAsia="Arial" w:hAnsi="Arial"/>
          <w:sz w:val="11"/>
          <w:szCs w:val="11"/>
          <w:color w:val="auto"/>
        </w:rPr>
        <w:t>Please contact Morrow Sodali, the firm assisting us in the solicitation of proxies, toll-free at (800) 662-5200.</w:t>
      </w:r>
    </w:p>
    <w:p>
      <w:pPr>
        <w:sectPr>
          <w:pgSz w:w="11900" w:h="16838" w:orient="portrait"/>
          <w:cols w:equalWidth="0" w:num="2">
            <w:col w:w="5480" w:space="237"/>
            <w:col w:w="4442"/>
          </w:cols>
          <w:pgMar w:left="300" w:top="372" w:right="1440" w:bottom="1440" w:gutter="0" w:footer="0" w:header="0"/>
        </w:sectPr>
      </w:pPr>
    </w:p>
    <w:bookmarkStart w:id="122" w:name="page123"/>
    <w:bookmarkEnd w:id="12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60960</wp:posOffset>
            </wp:positionV>
            <wp:extent cx="4663440" cy="26860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121"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Deadlines for 2024 Shareholder Proposals</w:t>
      </w:r>
    </w:p>
    <w:p>
      <w:pPr>
        <w:spacing w:after="0" w:line="270" w:lineRule="exact"/>
        <w:rPr>
          <w:sz w:val="20"/>
          <w:szCs w:val="20"/>
          <w:color w:val="auto"/>
        </w:rPr>
      </w:pPr>
    </w:p>
    <w:p>
      <w:pPr>
        <w:ind w:left="1980" w:right="859"/>
        <w:spacing w:after="0" w:line="274" w:lineRule="auto"/>
        <w:rPr>
          <w:sz w:val="20"/>
          <w:szCs w:val="20"/>
          <w:color w:val="auto"/>
        </w:rPr>
      </w:pPr>
      <w:r>
        <w:rPr>
          <w:rFonts w:ascii="Arial" w:cs="Arial" w:eastAsia="Arial" w:hAnsi="Arial"/>
          <w:sz w:val="10"/>
          <w:szCs w:val="10"/>
          <w:b w:val="1"/>
          <w:bCs w:val="1"/>
          <w:i w:val="1"/>
          <w:iCs w:val="1"/>
          <w:color w:val="009BDE"/>
        </w:rPr>
        <w:t xml:space="preserve">To Be Considered at the Annual Meeting and Considered for Inclusion in the Proxy Materials. </w:t>
      </w:r>
      <w:r>
        <w:rPr>
          <w:rFonts w:ascii="Arial" w:cs="Arial" w:eastAsia="Arial" w:hAnsi="Arial"/>
          <w:sz w:val="10"/>
          <w:szCs w:val="10"/>
          <w:color w:val="000000"/>
        </w:rPr>
        <w:t>Any proposal which a shareholder of the Company</w:t>
      </w:r>
      <w:r>
        <w:rPr>
          <w:rFonts w:ascii="Arial" w:cs="Arial" w:eastAsia="Arial" w:hAnsi="Arial"/>
          <w:sz w:val="10"/>
          <w:szCs w:val="10"/>
          <w:b w:val="1"/>
          <w:bCs w:val="1"/>
          <w:i w:val="1"/>
          <w:iCs w:val="1"/>
          <w:color w:val="009BDE"/>
        </w:rPr>
        <w:t xml:space="preserve"> </w:t>
      </w:r>
      <w:r>
        <w:rPr>
          <w:rFonts w:ascii="Arial" w:cs="Arial" w:eastAsia="Arial" w:hAnsi="Arial"/>
          <w:sz w:val="10"/>
          <w:szCs w:val="10"/>
          <w:color w:val="000000"/>
        </w:rPr>
        <w:t>wishes to have considered for inclusion in the proxy statement and proxy relating to the Company’s 2024 Annual Meeting of Shareholders pursuant to Rule 14a-8 must be received by the Secretary of the Company at the Company’s executive offices no later than December 5, 2023 (the date that is 120 calendar days before the anniversary of the release date of the proxy statement relating to the 2024 Annual Meeting of Shareholders). The address of the Company’s executive offices is 1011 Newport Avenue, Pawtucket, Rhode Island 02861. Such proposals should be sent to the attention of the Chief Legal Officer and Corporate Secretary and must also comply with the other requirements of the rules of the SEC relating to shareholder proposals.</w:t>
      </w:r>
    </w:p>
    <w:p>
      <w:pPr>
        <w:spacing w:after="0" w:line="67" w:lineRule="exact"/>
        <w:rPr>
          <w:sz w:val="20"/>
          <w:szCs w:val="20"/>
          <w:color w:val="auto"/>
        </w:rPr>
      </w:pPr>
    </w:p>
    <w:p>
      <w:pPr>
        <w:ind w:left="1980" w:right="859"/>
        <w:spacing w:after="0" w:line="223" w:lineRule="auto"/>
        <w:rPr>
          <w:sz w:val="20"/>
          <w:szCs w:val="20"/>
          <w:color w:val="auto"/>
        </w:rPr>
      </w:pPr>
      <w:r>
        <w:rPr>
          <w:rFonts w:ascii="Arial" w:cs="Arial" w:eastAsia="Arial" w:hAnsi="Arial"/>
          <w:sz w:val="11"/>
          <w:szCs w:val="11"/>
          <w:b w:val="1"/>
          <w:bCs w:val="1"/>
          <w:i w:val="1"/>
          <w:iCs w:val="1"/>
          <w:color w:val="009BDE"/>
        </w:rPr>
        <w:t xml:space="preserve">To Be Considered at the Annual Meeting But Not Included in the Proxy Materials. </w:t>
      </w:r>
      <w:r>
        <w:rPr>
          <w:rFonts w:ascii="Arial" w:cs="Arial" w:eastAsia="Arial" w:hAnsi="Arial"/>
          <w:sz w:val="11"/>
          <w:szCs w:val="11"/>
          <w:color w:val="000000"/>
        </w:rPr>
        <w:t>With the exception of the submission of director nominations for</w:t>
      </w:r>
      <w:r>
        <w:rPr>
          <w:rFonts w:ascii="Arial" w:cs="Arial" w:eastAsia="Arial" w:hAnsi="Arial"/>
          <w:sz w:val="11"/>
          <w:szCs w:val="11"/>
          <w:b w:val="1"/>
          <w:bCs w:val="1"/>
          <w:i w:val="1"/>
          <w:iCs w:val="1"/>
          <w:color w:val="009BDE"/>
        </w:rPr>
        <w:t xml:space="preserve"> </w:t>
      </w:r>
      <w:r>
        <w:rPr>
          <w:rFonts w:ascii="Arial" w:cs="Arial" w:eastAsia="Arial" w:hAnsi="Arial"/>
          <w:sz w:val="11"/>
          <w:szCs w:val="11"/>
          <w:color w:val="000000"/>
        </w:rPr>
        <w:t>consideration by the Nominating, Governance and Social Responsibility Committee, which must be submitted to the Company in the manner described below, any new business proposed by any shareholder to be taken up at the 2024 Annual Meeting, but not included in the proxy statement or proxy relating to that meeting, must be stated in writing and filed with the Secretary of the Company not less than 90 days nor more than 120 days prior to the one-year anniversary date of the immediately preceding annual meeting of shareholders (provided that if the date of the annual meeting is advanced by more than 30 days prior to or delayed by more than 30 days before or after such anniversary date, notice by the shareholder must be delivered not earlier than 120 days prior to the annual meeting and not later than (i) the ninetieth (90</w:t>
      </w:r>
      <w:r>
        <w:rPr>
          <w:rFonts w:ascii="Arial" w:cs="Arial" w:eastAsia="Arial" w:hAnsi="Arial"/>
          <w:sz w:val="16"/>
          <w:szCs w:val="16"/>
          <w:color w:val="000000"/>
          <w:vertAlign w:val="superscript"/>
        </w:rPr>
        <w:t>th</w:t>
      </w:r>
      <w:r>
        <w:rPr>
          <w:rFonts w:ascii="Arial" w:cs="Arial" w:eastAsia="Arial" w:hAnsi="Arial"/>
          <w:sz w:val="11"/>
          <w:szCs w:val="11"/>
          <w:color w:val="000000"/>
        </w:rPr>
        <w:t>) day prior to the date of such annual meeting or (ii) the tenth (10</w:t>
      </w:r>
      <w:r>
        <w:rPr>
          <w:rFonts w:ascii="Arial" w:cs="Arial" w:eastAsia="Arial" w:hAnsi="Arial"/>
          <w:sz w:val="16"/>
          <w:szCs w:val="16"/>
          <w:color w:val="000000"/>
          <w:vertAlign w:val="superscript"/>
        </w:rPr>
        <w:t>th</w:t>
      </w:r>
      <w:r>
        <w:rPr>
          <w:rFonts w:ascii="Arial" w:cs="Arial" w:eastAsia="Arial" w:hAnsi="Arial"/>
          <w:sz w:val="11"/>
          <w:szCs w:val="11"/>
          <w:color w:val="000000"/>
        </w:rPr>
        <w:t>) day following the day on which the notice of the date of the annual meeting was mailed or public disclosure of the date of the annual meeting was made, whichever first occurs. To be in proper form the notice must provide specified information regarding the proposed nominee and each shareholder proposing such nomination, as set forth in the Company’s By-Laws. As such, shareholder proposals to be considered for the Company’s 2024 Annual Meeting of Shareholders must be submitted no earlier than January 19, 2024, and no later than February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152400</wp:posOffset>
            </wp:positionV>
            <wp:extent cx="4663440" cy="26860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6"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Deadlines for 2024 Director Nominations</w:t>
      </w:r>
    </w:p>
    <w:p>
      <w:pPr>
        <w:spacing w:after="0" w:line="273" w:lineRule="exact"/>
        <w:rPr>
          <w:sz w:val="20"/>
          <w:szCs w:val="20"/>
          <w:color w:val="auto"/>
        </w:rPr>
      </w:pPr>
    </w:p>
    <w:p>
      <w:pPr>
        <w:ind w:left="1980" w:right="919"/>
        <w:spacing w:after="0" w:line="241" w:lineRule="auto"/>
        <w:rPr>
          <w:sz w:val="20"/>
          <w:szCs w:val="20"/>
          <w:color w:val="auto"/>
        </w:rPr>
      </w:pPr>
      <w:r>
        <w:rPr>
          <w:rFonts w:ascii="Arial" w:cs="Arial" w:eastAsia="Arial" w:hAnsi="Arial"/>
          <w:sz w:val="11"/>
          <w:szCs w:val="11"/>
          <w:color w:val="auto"/>
        </w:rPr>
        <w:t>The Nominating, Governance and Social Responsibility Committee is responsible for identifying individuals qualified to be members of your Board of Directors and reviewing candidates recommended by our shareholders. In making its nominations for election to the Board, the Nominating, Governance and Social Responsibility Committee seeks candidates who meet the current challenges and needs of the Board and the Company. As part of this process the Committee considers a number of factors, including:</w:t>
      </w:r>
    </w:p>
    <w:p>
      <w:pPr>
        <w:spacing w:after="0" w:line="140" w:lineRule="exact"/>
        <w:rPr>
          <w:sz w:val="20"/>
          <w:szCs w:val="20"/>
          <w:color w:val="auto"/>
        </w:rPr>
      </w:pPr>
    </w:p>
    <w:p>
      <w:pPr>
        <w:ind w:left="2120" w:hanging="148"/>
        <w:spacing w:after="0"/>
        <w:tabs>
          <w:tab w:leader="none" w:pos="212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a candidate’s:</w:t>
      </w:r>
    </w:p>
    <w:p>
      <w:pPr>
        <w:spacing w:after="0" w:line="80" w:lineRule="exact"/>
        <w:rPr>
          <w:rFonts w:ascii="Arial" w:cs="Arial" w:eastAsia="Arial" w:hAnsi="Arial"/>
          <w:sz w:val="11"/>
          <w:szCs w:val="11"/>
          <w:color w:val="auto"/>
        </w:rPr>
      </w:pPr>
    </w:p>
    <w:p>
      <w:pPr>
        <w:ind w:left="2540" w:hanging="280"/>
        <w:spacing w:after="0"/>
        <w:tabs>
          <w:tab w:leader="none" w:pos="2540" w:val="left"/>
        </w:tabs>
        <w:numPr>
          <w:ilvl w:val="1"/>
          <w:numId w:val="105"/>
        </w:numPr>
        <w:rPr>
          <w:rFonts w:ascii="Arial" w:cs="Arial" w:eastAsia="Arial" w:hAnsi="Arial"/>
          <w:sz w:val="8"/>
          <w:szCs w:val="8"/>
          <w:color w:val="auto"/>
        </w:rPr>
      </w:pPr>
      <w:r>
        <w:rPr>
          <w:rFonts w:ascii="Arial" w:cs="Arial" w:eastAsia="Arial" w:hAnsi="Arial"/>
          <w:sz w:val="11"/>
          <w:szCs w:val="11"/>
          <w:color w:val="auto"/>
        </w:rPr>
        <w:t>employment and other experience and qualifications;</w:t>
      </w:r>
    </w:p>
    <w:p>
      <w:pPr>
        <w:spacing w:after="0" w:line="80" w:lineRule="exact"/>
        <w:rPr>
          <w:rFonts w:ascii="Arial" w:cs="Arial" w:eastAsia="Arial" w:hAnsi="Arial"/>
          <w:sz w:val="8"/>
          <w:szCs w:val="8"/>
          <w:color w:val="auto"/>
        </w:rPr>
      </w:pPr>
    </w:p>
    <w:p>
      <w:pPr>
        <w:ind w:left="2540" w:hanging="280"/>
        <w:spacing w:after="0"/>
        <w:tabs>
          <w:tab w:leader="none" w:pos="2540" w:val="left"/>
        </w:tabs>
        <w:numPr>
          <w:ilvl w:val="1"/>
          <w:numId w:val="105"/>
        </w:numPr>
        <w:rPr>
          <w:rFonts w:ascii="Arial" w:cs="Arial" w:eastAsia="Arial" w:hAnsi="Arial"/>
          <w:sz w:val="8"/>
          <w:szCs w:val="8"/>
          <w:color w:val="auto"/>
        </w:rPr>
      </w:pPr>
      <w:r>
        <w:rPr>
          <w:rFonts w:ascii="Arial" w:cs="Arial" w:eastAsia="Arial" w:hAnsi="Arial"/>
          <w:sz w:val="11"/>
          <w:szCs w:val="11"/>
          <w:color w:val="auto"/>
        </w:rPr>
        <w:t>gender, diversity and other attributes, skills, expertise and involvement in areas that are of importance to the Company’s business;</w:t>
      </w:r>
    </w:p>
    <w:p>
      <w:pPr>
        <w:spacing w:after="0" w:line="80" w:lineRule="exact"/>
        <w:rPr>
          <w:rFonts w:ascii="Arial" w:cs="Arial" w:eastAsia="Arial" w:hAnsi="Arial"/>
          <w:sz w:val="8"/>
          <w:szCs w:val="8"/>
          <w:color w:val="auto"/>
        </w:rPr>
      </w:pPr>
    </w:p>
    <w:p>
      <w:pPr>
        <w:ind w:left="2540" w:hanging="280"/>
        <w:spacing w:after="0"/>
        <w:tabs>
          <w:tab w:leader="none" w:pos="2540" w:val="left"/>
        </w:tabs>
        <w:numPr>
          <w:ilvl w:val="1"/>
          <w:numId w:val="105"/>
        </w:numPr>
        <w:rPr>
          <w:rFonts w:ascii="Arial" w:cs="Arial" w:eastAsia="Arial" w:hAnsi="Arial"/>
          <w:sz w:val="8"/>
          <w:szCs w:val="8"/>
          <w:color w:val="auto"/>
        </w:rPr>
      </w:pPr>
      <w:r>
        <w:rPr>
          <w:rFonts w:ascii="Arial" w:cs="Arial" w:eastAsia="Arial" w:hAnsi="Arial"/>
          <w:sz w:val="11"/>
          <w:szCs w:val="11"/>
          <w:color w:val="auto"/>
        </w:rPr>
        <w:t>business ethics and professional reputation;</w:t>
      </w:r>
    </w:p>
    <w:p>
      <w:pPr>
        <w:spacing w:after="0" w:line="80" w:lineRule="exact"/>
        <w:rPr>
          <w:rFonts w:ascii="Arial" w:cs="Arial" w:eastAsia="Arial" w:hAnsi="Arial"/>
          <w:sz w:val="8"/>
          <w:szCs w:val="8"/>
          <w:color w:val="auto"/>
        </w:rPr>
      </w:pPr>
    </w:p>
    <w:p>
      <w:pPr>
        <w:ind w:left="2540" w:hanging="280"/>
        <w:spacing w:after="0"/>
        <w:tabs>
          <w:tab w:leader="none" w:pos="2540" w:val="left"/>
        </w:tabs>
        <w:numPr>
          <w:ilvl w:val="1"/>
          <w:numId w:val="105"/>
        </w:numPr>
        <w:rPr>
          <w:rFonts w:ascii="Arial" w:cs="Arial" w:eastAsia="Arial" w:hAnsi="Arial"/>
          <w:sz w:val="8"/>
          <w:szCs w:val="8"/>
          <w:color w:val="auto"/>
        </w:rPr>
      </w:pPr>
      <w:r>
        <w:rPr>
          <w:rFonts w:ascii="Arial" w:cs="Arial" w:eastAsia="Arial" w:hAnsi="Arial"/>
          <w:sz w:val="11"/>
          <w:szCs w:val="11"/>
          <w:color w:val="auto"/>
        </w:rPr>
        <w:t>other board service; and</w:t>
      </w:r>
    </w:p>
    <w:p>
      <w:pPr>
        <w:spacing w:after="0" w:line="80" w:lineRule="exact"/>
        <w:rPr>
          <w:rFonts w:ascii="Arial" w:cs="Arial" w:eastAsia="Arial" w:hAnsi="Arial"/>
          <w:sz w:val="8"/>
          <w:szCs w:val="8"/>
          <w:color w:val="auto"/>
        </w:rPr>
      </w:pPr>
    </w:p>
    <w:p>
      <w:pPr>
        <w:ind w:left="2540" w:hanging="280"/>
        <w:spacing w:after="0"/>
        <w:tabs>
          <w:tab w:leader="none" w:pos="2540" w:val="left"/>
        </w:tabs>
        <w:numPr>
          <w:ilvl w:val="1"/>
          <w:numId w:val="105"/>
        </w:numPr>
        <w:rPr>
          <w:rFonts w:ascii="Arial" w:cs="Arial" w:eastAsia="Arial" w:hAnsi="Arial"/>
          <w:sz w:val="8"/>
          <w:szCs w:val="8"/>
          <w:color w:val="auto"/>
        </w:rPr>
      </w:pPr>
      <w:r>
        <w:rPr>
          <w:rFonts w:ascii="Arial" w:cs="Arial" w:eastAsia="Arial" w:hAnsi="Arial"/>
          <w:sz w:val="11"/>
          <w:szCs w:val="11"/>
          <w:color w:val="auto"/>
        </w:rPr>
        <w:t>business, financial and strategic judgment;</w:t>
      </w:r>
    </w:p>
    <w:p>
      <w:pPr>
        <w:spacing w:after="0" w:line="80" w:lineRule="exact"/>
        <w:rPr>
          <w:rFonts w:ascii="Arial" w:cs="Arial" w:eastAsia="Arial" w:hAnsi="Arial"/>
          <w:sz w:val="8"/>
          <w:szCs w:val="8"/>
          <w:color w:val="auto"/>
        </w:rPr>
      </w:pPr>
    </w:p>
    <w:p>
      <w:pPr>
        <w:ind w:left="2120" w:hanging="148"/>
        <w:spacing w:after="0"/>
        <w:tabs>
          <w:tab w:leader="none" w:pos="212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the Board’s and the Company’s needs at that time; and</w:t>
      </w:r>
    </w:p>
    <w:p>
      <w:pPr>
        <w:spacing w:after="0" w:line="80" w:lineRule="exact"/>
        <w:rPr>
          <w:rFonts w:ascii="Arial" w:cs="Arial" w:eastAsia="Arial" w:hAnsi="Arial"/>
          <w:sz w:val="11"/>
          <w:szCs w:val="11"/>
          <w:color w:val="auto"/>
        </w:rPr>
      </w:pPr>
    </w:p>
    <w:p>
      <w:pPr>
        <w:ind w:left="2120" w:hanging="148"/>
        <w:spacing w:after="0"/>
        <w:tabs>
          <w:tab w:leader="none" w:pos="212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the Company’s desire to have a well-balanced Board that represents a diverse mix of backgrounds, perspectives and expertise.</w:t>
      </w:r>
    </w:p>
    <w:p>
      <w:pPr>
        <w:spacing w:after="0" w:line="99" w:lineRule="exact"/>
        <w:rPr>
          <w:sz w:val="20"/>
          <w:szCs w:val="20"/>
          <w:color w:val="auto"/>
        </w:rPr>
      </w:pPr>
    </w:p>
    <w:p>
      <w:pPr>
        <w:ind w:left="1980" w:right="859"/>
        <w:spacing w:after="0" w:line="245" w:lineRule="auto"/>
        <w:rPr>
          <w:sz w:val="20"/>
          <w:szCs w:val="20"/>
          <w:color w:val="auto"/>
        </w:rPr>
      </w:pPr>
      <w:r>
        <w:rPr>
          <w:rFonts w:ascii="Arial" w:cs="Arial" w:eastAsia="Arial" w:hAnsi="Arial"/>
          <w:sz w:val="11"/>
          <w:szCs w:val="11"/>
          <w:color w:val="auto"/>
        </w:rPr>
        <w:t>The Nominating, Governance and Social Responsibility Committee will consider and evaluate nominees recommended by shareholders for election to the Board on the same basis as candidates from other sources if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57785</wp:posOffset>
            </wp:positionV>
            <wp:extent cx="3971925" cy="21717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29" w:lineRule="exact"/>
        <w:rPr>
          <w:sz w:val="20"/>
          <w:szCs w:val="20"/>
          <w:color w:val="auto"/>
        </w:rPr>
      </w:pPr>
    </w:p>
    <w:p>
      <w:pPr>
        <w:ind w:left="2040"/>
        <w:spacing w:after="0"/>
        <w:rPr>
          <w:sz w:val="20"/>
          <w:szCs w:val="20"/>
          <w:color w:val="auto"/>
        </w:rPr>
      </w:pPr>
      <w:r>
        <w:rPr>
          <w:rFonts w:ascii="Arial" w:cs="Arial" w:eastAsia="Arial" w:hAnsi="Arial"/>
          <w:sz w:val="12"/>
          <w:szCs w:val="12"/>
          <w:b w:val="1"/>
          <w:bCs w:val="1"/>
          <w:color w:val="FCFCFC"/>
        </w:rPr>
        <w:t>101</w:t>
      </w:r>
    </w:p>
    <w:p>
      <w:pPr>
        <w:sectPr>
          <w:pgSz w:w="11900" w:h="16838" w:orient="portrait"/>
          <w:cols w:equalWidth="0" w:num="1">
            <w:col w:w="10159"/>
          </w:cols>
          <w:pgMar w:left="300" w:top="372" w:right="1440" w:bottom="1440" w:gutter="0" w:footer="0" w:header="0"/>
        </w:sectPr>
      </w:pPr>
    </w:p>
    <w:bookmarkStart w:id="123" w:name="page124"/>
    <w:bookmarkEnd w:id="12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859"/>
        <w:spacing w:after="0" w:line="242" w:lineRule="auto"/>
        <w:rPr>
          <w:sz w:val="20"/>
          <w:szCs w:val="20"/>
          <w:color w:val="auto"/>
        </w:rPr>
      </w:pPr>
      <w:r>
        <w:rPr>
          <w:rFonts w:ascii="Arial" w:cs="Arial" w:eastAsia="Arial" w:hAnsi="Arial"/>
          <w:sz w:val="11"/>
          <w:szCs w:val="11"/>
          <w:color w:val="auto"/>
        </w:rPr>
        <w:t>nominations are made in accordance with the processes set forth below. The Nominating, Governance and Social Responsibility Committee uses multiple sources for identifying and evaluating nominees for director, including referrals from current directors, recommendations by shareholders and input from third-party executive search firms.</w:t>
      </w:r>
    </w:p>
    <w:p>
      <w:pPr>
        <w:spacing w:after="0" w:line="82" w:lineRule="exact"/>
        <w:rPr>
          <w:sz w:val="20"/>
          <w:szCs w:val="20"/>
          <w:color w:val="auto"/>
        </w:rPr>
      </w:pPr>
    </w:p>
    <w:p>
      <w:pPr>
        <w:ind w:left="1980" w:right="939"/>
        <w:spacing w:after="0" w:line="269" w:lineRule="auto"/>
        <w:rPr>
          <w:sz w:val="20"/>
          <w:szCs w:val="20"/>
          <w:color w:val="auto"/>
        </w:rPr>
      </w:pPr>
      <w:r>
        <w:rPr>
          <w:rFonts w:ascii="Arial" w:cs="Arial" w:eastAsia="Arial" w:hAnsi="Arial"/>
          <w:sz w:val="10"/>
          <w:szCs w:val="10"/>
          <w:b w:val="1"/>
          <w:bCs w:val="1"/>
          <w:i w:val="1"/>
          <w:iCs w:val="1"/>
          <w:color w:val="009BDE"/>
        </w:rPr>
        <w:t xml:space="preserve">Director Nominations to be made at the Annual Meeting. </w:t>
      </w:r>
      <w:r>
        <w:rPr>
          <w:rFonts w:ascii="Arial" w:cs="Arial" w:eastAsia="Arial" w:hAnsi="Arial"/>
          <w:sz w:val="10"/>
          <w:szCs w:val="10"/>
          <w:color w:val="000000"/>
        </w:rPr>
        <w:t>The Company’s By-Laws provide that shareholders may themselves nominate directors for</w:t>
      </w:r>
      <w:r>
        <w:rPr>
          <w:rFonts w:ascii="Arial" w:cs="Arial" w:eastAsia="Arial" w:hAnsi="Arial"/>
          <w:sz w:val="10"/>
          <w:szCs w:val="10"/>
          <w:b w:val="1"/>
          <w:bCs w:val="1"/>
          <w:i w:val="1"/>
          <w:iCs w:val="1"/>
          <w:color w:val="009BDE"/>
        </w:rPr>
        <w:t xml:space="preserve"> </w:t>
      </w:r>
      <w:r>
        <w:rPr>
          <w:rFonts w:ascii="Arial" w:cs="Arial" w:eastAsia="Arial" w:hAnsi="Arial"/>
          <w:sz w:val="10"/>
          <w:szCs w:val="10"/>
          <w:color w:val="000000"/>
        </w:rPr>
        <w:t>consideration at an annual meeting provided they give timely written notice to the Secretary of the Company. Notice must be received at the principal executive office of the Company not less than 90 days nor more than 120 days prior to the one-year anniversary date of the immediately preceding annual meeting of shareholders (provided that if the date of the annual meeting is advanced by more than 30 days prior to or delayed by more than</w:t>
      </w:r>
    </w:p>
    <w:p>
      <w:pPr>
        <w:ind w:left="1980" w:right="839"/>
        <w:spacing w:after="0" w:line="227" w:lineRule="auto"/>
        <w:rPr>
          <w:sz w:val="20"/>
          <w:szCs w:val="20"/>
          <w:color w:val="auto"/>
        </w:rPr>
      </w:pPr>
      <w:r>
        <w:rPr>
          <w:rFonts w:ascii="Arial" w:cs="Arial" w:eastAsia="Arial" w:hAnsi="Arial"/>
          <w:sz w:val="11"/>
          <w:szCs w:val="11"/>
          <w:color w:val="auto"/>
        </w:rPr>
        <w:t>30 days before or after such anniversary date, notice by the shareholder must be delivered not earlier than 120 days prior to the annual meeting and not later than (i) the ninetieth (90</w:t>
      </w:r>
      <w:r>
        <w:rPr>
          <w:rFonts w:ascii="Arial" w:cs="Arial" w:eastAsia="Arial" w:hAnsi="Arial"/>
          <w:sz w:val="16"/>
          <w:szCs w:val="16"/>
          <w:color w:val="auto"/>
          <w:vertAlign w:val="superscript"/>
        </w:rPr>
        <w:t>th</w:t>
      </w:r>
      <w:r>
        <w:rPr>
          <w:rFonts w:ascii="Arial" w:cs="Arial" w:eastAsia="Arial" w:hAnsi="Arial"/>
          <w:sz w:val="11"/>
          <w:szCs w:val="11"/>
          <w:color w:val="auto"/>
        </w:rPr>
        <w:t>) day prior to the date of such annual meeting or (ii) the tenth (10</w:t>
      </w:r>
      <w:r>
        <w:rPr>
          <w:rFonts w:ascii="Arial" w:cs="Arial" w:eastAsia="Arial" w:hAnsi="Arial"/>
          <w:sz w:val="16"/>
          <w:szCs w:val="16"/>
          <w:color w:val="auto"/>
          <w:vertAlign w:val="superscript"/>
        </w:rPr>
        <w:t>th</w:t>
      </w:r>
      <w:r>
        <w:rPr>
          <w:rFonts w:ascii="Arial" w:cs="Arial" w:eastAsia="Arial" w:hAnsi="Arial"/>
          <w:sz w:val="11"/>
          <w:szCs w:val="11"/>
          <w:color w:val="auto"/>
        </w:rPr>
        <w:t>) day following the day on which the notice of the date of the annual meeting was mailed or public disclosure of the date of the annual meeting was made, whichever first occurs). To be in proper form the notice must provide specified information regarding the proposed nominee and each shareholder proposing such nomination, as set forth in the Company’s By-Laws. As such, director nominations to be considered for the Company’s 2024 Annual Meeting of Shareholders must be submitted no earlier than January 19, 2024, and no later than February 18, 2024. Nominations made by shareholders in this manner are eligible to be presented by the shareholder to the meeting, but such nominees will not have been considered by the Nominating, Governance and Social Responsibility Committee as a nominee to be potentially supported by the Company and will not have been included in the Company’s proxy materials.</w:t>
      </w:r>
    </w:p>
    <w:p>
      <w:pPr>
        <w:spacing w:after="0" w:line="96" w:lineRule="exact"/>
        <w:rPr>
          <w:sz w:val="20"/>
          <w:szCs w:val="20"/>
          <w:color w:val="auto"/>
        </w:rPr>
      </w:pPr>
    </w:p>
    <w:p>
      <w:pPr>
        <w:jc w:val="both"/>
        <w:ind w:left="1980" w:right="979"/>
        <w:spacing w:after="0" w:line="242" w:lineRule="auto"/>
        <w:rPr>
          <w:sz w:val="20"/>
          <w:szCs w:val="20"/>
          <w:color w:val="auto"/>
        </w:rPr>
      </w:pPr>
      <w:r>
        <w:rPr>
          <w:rFonts w:ascii="Arial" w:cs="Arial" w:eastAsia="Arial" w:hAnsi="Arial"/>
          <w:sz w:val="11"/>
          <w:szCs w:val="11"/>
          <w:color w:val="auto"/>
        </w:rPr>
        <w:t>In addition to satisfying the foregoing requirements under Hasbro’s By-laws, to comply with the universal proxy rules, shareholders who intend to solicit proxies in support of director nominees other than the Company’s nominees must provide notice that sets forth the information required by Rule 14a-19 under the Exchange Act.</w:t>
      </w:r>
    </w:p>
    <w:p>
      <w:pPr>
        <w:spacing w:after="0" w:line="73" w:lineRule="exact"/>
        <w:rPr>
          <w:sz w:val="20"/>
          <w:szCs w:val="20"/>
          <w:color w:val="auto"/>
        </w:rPr>
      </w:pPr>
    </w:p>
    <w:p>
      <w:pPr>
        <w:ind w:left="1980" w:right="879"/>
        <w:spacing w:after="0" w:line="242" w:lineRule="auto"/>
        <w:rPr>
          <w:sz w:val="20"/>
          <w:szCs w:val="20"/>
          <w:color w:val="auto"/>
        </w:rPr>
      </w:pPr>
      <w:r>
        <w:rPr>
          <w:rFonts w:ascii="Arial" w:cs="Arial" w:eastAsia="Arial" w:hAnsi="Arial"/>
          <w:sz w:val="11"/>
          <w:szCs w:val="11"/>
          <w:b w:val="1"/>
          <w:bCs w:val="1"/>
          <w:i w:val="1"/>
          <w:iCs w:val="1"/>
          <w:color w:val="009BDE"/>
        </w:rPr>
        <w:t xml:space="preserve">Director Nominations to be Considered by the Company’s Nominating, Governance and Social Responsibility Committee. </w:t>
      </w:r>
      <w:r>
        <w:rPr>
          <w:rFonts w:ascii="Arial" w:cs="Arial" w:eastAsia="Arial" w:hAnsi="Arial"/>
          <w:sz w:val="11"/>
          <w:szCs w:val="11"/>
          <w:color w:val="000000"/>
        </w:rPr>
        <w:t>To be considered by</w:t>
      </w:r>
      <w:r>
        <w:rPr>
          <w:rFonts w:ascii="Arial" w:cs="Arial" w:eastAsia="Arial" w:hAnsi="Arial"/>
          <w:sz w:val="11"/>
          <w:szCs w:val="11"/>
          <w:b w:val="1"/>
          <w:bCs w:val="1"/>
          <w:i w:val="1"/>
          <w:iCs w:val="1"/>
          <w:color w:val="009BDE"/>
        </w:rPr>
        <w:t xml:space="preserve"> </w:t>
      </w:r>
      <w:r>
        <w:rPr>
          <w:rFonts w:ascii="Arial" w:cs="Arial" w:eastAsia="Arial" w:hAnsi="Arial"/>
          <w:sz w:val="11"/>
          <w:szCs w:val="11"/>
          <w:color w:val="000000"/>
        </w:rPr>
        <w:t>the Nominating, Governance and Social Responsibility Committee, director nominations must be submitted to the Chief Legal Officer and Corporate Secretary of the Company at the Company’s executive offices, 1011 Newport Avenue, Pawtucket, Rhode Island 02861 not less than ninety (90) days nor more than one hundred twenty (120) days prior to the one-year anniversary of the preceding year’s annual meeting. As such, director nominations to be considered for the Company’s 2024 Annual Meeting of Shareholders must be submitted no earlier than January 19, 2024 and no later than February 18, 2024. The Nominating, Governance and Social Responsibility Committee is only required to consider recommendations made by shareholders, or groups of shareholders, that have beneficially owned at least 1% of the Company’s Common Stock for at least one year prior to the date the shareholder(s) submit such candidate to the Nominating, Governance and Social Responsibility Committee and who undertake to continue to hold at least 1% of the Company’s Common Stock through the date of the next annual meeting. In addition, a nominating shareholder(s) may only submit one candidate to the Nominating, Governance and Social Responsibility Committee for consideration.</w:t>
      </w:r>
    </w:p>
    <w:p>
      <w:pPr>
        <w:spacing w:after="0" w:line="9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Submissions to the Nominating, Governance and Social Responsibility Committee should include:</w:t>
      </w:r>
    </w:p>
    <w:p>
      <w:pPr>
        <w:spacing w:after="0" w:line="144" w:lineRule="exact"/>
        <w:rPr>
          <w:sz w:val="20"/>
          <w:szCs w:val="20"/>
          <w:color w:val="auto"/>
        </w:rPr>
      </w:pPr>
    </w:p>
    <w:p>
      <w:pPr>
        <w:ind w:left="2120" w:hanging="148"/>
        <w:spacing w:after="0"/>
        <w:tabs>
          <w:tab w:leader="none" w:pos="212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as to each person whom the shareholder proposes to nominate for election or re-election as a director:</w:t>
      </w:r>
    </w:p>
    <w:p>
      <w:pPr>
        <w:spacing w:after="0" w:line="80" w:lineRule="exact"/>
        <w:rPr>
          <w:rFonts w:ascii="Arial" w:cs="Arial" w:eastAsia="Arial" w:hAnsi="Arial"/>
          <w:sz w:val="11"/>
          <w:szCs w:val="11"/>
          <w:color w:val="auto"/>
        </w:rPr>
      </w:pPr>
    </w:p>
    <w:p>
      <w:pPr>
        <w:ind w:left="2540" w:hanging="280"/>
        <w:spacing w:after="0"/>
        <w:tabs>
          <w:tab w:leader="none" w:pos="2540" w:val="left"/>
        </w:tabs>
        <w:numPr>
          <w:ilvl w:val="1"/>
          <w:numId w:val="106"/>
        </w:numPr>
        <w:rPr>
          <w:rFonts w:ascii="Arial" w:cs="Arial" w:eastAsia="Arial" w:hAnsi="Arial"/>
          <w:sz w:val="8"/>
          <w:szCs w:val="8"/>
          <w:color w:val="auto"/>
        </w:rPr>
      </w:pPr>
      <w:r>
        <w:rPr>
          <w:rFonts w:ascii="Arial" w:cs="Arial" w:eastAsia="Arial" w:hAnsi="Arial"/>
          <w:sz w:val="11"/>
          <w:szCs w:val="11"/>
          <w:color w:val="auto"/>
        </w:rPr>
        <w:t>the name, age, business address and residence address of the person;</w:t>
      </w:r>
    </w:p>
    <w:p>
      <w:pPr>
        <w:spacing w:after="0" w:line="80" w:lineRule="exact"/>
        <w:rPr>
          <w:rFonts w:ascii="Arial" w:cs="Arial" w:eastAsia="Arial" w:hAnsi="Arial"/>
          <w:sz w:val="8"/>
          <w:szCs w:val="8"/>
          <w:color w:val="auto"/>
        </w:rPr>
      </w:pPr>
    </w:p>
    <w:p>
      <w:pPr>
        <w:ind w:left="2540" w:hanging="280"/>
        <w:spacing w:after="0"/>
        <w:tabs>
          <w:tab w:leader="none" w:pos="2540" w:val="left"/>
        </w:tabs>
        <w:numPr>
          <w:ilvl w:val="1"/>
          <w:numId w:val="106"/>
        </w:numPr>
        <w:rPr>
          <w:rFonts w:ascii="Arial" w:cs="Arial" w:eastAsia="Arial" w:hAnsi="Arial"/>
          <w:sz w:val="8"/>
          <w:szCs w:val="8"/>
          <w:color w:val="auto"/>
        </w:rPr>
      </w:pPr>
      <w:r>
        <w:rPr>
          <w:rFonts w:ascii="Arial" w:cs="Arial" w:eastAsia="Arial" w:hAnsi="Arial"/>
          <w:sz w:val="11"/>
          <w:szCs w:val="11"/>
          <w:color w:val="auto"/>
        </w:rPr>
        <w:t>the principal occupation or employment of the person;</w:t>
      </w:r>
    </w:p>
    <w:p>
      <w:pPr>
        <w:spacing w:after="0" w:line="80" w:lineRule="exact"/>
        <w:rPr>
          <w:rFonts w:ascii="Arial" w:cs="Arial" w:eastAsia="Arial" w:hAnsi="Arial"/>
          <w:sz w:val="8"/>
          <w:szCs w:val="8"/>
          <w:color w:val="auto"/>
        </w:rPr>
      </w:pPr>
    </w:p>
    <w:p>
      <w:pPr>
        <w:ind w:left="2540" w:hanging="280"/>
        <w:spacing w:after="0"/>
        <w:tabs>
          <w:tab w:leader="none" w:pos="2540" w:val="left"/>
        </w:tabs>
        <w:numPr>
          <w:ilvl w:val="1"/>
          <w:numId w:val="106"/>
        </w:numPr>
        <w:rPr>
          <w:rFonts w:ascii="Arial" w:cs="Arial" w:eastAsia="Arial" w:hAnsi="Arial"/>
          <w:sz w:val="8"/>
          <w:szCs w:val="8"/>
          <w:color w:val="auto"/>
        </w:rPr>
      </w:pPr>
      <w:r>
        <w:rPr>
          <w:rFonts w:ascii="Arial" w:cs="Arial" w:eastAsia="Arial" w:hAnsi="Arial"/>
          <w:sz w:val="11"/>
          <w:szCs w:val="11"/>
          <w:color w:val="auto"/>
        </w:rPr>
        <w:t>the class or series and number of shares of capital stock of the Company that are owned beneficially or of record by the person;</w:t>
      </w:r>
    </w:p>
    <w:p>
      <w:pPr>
        <w:spacing w:after="0" w:line="80" w:lineRule="exact"/>
        <w:rPr>
          <w:rFonts w:ascii="Arial" w:cs="Arial" w:eastAsia="Arial" w:hAnsi="Arial"/>
          <w:sz w:val="8"/>
          <w:szCs w:val="8"/>
          <w:color w:val="auto"/>
        </w:rPr>
      </w:pPr>
    </w:p>
    <w:p>
      <w:pPr>
        <w:ind w:left="2540" w:right="879" w:hanging="280"/>
        <w:spacing w:after="0" w:line="242" w:lineRule="auto"/>
        <w:tabs>
          <w:tab w:leader="none" w:pos="2540" w:val="left"/>
        </w:tabs>
        <w:numPr>
          <w:ilvl w:val="1"/>
          <w:numId w:val="106"/>
        </w:numPr>
        <w:rPr>
          <w:rFonts w:ascii="Arial" w:cs="Arial" w:eastAsia="Arial" w:hAnsi="Arial"/>
          <w:sz w:val="8"/>
          <w:szCs w:val="8"/>
          <w:color w:val="auto"/>
        </w:rPr>
      </w:pPr>
      <w:r>
        <w:rPr>
          <w:rFonts w:ascii="Arial" w:cs="Arial" w:eastAsia="Arial" w:hAnsi="Arial"/>
          <w:sz w:val="11"/>
          <w:szCs w:val="11"/>
          <w:color w:val="auto"/>
        </w:rPr>
        <w:t>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w:t>
      </w:r>
    </w:p>
    <w:p>
      <w:pPr>
        <w:spacing w:after="0" w:line="76" w:lineRule="exact"/>
        <w:rPr>
          <w:rFonts w:ascii="Arial" w:cs="Arial" w:eastAsia="Arial" w:hAnsi="Arial"/>
          <w:sz w:val="8"/>
          <w:szCs w:val="8"/>
          <w:color w:val="auto"/>
        </w:rPr>
      </w:pPr>
    </w:p>
    <w:p>
      <w:pPr>
        <w:ind w:left="2540" w:right="1019" w:hanging="280"/>
        <w:spacing w:after="0" w:line="245" w:lineRule="auto"/>
        <w:tabs>
          <w:tab w:leader="none" w:pos="2540" w:val="left"/>
        </w:tabs>
        <w:numPr>
          <w:ilvl w:val="1"/>
          <w:numId w:val="106"/>
        </w:numPr>
        <w:rPr>
          <w:rFonts w:ascii="Arial" w:cs="Arial" w:eastAsia="Arial" w:hAnsi="Arial"/>
          <w:sz w:val="8"/>
          <w:szCs w:val="8"/>
          <w:color w:val="auto"/>
        </w:rPr>
      </w:pPr>
      <w:r>
        <w:rPr>
          <w:rFonts w:ascii="Arial" w:cs="Arial" w:eastAsia="Arial" w:hAnsi="Arial"/>
          <w:sz w:val="11"/>
          <w:szCs w:val="11"/>
          <w:color w:val="auto"/>
        </w:rPr>
        <w:t>confirmation that the candidate is independent under the Company’s Independence Standards and Nasdaq rules, or if the candidate is not independent under all such criteria, a description of the reasons why the candidate is not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57785</wp:posOffset>
            </wp:positionV>
            <wp:extent cx="3971925" cy="21717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29" w:lineRule="exact"/>
        <w:rPr>
          <w:sz w:val="20"/>
          <w:szCs w:val="20"/>
          <w:color w:val="auto"/>
        </w:rPr>
      </w:pPr>
    </w:p>
    <w:p>
      <w:pPr>
        <w:ind w:left="2040"/>
        <w:spacing w:after="0"/>
        <w:rPr>
          <w:sz w:val="20"/>
          <w:szCs w:val="20"/>
          <w:color w:val="auto"/>
        </w:rPr>
      </w:pPr>
      <w:r>
        <w:rPr>
          <w:rFonts w:ascii="Arial" w:cs="Arial" w:eastAsia="Arial" w:hAnsi="Arial"/>
          <w:sz w:val="12"/>
          <w:szCs w:val="12"/>
          <w:b w:val="1"/>
          <w:bCs w:val="1"/>
          <w:color w:val="FCFCFC"/>
        </w:rPr>
        <w:t>102</w:t>
      </w:r>
    </w:p>
    <w:p>
      <w:pPr>
        <w:sectPr>
          <w:pgSz w:w="11900" w:h="16838" w:orient="portrait"/>
          <w:cols w:equalWidth="0" w:num="1">
            <w:col w:w="10159"/>
          </w:cols>
          <w:pgMar w:left="300" w:top="372" w:right="1440" w:bottom="1440" w:gutter="0" w:footer="0" w:header="0"/>
        </w:sectPr>
      </w:pPr>
    </w:p>
    <w:bookmarkStart w:id="124" w:name="page125"/>
    <w:bookmarkEnd w:id="12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2120" w:hanging="148"/>
        <w:spacing w:after="0"/>
        <w:tabs>
          <w:tab w:leader="none" w:pos="2120" w:val="left"/>
        </w:tabs>
        <w:numPr>
          <w:ilvl w:val="0"/>
          <w:numId w:val="107"/>
        </w:numPr>
        <w:rPr>
          <w:rFonts w:ascii="Arial" w:cs="Arial" w:eastAsia="Arial" w:hAnsi="Arial"/>
          <w:sz w:val="11"/>
          <w:szCs w:val="11"/>
          <w:color w:val="auto"/>
        </w:rPr>
      </w:pPr>
      <w:r>
        <w:rPr>
          <w:rFonts w:ascii="Arial" w:cs="Arial" w:eastAsia="Arial" w:hAnsi="Arial"/>
          <w:sz w:val="11"/>
          <w:szCs w:val="11"/>
          <w:color w:val="auto"/>
        </w:rPr>
        <w:t>as to the shareholder(s) giving the notice:</w:t>
      </w:r>
    </w:p>
    <w:p>
      <w:pPr>
        <w:spacing w:after="0" w:line="80" w:lineRule="exact"/>
        <w:rPr>
          <w:rFonts w:ascii="Arial" w:cs="Arial" w:eastAsia="Arial" w:hAnsi="Arial"/>
          <w:sz w:val="11"/>
          <w:szCs w:val="11"/>
          <w:color w:val="auto"/>
        </w:rPr>
      </w:pPr>
    </w:p>
    <w:p>
      <w:pPr>
        <w:ind w:left="2540" w:hanging="280"/>
        <w:spacing w:after="0"/>
        <w:tabs>
          <w:tab w:leader="none" w:pos="2540" w:val="left"/>
        </w:tabs>
        <w:numPr>
          <w:ilvl w:val="1"/>
          <w:numId w:val="107"/>
        </w:numPr>
        <w:rPr>
          <w:rFonts w:ascii="Arial" w:cs="Arial" w:eastAsia="Arial" w:hAnsi="Arial"/>
          <w:sz w:val="8"/>
          <w:szCs w:val="8"/>
          <w:color w:val="auto"/>
        </w:rPr>
      </w:pPr>
      <w:r>
        <w:rPr>
          <w:rFonts w:ascii="Arial" w:cs="Arial" w:eastAsia="Arial" w:hAnsi="Arial"/>
          <w:sz w:val="11"/>
          <w:szCs w:val="11"/>
          <w:color w:val="auto"/>
        </w:rPr>
        <w:t>the name and record address of such shareholder(s) and each participant in any group of which such shareholder is a member;</w:t>
      </w:r>
    </w:p>
    <w:p>
      <w:pPr>
        <w:spacing w:after="0" w:line="80" w:lineRule="exact"/>
        <w:rPr>
          <w:rFonts w:ascii="Arial" w:cs="Arial" w:eastAsia="Arial" w:hAnsi="Arial"/>
          <w:sz w:val="8"/>
          <w:szCs w:val="8"/>
          <w:color w:val="auto"/>
        </w:rPr>
      </w:pPr>
    </w:p>
    <w:p>
      <w:pPr>
        <w:ind w:left="2540" w:right="899" w:hanging="280"/>
        <w:spacing w:after="0" w:line="245" w:lineRule="auto"/>
        <w:tabs>
          <w:tab w:leader="none" w:pos="2540" w:val="left"/>
        </w:tabs>
        <w:numPr>
          <w:ilvl w:val="1"/>
          <w:numId w:val="107"/>
        </w:numPr>
        <w:rPr>
          <w:rFonts w:ascii="Arial" w:cs="Arial" w:eastAsia="Arial" w:hAnsi="Arial"/>
          <w:sz w:val="8"/>
          <w:szCs w:val="8"/>
          <w:color w:val="auto"/>
        </w:rPr>
      </w:pPr>
      <w:r>
        <w:rPr>
          <w:rFonts w:ascii="Arial" w:cs="Arial" w:eastAsia="Arial" w:hAnsi="Arial"/>
          <w:sz w:val="11"/>
          <w:szCs w:val="11"/>
          <w:color w:val="auto"/>
        </w:rPr>
        <w:t>the class or series and number of shares of capital stock of the Company that are owned beneficially or of record by such shareholder(s) and each participant in any group of which such shareholder is a member;</w:t>
      </w:r>
    </w:p>
    <w:p>
      <w:pPr>
        <w:spacing w:after="0" w:line="74" w:lineRule="exact"/>
        <w:rPr>
          <w:rFonts w:ascii="Arial" w:cs="Arial" w:eastAsia="Arial" w:hAnsi="Arial"/>
          <w:sz w:val="8"/>
          <w:szCs w:val="8"/>
          <w:color w:val="auto"/>
        </w:rPr>
      </w:pPr>
    </w:p>
    <w:p>
      <w:pPr>
        <w:ind w:left="2540" w:right="899" w:hanging="280"/>
        <w:spacing w:after="0" w:line="245" w:lineRule="auto"/>
        <w:tabs>
          <w:tab w:leader="none" w:pos="2540" w:val="left"/>
        </w:tabs>
        <w:numPr>
          <w:ilvl w:val="1"/>
          <w:numId w:val="107"/>
        </w:numPr>
        <w:rPr>
          <w:rFonts w:ascii="Arial" w:cs="Arial" w:eastAsia="Arial" w:hAnsi="Arial"/>
          <w:sz w:val="8"/>
          <w:szCs w:val="8"/>
          <w:color w:val="auto"/>
        </w:rPr>
      </w:pPr>
      <w:r>
        <w:rPr>
          <w:rFonts w:ascii="Arial" w:cs="Arial" w:eastAsia="Arial" w:hAnsi="Arial"/>
          <w:sz w:val="11"/>
          <w:szCs w:val="11"/>
          <w:color w:val="auto"/>
        </w:rPr>
        <w:t>if the nominating shareholder is not a record holder of the shares of capital stock of the Company, evidence of ownership as provided in Rule 14a-8(b)(2) under the Exchange Act;</w:t>
      </w:r>
    </w:p>
    <w:p>
      <w:pPr>
        <w:spacing w:after="0" w:line="74" w:lineRule="exact"/>
        <w:rPr>
          <w:rFonts w:ascii="Arial" w:cs="Arial" w:eastAsia="Arial" w:hAnsi="Arial"/>
          <w:sz w:val="8"/>
          <w:szCs w:val="8"/>
          <w:color w:val="auto"/>
        </w:rPr>
      </w:pPr>
    </w:p>
    <w:p>
      <w:pPr>
        <w:ind w:left="2540" w:right="1159" w:hanging="280"/>
        <w:spacing w:after="0" w:line="245" w:lineRule="auto"/>
        <w:tabs>
          <w:tab w:leader="none" w:pos="2540" w:val="left"/>
        </w:tabs>
        <w:numPr>
          <w:ilvl w:val="1"/>
          <w:numId w:val="107"/>
        </w:numPr>
        <w:rPr>
          <w:rFonts w:ascii="Arial" w:cs="Arial" w:eastAsia="Arial" w:hAnsi="Arial"/>
          <w:sz w:val="8"/>
          <w:szCs w:val="8"/>
          <w:color w:val="auto"/>
        </w:rPr>
      </w:pPr>
      <w:r>
        <w:rPr>
          <w:rFonts w:ascii="Arial" w:cs="Arial" w:eastAsia="Arial" w:hAnsi="Arial"/>
          <w:sz w:val="11"/>
          <w:szCs w:val="11"/>
          <w:color w:val="auto"/>
        </w:rPr>
        <w:t>a description of all arrangements or understandings between such shareholder(s) and each proposed nominee and any other person or persons (including their names) pursuant to which the nomination(s) are to be made by such shareholder(s); and</w:t>
      </w:r>
    </w:p>
    <w:p>
      <w:pPr>
        <w:spacing w:after="0" w:line="74" w:lineRule="exact"/>
        <w:rPr>
          <w:rFonts w:ascii="Arial" w:cs="Arial" w:eastAsia="Arial" w:hAnsi="Arial"/>
          <w:sz w:val="8"/>
          <w:szCs w:val="8"/>
          <w:color w:val="auto"/>
        </w:rPr>
      </w:pPr>
    </w:p>
    <w:p>
      <w:pPr>
        <w:ind w:left="2540" w:right="859" w:hanging="280"/>
        <w:spacing w:after="0" w:line="242" w:lineRule="auto"/>
        <w:tabs>
          <w:tab w:leader="none" w:pos="2540" w:val="left"/>
        </w:tabs>
        <w:numPr>
          <w:ilvl w:val="1"/>
          <w:numId w:val="107"/>
        </w:numPr>
        <w:rPr>
          <w:rFonts w:ascii="Arial" w:cs="Arial" w:eastAsia="Arial" w:hAnsi="Arial"/>
          <w:sz w:val="8"/>
          <w:szCs w:val="8"/>
          <w:color w:val="auto"/>
        </w:rPr>
      </w:pPr>
      <w:r>
        <w:rPr>
          <w:rFonts w:ascii="Arial" w:cs="Arial" w:eastAsia="Arial" w:hAnsi="Arial"/>
          <w:sz w:val="11"/>
          <w:szCs w:val="11"/>
          <w:color w:val="auto"/>
        </w:rPr>
        <w:t>any other information relating to such shareholder(s) that would be required to be disclosed in a proxy statement or other filings required to be made in connection with solicitations of proxies for election of directors pursuant to Section 14 of the Exchange Act and the rules and regulations promulgated thereunder.</w:t>
      </w:r>
    </w:p>
    <w:p>
      <w:pPr>
        <w:spacing w:after="0" w:line="94" w:lineRule="exact"/>
        <w:rPr>
          <w:sz w:val="20"/>
          <w:szCs w:val="20"/>
          <w:color w:val="auto"/>
        </w:rPr>
      </w:pPr>
    </w:p>
    <w:p>
      <w:pPr>
        <w:ind w:left="1980" w:right="959"/>
        <w:spacing w:after="0" w:line="262" w:lineRule="auto"/>
        <w:rPr>
          <w:sz w:val="20"/>
          <w:szCs w:val="20"/>
          <w:color w:val="auto"/>
        </w:rPr>
      </w:pPr>
      <w:r>
        <w:rPr>
          <w:rFonts w:ascii="Arial" w:cs="Arial" w:eastAsia="Arial" w:hAnsi="Arial"/>
          <w:sz w:val="10"/>
          <w:szCs w:val="10"/>
          <w:color w:val="auto"/>
        </w:rPr>
        <w:t>The Nominating, Governance and Social Responsibility Committee may require that any proposed nominee for election to the Board furnish such other information as may reasonably be required by the Nominating, Governance and Social Responsibility Committee and the Company’s By-Laws to determine the eligibility of such proposed nominee to serve as director of the Company. The written notice from the nominating shareholder specifying a candidate to be considered as a nominee for election as a director must be accompanied by a written consent of each proposed nominee for director. In this written consent the nominee must consent to (i) being named as a nominee for director, (ii) serve as a director and represent all shareholders of the Company in accordance with applicable laws and the Company’s Articles of Incorporation, By-Laws and other policies if such nominee is elected,</w:t>
      </w:r>
    </w:p>
    <w:p>
      <w:pPr>
        <w:spacing w:after="0" w:line="3" w:lineRule="exact"/>
        <w:rPr>
          <w:sz w:val="20"/>
          <w:szCs w:val="20"/>
          <w:color w:val="auto"/>
        </w:rPr>
      </w:pPr>
    </w:p>
    <w:p>
      <w:pPr>
        <w:ind w:left="1980" w:right="899" w:hanging="8"/>
        <w:spacing w:after="0" w:line="245" w:lineRule="auto"/>
        <w:tabs>
          <w:tab w:leader="none" w:pos="2154" w:val="left"/>
        </w:tabs>
        <w:numPr>
          <w:ilvl w:val="0"/>
          <w:numId w:val="108"/>
        </w:numPr>
        <w:rPr>
          <w:rFonts w:ascii="Arial" w:cs="Arial" w:eastAsia="Arial" w:hAnsi="Arial"/>
          <w:sz w:val="11"/>
          <w:szCs w:val="11"/>
          <w:color w:val="auto"/>
        </w:rPr>
      </w:pPr>
      <w:r>
        <w:rPr>
          <w:rFonts w:ascii="Arial" w:cs="Arial" w:eastAsia="Arial" w:hAnsi="Arial"/>
          <w:sz w:val="11"/>
          <w:szCs w:val="11"/>
          <w:color w:val="auto"/>
        </w:rPr>
        <w:t>comply with all rules, policies or requirements generally applicable to non- employee directors of the Company, and (iv) complete and sign customary information requests upon the request of the Company.</w:t>
      </w:r>
    </w:p>
    <w:p>
      <w:pPr>
        <w:spacing w:after="0" w:line="81" w:lineRule="exact"/>
        <w:rPr>
          <w:sz w:val="20"/>
          <w:szCs w:val="20"/>
          <w:color w:val="auto"/>
        </w:rPr>
      </w:pPr>
    </w:p>
    <w:p>
      <w:pPr>
        <w:ind w:left="1980" w:right="919"/>
        <w:spacing w:after="0" w:line="253" w:lineRule="auto"/>
        <w:rPr>
          <w:sz w:val="20"/>
          <w:szCs w:val="20"/>
          <w:color w:val="auto"/>
        </w:rPr>
      </w:pPr>
      <w:r>
        <w:rPr>
          <w:rFonts w:ascii="Arial" w:cs="Arial" w:eastAsia="Arial" w:hAnsi="Arial"/>
          <w:sz w:val="11"/>
          <w:szCs w:val="11"/>
          <w:b w:val="1"/>
          <w:bCs w:val="1"/>
          <w:i w:val="1"/>
          <w:iCs w:val="1"/>
          <w:color w:val="009BDE"/>
        </w:rPr>
        <w:t xml:space="preserve">Director Nominations Under Proxy Access Bylaw. </w:t>
      </w:r>
      <w:r>
        <w:rPr>
          <w:rFonts w:ascii="Arial" w:cs="Arial" w:eastAsia="Arial" w:hAnsi="Arial"/>
          <w:sz w:val="11"/>
          <w:szCs w:val="11"/>
          <w:color w:val="000000"/>
        </w:rPr>
        <w:t>Under our proxy access bylaw, under certain circumstances, a shareholder or group of</w:t>
      </w:r>
      <w:r>
        <w:rPr>
          <w:rFonts w:ascii="Arial" w:cs="Arial" w:eastAsia="Arial" w:hAnsi="Arial"/>
          <w:sz w:val="11"/>
          <w:szCs w:val="11"/>
          <w:b w:val="1"/>
          <w:bCs w:val="1"/>
          <w:i w:val="1"/>
          <w:iCs w:val="1"/>
          <w:color w:val="009BDE"/>
        </w:rPr>
        <w:t xml:space="preserve"> </w:t>
      </w:r>
      <w:r>
        <w:rPr>
          <w:rFonts w:ascii="Arial" w:cs="Arial" w:eastAsia="Arial" w:hAnsi="Arial"/>
          <w:sz w:val="11"/>
          <w:szCs w:val="11"/>
          <w:color w:val="000000"/>
        </w:rPr>
        <w:t>shareholders may include director candidates that they have nominated in the Company’s proxy statement. Shareholders are referred to the By-Laws for the full details related to this procedure.</w:t>
      </w:r>
    </w:p>
    <w:p>
      <w:pPr>
        <w:spacing w:after="0" w:line="80" w:lineRule="exact"/>
        <w:rPr>
          <w:sz w:val="20"/>
          <w:szCs w:val="20"/>
          <w:color w:val="auto"/>
        </w:rPr>
      </w:pPr>
    </w:p>
    <w:p>
      <w:pPr>
        <w:ind w:left="1980" w:right="899"/>
        <w:spacing w:after="0"/>
        <w:rPr>
          <w:sz w:val="20"/>
          <w:szCs w:val="20"/>
          <w:color w:val="auto"/>
        </w:rPr>
      </w:pPr>
      <w:r>
        <w:rPr>
          <w:rFonts w:ascii="Arial" w:cs="Arial" w:eastAsia="Arial" w:hAnsi="Arial"/>
          <w:sz w:val="11"/>
          <w:szCs w:val="11"/>
          <w:color w:val="auto"/>
        </w:rPr>
        <w:t>The proxy access By-Law allows a shareholder or a group of up to twenty (20) shareholders, who has maintained continuous ownership of at least 3% of the voting power of the Company’s outstanding voting stock for at least 3 years, to include nominees for election to the Board of Directors in the Company’s proxy statement. Subject to compliance with the requirements of the proxy access By-Law provisions, the shareholder or group of shareholders may include director nominees for up to the greater of (i) 20% of the Board, rounded down to the nearest whole number, or (ii) 2 nominees. The nominating shareholder or group of shareholders must timely deliver notice to the Secretary of the shareholder nominee together with the other information required by our By-Laws, and each nominee must meet the qualifications required by our By-Laws.</w:t>
      </w:r>
    </w:p>
    <w:p>
      <w:pPr>
        <w:spacing w:after="0" w:line="96" w:lineRule="exact"/>
        <w:rPr>
          <w:sz w:val="20"/>
          <w:szCs w:val="20"/>
          <w:color w:val="auto"/>
        </w:rPr>
      </w:pPr>
    </w:p>
    <w:p>
      <w:pPr>
        <w:ind w:left="1980" w:right="859"/>
        <w:spacing w:after="0" w:line="267" w:lineRule="auto"/>
        <w:rPr>
          <w:sz w:val="20"/>
          <w:szCs w:val="20"/>
          <w:color w:val="auto"/>
        </w:rPr>
      </w:pPr>
      <w:r>
        <w:rPr>
          <w:rFonts w:ascii="Arial" w:cs="Arial" w:eastAsia="Arial" w:hAnsi="Arial"/>
          <w:sz w:val="10"/>
          <w:szCs w:val="10"/>
          <w:color w:val="auto"/>
        </w:rPr>
        <w:t>To be timely, the notice to include shareholder-nominated candidates in the Company’s proxy materials to the Secretary must be delivered to or mailed and received at the principal executive offices of the Company not less than ninety (90) days nor more than one hundred and twenty (120) days prior to the one-year anniversary date of the immediately preceding annual meeting of shareholders (provided that if the date of the annual meeting is advanced more than thirty (30) days prior to or delayed by more than thirty (30) days after such anniversary date, notice by the shareholder to be timely must be so delivered not earlier than the one hundred twentieth (120th) day prior to such annual meeting and not later than the later of (x) the ninetieth (90th) day prior to the date of such annual meeting or (y) the tenth (10th) day following the day on which notice of the date of the annual meeting was mailed or public disclosure of the date of the annual meeting was made, whichever first occurs). As such, requests to include shareholder-nominated candidates in our proxy materials for the 2024 annual meeting must be received by our Secretary no earlier than January 19, 2024 and no later than February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52070</wp:posOffset>
            </wp:positionV>
            <wp:extent cx="3971925" cy="21717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20" w:lineRule="exact"/>
        <w:rPr>
          <w:sz w:val="20"/>
          <w:szCs w:val="20"/>
          <w:color w:val="auto"/>
        </w:rPr>
      </w:pPr>
    </w:p>
    <w:p>
      <w:pPr>
        <w:ind w:left="2040"/>
        <w:spacing w:after="0"/>
        <w:rPr>
          <w:sz w:val="20"/>
          <w:szCs w:val="20"/>
          <w:color w:val="auto"/>
        </w:rPr>
      </w:pPr>
      <w:r>
        <w:rPr>
          <w:rFonts w:ascii="Arial" w:cs="Arial" w:eastAsia="Arial" w:hAnsi="Arial"/>
          <w:sz w:val="12"/>
          <w:szCs w:val="12"/>
          <w:b w:val="1"/>
          <w:bCs w:val="1"/>
          <w:color w:val="FCFCFC"/>
        </w:rPr>
        <w:t>103</w:t>
      </w:r>
    </w:p>
    <w:p>
      <w:pPr>
        <w:sectPr>
          <w:pgSz w:w="11900" w:h="16838" w:orient="portrait"/>
          <w:cols w:equalWidth="0" w:num="1">
            <w:col w:w="10159"/>
          </w:cols>
          <w:pgMar w:left="300" w:top="372" w:right="1440" w:bottom="1440" w:gutter="0" w:footer="0" w:header="0"/>
        </w:sectPr>
      </w:pPr>
    </w:p>
    <w:bookmarkStart w:id="125" w:name="page126"/>
    <w:bookmarkEnd w:id="12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136525</wp:posOffset>
            </wp:positionV>
            <wp:extent cx="4663440" cy="26860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4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Other Business</w:t>
      </w:r>
    </w:p>
    <w:p>
      <w:pPr>
        <w:spacing w:after="0" w:line="282" w:lineRule="exact"/>
        <w:rPr>
          <w:sz w:val="20"/>
          <w:szCs w:val="20"/>
          <w:color w:val="auto"/>
        </w:rPr>
      </w:pPr>
    </w:p>
    <w:p>
      <w:pPr>
        <w:ind w:left="1980" w:right="879"/>
        <w:spacing w:after="0" w:line="242" w:lineRule="auto"/>
        <w:rPr>
          <w:sz w:val="20"/>
          <w:szCs w:val="20"/>
          <w:color w:val="auto"/>
        </w:rPr>
      </w:pPr>
      <w:r>
        <w:rPr>
          <w:rFonts w:ascii="Arial" w:cs="Arial" w:eastAsia="Arial" w:hAnsi="Arial"/>
          <w:sz w:val="11"/>
          <w:szCs w:val="11"/>
          <w:color w:val="auto"/>
        </w:rPr>
        <w:t>Management knows of no other matters that may be presented to the Annual Meeting. However, if any other matter properly comes before the Annual Meeting, or any adjournment or postponement thereof, it is intended that proxies in the accompanying form will be voted in accordance with the judgment of the persons named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26860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3"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Important Notice Regarding Delivery of Shareholder Documents</w:t>
      </w:r>
    </w:p>
    <w:p>
      <w:pPr>
        <w:spacing w:after="0" w:line="282" w:lineRule="exact"/>
        <w:rPr>
          <w:sz w:val="20"/>
          <w:szCs w:val="20"/>
          <w:color w:val="auto"/>
        </w:rPr>
      </w:pPr>
    </w:p>
    <w:p>
      <w:pPr>
        <w:ind w:left="1980" w:right="859"/>
        <w:spacing w:after="0" w:line="239" w:lineRule="auto"/>
        <w:rPr>
          <w:sz w:val="20"/>
          <w:szCs w:val="20"/>
          <w:color w:val="auto"/>
        </w:rPr>
      </w:pPr>
      <w:r>
        <w:rPr>
          <w:rFonts w:ascii="Arial" w:cs="Arial" w:eastAsia="Arial" w:hAnsi="Arial"/>
          <w:sz w:val="11"/>
          <w:szCs w:val="11"/>
          <w:color w:val="auto"/>
        </w:rPr>
        <w:t>In accordance with a notice sent to certain street name shareholders of our Common Stock who share a single address, only one copy of the Notice of Internet Availability of Proxy Materials or proxy materials for the year ended December 25, 2022 is being sent to that address unless we received contrary instructions from any shareholder at that address. This practice, known as “householding,” is designed to reduce our printing and postage costs and environmental footprint. However, if any shareholder residing at such an address wishes to receive a separate copy of the Notice of Internet Availability of the Proxy Materials, the Proxy Statement or our Annual Report on Form 10-K for the year ended December 25, 2022, he or she may contact Debbie Hancock, Senior Vice President of Investor Relations, Hasbro, Inc., 1011 Newport Avenue, Pawtucket, Rhode Island 02861, phone (401) 727-5401, and we will deliver those documents to such shareholder promptly upon receiving the request. Any such shareholder may also contact our Investor Relations Department using the above contact information if he or she would like to receive separate Notices of the Internet Availability of Proxy Materials or proxy statements and annual reports in the future. If you are receiving multiple copies of our Notice of Internet Availability of the Proxy Materials, annual report or proxy statement at the same address, and would like to only receive one copy, you may request householding in the future by contacting the Investor Relations Department using the above 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153670</wp:posOffset>
            </wp:positionV>
            <wp:extent cx="4663440" cy="26860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8"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Shareholder Communications</w:t>
      </w:r>
    </w:p>
    <w:p>
      <w:pPr>
        <w:spacing w:after="0" w:line="273" w:lineRule="exact"/>
        <w:rPr>
          <w:sz w:val="20"/>
          <w:szCs w:val="20"/>
          <w:color w:val="auto"/>
        </w:rPr>
      </w:pPr>
    </w:p>
    <w:p>
      <w:pPr>
        <w:jc w:val="both"/>
        <w:ind w:left="1980" w:right="899"/>
        <w:spacing w:after="0" w:line="241" w:lineRule="auto"/>
        <w:rPr>
          <w:sz w:val="20"/>
          <w:szCs w:val="20"/>
          <w:color w:val="auto"/>
        </w:rPr>
      </w:pPr>
      <w:r>
        <w:rPr>
          <w:rFonts w:ascii="Arial" w:cs="Arial" w:eastAsia="Arial" w:hAnsi="Arial"/>
          <w:sz w:val="11"/>
          <w:szCs w:val="11"/>
          <w:color w:val="auto"/>
        </w:rPr>
        <w:t>We always welcome constructive engagement and feedback from our shareholders. Shareholders or interested parties desiring to communicate directly with the Board, a Board committee or any such other individual director or directors may do so confidentially by sending correspondence, c/o Chair of the Board, Hasbro, Inc., P.O. Box 497, Pawtucket, Rhode Island 02861. All such communications will be reviewed and forwarded to the designated recipient or recipients in a timely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99695</wp:posOffset>
            </wp:positionV>
            <wp:extent cx="4663440" cy="26860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182"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Cost and Manner of Solicitation</w:t>
      </w:r>
    </w:p>
    <w:p>
      <w:pPr>
        <w:spacing w:after="0" w:line="282"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The cost of soliciting proxies in the accompanying form has been or will be borne by the Company. In addition to solicitation by mail, arrangements will be made with brokerage houses and other custodians, nominees and fiduciaries to send proxies and proxy material to their principals and the Company will reimburse them for any reasonable expenses incurred in connection therewith. The Company has also retained Morrow Sodali LLC, 333 Ludlow Street, 5th Floor, Stamford CT 06902 to aid in the solicitation of proxies at an estimated cost of $12,500 plus reimbursement of reasonable out-of-pocket expenses. In addition to use of mail, proxies may be solicited by officers and employees of the Company or of Morrow Sodali LLC in person or by telephone.</w:t>
      </w:r>
    </w:p>
    <w:p>
      <w:pPr>
        <w:spacing w:after="0" w:line="9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50165</wp:posOffset>
            </wp:positionV>
            <wp:extent cx="662940" cy="22860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662940" cy="22860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Tarrant Sibley</w:t>
      </w:r>
    </w:p>
    <w:p>
      <w:pPr>
        <w:spacing w:after="0" w:line="1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Executive Vice President, Chief Legal Officer &amp; Corporate Secretary</w:t>
      </w:r>
    </w:p>
    <w:p>
      <w:pPr>
        <w:spacing w:after="0" w:line="9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Dated: April 3, 2023</w:t>
      </w:r>
    </w:p>
    <w:p>
      <w:pPr>
        <w:ind w:left="1980"/>
        <w:spacing w:after="0"/>
        <w:rPr>
          <w:sz w:val="20"/>
          <w:szCs w:val="20"/>
          <w:color w:val="auto"/>
        </w:rPr>
      </w:pPr>
      <w:r>
        <w:rPr>
          <w:rFonts w:ascii="Arial" w:cs="Arial" w:eastAsia="Arial" w:hAnsi="Arial"/>
          <w:sz w:val="11"/>
          <w:szCs w:val="11"/>
          <w:color w:val="auto"/>
        </w:rPr>
        <w:t>Pawtucket, Rhode Island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61595</wp:posOffset>
            </wp:positionV>
            <wp:extent cx="3971925" cy="21717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5" w:lineRule="exact"/>
        <w:rPr>
          <w:sz w:val="20"/>
          <w:szCs w:val="20"/>
          <w:color w:val="auto"/>
        </w:rPr>
      </w:pPr>
    </w:p>
    <w:p>
      <w:pPr>
        <w:ind w:left="2040"/>
        <w:spacing w:after="0"/>
        <w:rPr>
          <w:sz w:val="20"/>
          <w:szCs w:val="20"/>
          <w:color w:val="auto"/>
        </w:rPr>
      </w:pPr>
      <w:r>
        <w:rPr>
          <w:rFonts w:ascii="Arial" w:cs="Arial" w:eastAsia="Arial" w:hAnsi="Arial"/>
          <w:sz w:val="12"/>
          <w:szCs w:val="12"/>
          <w:b w:val="1"/>
          <w:bCs w:val="1"/>
          <w:color w:val="FCFCFC"/>
        </w:rPr>
        <w:t>104</w:t>
      </w:r>
    </w:p>
    <w:p>
      <w:pPr>
        <w:sectPr>
          <w:pgSz w:w="11900" w:h="16838" w:orient="portrait"/>
          <w:cols w:equalWidth="0" w:num="1">
            <w:col w:w="10159"/>
          </w:cols>
          <w:pgMar w:left="300" w:top="372" w:right="1440" w:bottom="1440" w:gutter="0" w:footer="0" w:header="0"/>
        </w:sectPr>
      </w:pPr>
    </w:p>
    <w:bookmarkStart w:id="126" w:name="page127"/>
    <w:bookmarkEnd w:id="12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Appendix A — GAAP to Non-GAAP Reconciliation</w:t>
      </w:r>
    </w:p>
    <w:p>
      <w:pPr>
        <w:spacing w:after="0" w:line="142" w:lineRule="exact"/>
        <w:rPr>
          <w:sz w:val="20"/>
          <w:szCs w:val="20"/>
          <w:color w:val="auto"/>
        </w:rPr>
      </w:pPr>
    </w:p>
    <w:p>
      <w:pPr>
        <w:ind w:left="1980" w:right="919"/>
        <w:spacing w:after="0" w:line="242" w:lineRule="auto"/>
        <w:rPr>
          <w:sz w:val="20"/>
          <w:szCs w:val="20"/>
          <w:color w:val="auto"/>
        </w:rPr>
      </w:pPr>
      <w:r>
        <w:rPr>
          <w:rFonts w:ascii="Arial" w:cs="Arial" w:eastAsia="Arial" w:hAnsi="Arial"/>
          <w:sz w:val="11"/>
          <w:szCs w:val="11"/>
          <w:color w:val="auto"/>
        </w:rPr>
        <w:t>The Company has used non-GAAP financial measures as defined under SEC rules, specifically adjusted operating profit, adjusted net earnings, and adjusted net earnings per diluted share. We caution investors that our definition and use of these non-GAAP financial measures may not be the same as similar measures used by other companies.</w:t>
      </w:r>
    </w:p>
    <w:p>
      <w:pPr>
        <w:spacing w:after="0" w:line="67" w:lineRule="exact"/>
        <w:rPr>
          <w:sz w:val="20"/>
          <w:szCs w:val="20"/>
          <w:color w:val="auto"/>
        </w:rPr>
      </w:pPr>
    </w:p>
    <w:p>
      <w:pPr>
        <w:ind w:left="1980" w:right="899"/>
        <w:spacing w:after="0" w:line="270" w:lineRule="auto"/>
        <w:rPr>
          <w:sz w:val="20"/>
          <w:szCs w:val="20"/>
          <w:color w:val="auto"/>
        </w:rPr>
      </w:pPr>
      <w:r>
        <w:rPr>
          <w:rFonts w:ascii="Arial" w:cs="Arial" w:eastAsia="Arial" w:hAnsi="Arial"/>
          <w:sz w:val="10"/>
          <w:szCs w:val="10"/>
          <w:color w:val="auto"/>
        </w:rPr>
        <w:t>As required by SEC rules, the Company has provided reconciliations of these measures to the most directly comparable GAAP measure. Management believes that adjusted net earnings, adjusted net earnings per diluted share and adjusted operating profit provides investors with an understanding of the underlying performance of our business absent unusual events. These non-GAAP measures should be considered in addition to, not as a substitute for, or superior to, net earnings or other measures of financial performance prepared in accordance with GAAP as more fully discussed in our consolidated financial statements and filings with the SEC. As used herein, “GAAP” refers to accounting principles generally accepted in the United States of America.</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Reconciliation of as Reported to Adjusted Operating Results</w:t>
      </w:r>
    </w:p>
    <w:p>
      <w:pPr>
        <w:spacing w:after="0" w:line="85"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(Unaudited)</w:t>
      </w:r>
    </w:p>
    <w:p>
      <w:pPr>
        <w:spacing w:after="0" w:line="12"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153035</wp:posOffset>
            </wp:positionV>
            <wp:extent cx="4663440" cy="26860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7"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Non-GAAP Adjustments Impacting Operating Profit</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212"/>
        </w:trPr>
        <w:tc>
          <w:tcPr>
            <w:tcW w:w="2340" w:type="dxa"/>
            <w:vAlign w:val="bottom"/>
            <w:tcBorders>
              <w:top w:val="single" w:sz="8" w:color="0060ED"/>
            </w:tcBorders>
            <w:shd w:val="clear" w:color="auto" w:fill="CCEBF8"/>
          </w:tcPr>
          <w:p>
            <w:pPr>
              <w:spacing w:after="0"/>
              <w:rPr>
                <w:sz w:val="18"/>
                <w:szCs w:val="18"/>
                <w:color w:val="auto"/>
              </w:rPr>
            </w:pPr>
          </w:p>
        </w:tc>
        <w:tc>
          <w:tcPr>
            <w:tcW w:w="440" w:type="dxa"/>
            <w:vAlign w:val="bottom"/>
            <w:tcBorders>
              <w:top w:val="single" w:sz="8" w:color="0060ED"/>
            </w:tcBorders>
            <w:shd w:val="clear" w:color="auto" w:fill="CCEBF8"/>
          </w:tcPr>
          <w:p>
            <w:pPr>
              <w:spacing w:after="0"/>
              <w:rPr>
                <w:sz w:val="18"/>
                <w:szCs w:val="18"/>
                <w:color w:val="auto"/>
              </w:rPr>
            </w:pPr>
          </w:p>
        </w:tc>
        <w:tc>
          <w:tcPr>
            <w:tcW w:w="500" w:type="dxa"/>
            <w:vAlign w:val="bottom"/>
            <w:tcBorders>
              <w:top w:val="single" w:sz="8" w:color="0060ED"/>
            </w:tcBorders>
            <w:shd w:val="clear" w:color="auto" w:fill="CCEBF8"/>
          </w:tcPr>
          <w:p>
            <w:pPr>
              <w:spacing w:after="0"/>
              <w:rPr>
                <w:sz w:val="18"/>
                <w:szCs w:val="18"/>
                <w:color w:val="auto"/>
              </w:rPr>
            </w:pPr>
          </w:p>
        </w:tc>
        <w:tc>
          <w:tcPr>
            <w:tcW w:w="340" w:type="dxa"/>
            <w:vAlign w:val="bottom"/>
            <w:tcBorders>
              <w:top w:val="single" w:sz="8" w:color="0060ED"/>
            </w:tcBorders>
            <w:shd w:val="clear" w:color="auto" w:fill="CCEBF8"/>
          </w:tcPr>
          <w:p>
            <w:pPr>
              <w:spacing w:after="0"/>
              <w:rPr>
                <w:sz w:val="18"/>
                <w:szCs w:val="18"/>
                <w:color w:val="auto"/>
              </w:rPr>
            </w:pPr>
          </w:p>
        </w:tc>
        <w:tc>
          <w:tcPr>
            <w:tcW w:w="480" w:type="dxa"/>
            <w:vAlign w:val="bottom"/>
            <w:tcBorders>
              <w:top w:val="single" w:sz="8" w:color="0060ED"/>
            </w:tcBorders>
            <w:shd w:val="clear" w:color="auto" w:fill="CCEBF8"/>
          </w:tcPr>
          <w:p>
            <w:pPr>
              <w:spacing w:after="0"/>
              <w:rPr>
                <w:sz w:val="18"/>
                <w:szCs w:val="18"/>
                <w:color w:val="auto"/>
              </w:rPr>
            </w:pPr>
          </w:p>
        </w:tc>
        <w:tc>
          <w:tcPr>
            <w:tcW w:w="340" w:type="dxa"/>
            <w:vAlign w:val="bottom"/>
            <w:tcBorders>
              <w:top w:val="single" w:sz="8" w:color="0060ED"/>
            </w:tcBorders>
            <w:shd w:val="clear" w:color="auto" w:fill="CCEBF8"/>
          </w:tcPr>
          <w:p>
            <w:pPr>
              <w:spacing w:after="0"/>
              <w:rPr>
                <w:sz w:val="18"/>
                <w:szCs w:val="18"/>
                <w:color w:val="auto"/>
              </w:rPr>
            </w:pPr>
          </w:p>
        </w:tc>
        <w:tc>
          <w:tcPr>
            <w:tcW w:w="820" w:type="dxa"/>
            <w:vAlign w:val="bottom"/>
            <w:tcBorders>
              <w:top w:val="single" w:sz="8" w:color="0060ED"/>
            </w:tcBorders>
            <w:gridSpan w:val="2"/>
            <w:shd w:val="clear" w:color="auto" w:fill="CCEBF8"/>
          </w:tcPr>
          <w:p>
            <w:pPr>
              <w:jc w:val="right"/>
              <w:spacing w:after="0"/>
              <w:rPr>
                <w:sz w:val="20"/>
                <w:szCs w:val="20"/>
                <w:color w:val="auto"/>
              </w:rPr>
            </w:pPr>
            <w:r>
              <w:rPr>
                <w:rFonts w:ascii="Arial" w:cs="Arial" w:eastAsia="Arial" w:hAnsi="Arial"/>
                <w:sz w:val="11"/>
                <w:szCs w:val="11"/>
                <w:b w:val="1"/>
                <w:bCs w:val="1"/>
                <w:color w:val="009BDE"/>
              </w:rPr>
              <w:t>Year Ended</w:t>
            </w:r>
          </w:p>
        </w:tc>
        <w:tc>
          <w:tcPr>
            <w:tcW w:w="500" w:type="dxa"/>
            <w:vAlign w:val="bottom"/>
            <w:tcBorders>
              <w:top w:val="single" w:sz="8" w:color="0060ED"/>
            </w:tcBorders>
            <w:shd w:val="clear" w:color="auto" w:fill="CCEBF8"/>
          </w:tcPr>
          <w:p>
            <w:pPr>
              <w:spacing w:after="0"/>
              <w:rPr>
                <w:sz w:val="18"/>
                <w:szCs w:val="18"/>
                <w:color w:val="auto"/>
              </w:rPr>
            </w:pPr>
          </w:p>
        </w:tc>
        <w:tc>
          <w:tcPr>
            <w:tcW w:w="840" w:type="dxa"/>
            <w:vAlign w:val="bottom"/>
            <w:tcBorders>
              <w:top w:val="single" w:sz="8" w:color="0060ED"/>
            </w:tcBorders>
            <w:shd w:val="clear" w:color="auto" w:fill="CCEBF8"/>
          </w:tcPr>
          <w:p>
            <w:pPr>
              <w:spacing w:after="0"/>
              <w:rPr>
                <w:sz w:val="18"/>
                <w:szCs w:val="18"/>
                <w:color w:val="auto"/>
              </w:rPr>
            </w:pPr>
          </w:p>
        </w:tc>
        <w:tc>
          <w:tcPr>
            <w:tcW w:w="740" w:type="dxa"/>
            <w:vAlign w:val="bottom"/>
            <w:tcBorders>
              <w:top w:val="single" w:sz="8" w:color="0060ED"/>
            </w:tcBorders>
            <w:shd w:val="clear" w:color="auto" w:fill="CCEBF8"/>
          </w:tcPr>
          <w:p>
            <w:pPr>
              <w:spacing w:after="0"/>
              <w:rPr>
                <w:sz w:val="18"/>
                <w:szCs w:val="18"/>
                <w:color w:val="auto"/>
              </w:rPr>
            </w:pPr>
          </w:p>
        </w:tc>
      </w:tr>
      <w:tr>
        <w:trPr>
          <w:trHeight w:val="189"/>
        </w:trPr>
        <w:tc>
          <w:tcPr>
            <w:tcW w:w="2340" w:type="dxa"/>
            <w:vAlign w:val="bottom"/>
            <w:shd w:val="clear" w:color="auto" w:fill="CCEBF8"/>
          </w:tcPr>
          <w:p>
            <w:pPr>
              <w:spacing w:after="0"/>
              <w:rPr>
                <w:sz w:val="16"/>
                <w:szCs w:val="16"/>
                <w:color w:val="auto"/>
              </w:rPr>
            </w:pPr>
          </w:p>
        </w:tc>
        <w:tc>
          <w:tcPr>
            <w:tcW w:w="440" w:type="dxa"/>
            <w:vAlign w:val="bottom"/>
            <w:shd w:val="clear" w:color="auto" w:fill="CCEBF8"/>
          </w:tcPr>
          <w:p>
            <w:pPr>
              <w:spacing w:after="0"/>
              <w:rPr>
                <w:sz w:val="16"/>
                <w:szCs w:val="16"/>
                <w:color w:val="auto"/>
              </w:rPr>
            </w:pPr>
          </w:p>
        </w:tc>
        <w:tc>
          <w:tcPr>
            <w:tcW w:w="1320" w:type="dxa"/>
            <w:vAlign w:val="bottom"/>
            <w:gridSpan w:val="3"/>
            <w:shd w:val="clear" w:color="auto" w:fill="CCEBF8"/>
          </w:tcPr>
          <w:p>
            <w:pPr>
              <w:jc w:val="right"/>
              <w:ind w:right="286"/>
              <w:spacing w:after="0"/>
              <w:rPr>
                <w:sz w:val="20"/>
                <w:szCs w:val="20"/>
                <w:color w:val="auto"/>
              </w:rPr>
            </w:pPr>
            <w:r>
              <w:rPr>
                <w:rFonts w:ascii="Arial" w:cs="Arial" w:eastAsia="Arial" w:hAnsi="Arial"/>
                <w:sz w:val="11"/>
                <w:szCs w:val="11"/>
                <w:b w:val="1"/>
                <w:bCs w:val="1"/>
                <w:color w:val="009BDE"/>
                <w:w w:val="96"/>
              </w:rPr>
              <w:t>December 25, 2022</w:t>
            </w:r>
          </w:p>
        </w:tc>
        <w:tc>
          <w:tcPr>
            <w:tcW w:w="340" w:type="dxa"/>
            <w:vAlign w:val="bottom"/>
            <w:shd w:val="clear" w:color="auto" w:fill="CCEBF8"/>
          </w:tcPr>
          <w:p>
            <w:pPr>
              <w:spacing w:after="0"/>
              <w:rPr>
                <w:sz w:val="16"/>
                <w:szCs w:val="16"/>
                <w:color w:val="auto"/>
              </w:rPr>
            </w:pPr>
          </w:p>
        </w:tc>
        <w:tc>
          <w:tcPr>
            <w:tcW w:w="1320" w:type="dxa"/>
            <w:vAlign w:val="bottom"/>
            <w:gridSpan w:val="3"/>
            <w:shd w:val="clear" w:color="auto" w:fill="CCEBF8"/>
          </w:tcPr>
          <w:p>
            <w:pPr>
              <w:jc w:val="right"/>
              <w:ind w:right="286"/>
              <w:spacing w:after="0"/>
              <w:rPr>
                <w:sz w:val="20"/>
                <w:szCs w:val="20"/>
                <w:color w:val="auto"/>
              </w:rPr>
            </w:pPr>
            <w:r>
              <w:rPr>
                <w:rFonts w:ascii="Arial" w:cs="Arial" w:eastAsia="Arial" w:hAnsi="Arial"/>
                <w:sz w:val="11"/>
                <w:szCs w:val="11"/>
                <w:b w:val="1"/>
                <w:bCs w:val="1"/>
                <w:color w:val="009BDE"/>
                <w:w w:val="96"/>
              </w:rPr>
              <w:t>December 26, 2021</w:t>
            </w:r>
          </w:p>
        </w:tc>
        <w:tc>
          <w:tcPr>
            <w:tcW w:w="1580" w:type="dxa"/>
            <w:vAlign w:val="bottom"/>
            <w:gridSpan w:val="2"/>
            <w:shd w:val="clear" w:color="auto" w:fill="CCEBF8"/>
          </w:tcPr>
          <w:p>
            <w:pPr>
              <w:jc w:val="right"/>
              <w:ind w:right="206"/>
              <w:spacing w:after="0"/>
              <w:rPr>
                <w:sz w:val="20"/>
                <w:szCs w:val="20"/>
                <w:color w:val="auto"/>
              </w:rPr>
            </w:pPr>
            <w:r>
              <w:rPr>
                <w:rFonts w:ascii="Arial" w:cs="Arial" w:eastAsia="Arial" w:hAnsi="Arial"/>
                <w:sz w:val="11"/>
                <w:szCs w:val="11"/>
                <w:b w:val="1"/>
                <w:bCs w:val="1"/>
                <w:color w:val="009BDE"/>
              </w:rPr>
              <w:t>December 27, 2020</w:t>
            </w:r>
          </w:p>
        </w:tc>
      </w:tr>
      <w:tr>
        <w:trPr>
          <w:trHeight w:val="173"/>
        </w:trPr>
        <w:tc>
          <w:tcPr>
            <w:tcW w:w="2340" w:type="dxa"/>
            <w:vAlign w:val="bottom"/>
            <w:shd w:val="clear" w:color="auto" w:fill="CCEBF8"/>
          </w:tcPr>
          <w:p>
            <w:pPr>
              <w:spacing w:after="0"/>
              <w:rPr>
                <w:sz w:val="15"/>
                <w:szCs w:val="15"/>
                <w:color w:val="auto"/>
              </w:rPr>
            </w:pPr>
          </w:p>
        </w:tc>
        <w:tc>
          <w:tcPr>
            <w:tcW w:w="940" w:type="dxa"/>
            <w:vAlign w:val="bottom"/>
            <w:gridSpan w:val="2"/>
            <w:shd w:val="clear" w:color="auto" w:fill="CCEBF8"/>
          </w:tcPr>
          <w:p>
            <w:pPr>
              <w:jc w:val="right"/>
              <w:ind w:right="186"/>
              <w:spacing w:after="0"/>
              <w:rPr>
                <w:sz w:val="20"/>
                <w:szCs w:val="20"/>
                <w:color w:val="auto"/>
              </w:rPr>
            </w:pPr>
            <w:r>
              <w:rPr>
                <w:rFonts w:ascii="Arial" w:cs="Arial" w:eastAsia="Arial" w:hAnsi="Arial"/>
                <w:sz w:val="11"/>
                <w:szCs w:val="11"/>
                <w:b w:val="1"/>
                <w:bCs w:val="1"/>
                <w:color w:val="009BDE"/>
              </w:rPr>
              <w:t>Pre-tax</w:t>
            </w:r>
          </w:p>
        </w:tc>
        <w:tc>
          <w:tcPr>
            <w:tcW w:w="820" w:type="dxa"/>
            <w:vAlign w:val="bottom"/>
            <w:gridSpan w:val="2"/>
            <w:shd w:val="clear" w:color="auto" w:fill="CCEBF8"/>
          </w:tcPr>
          <w:p>
            <w:pPr>
              <w:jc w:val="right"/>
              <w:ind w:right="146"/>
              <w:spacing w:after="0"/>
              <w:rPr>
                <w:sz w:val="20"/>
                <w:szCs w:val="20"/>
                <w:color w:val="auto"/>
              </w:rPr>
            </w:pPr>
            <w:r>
              <w:rPr>
                <w:rFonts w:ascii="Arial" w:cs="Arial" w:eastAsia="Arial" w:hAnsi="Arial"/>
                <w:sz w:val="11"/>
                <w:szCs w:val="11"/>
                <w:b w:val="1"/>
                <w:bCs w:val="1"/>
                <w:color w:val="009BDE"/>
              </w:rPr>
              <w:t>Post-tax</w:t>
            </w:r>
          </w:p>
        </w:tc>
        <w:tc>
          <w:tcPr>
            <w:tcW w:w="820" w:type="dxa"/>
            <w:vAlign w:val="bottom"/>
            <w:gridSpan w:val="2"/>
            <w:shd w:val="clear" w:color="auto" w:fill="CCEBF8"/>
          </w:tcPr>
          <w:p>
            <w:pPr>
              <w:jc w:val="right"/>
              <w:ind w:right="166"/>
              <w:spacing w:after="0"/>
              <w:rPr>
                <w:sz w:val="20"/>
                <w:szCs w:val="20"/>
                <w:color w:val="auto"/>
              </w:rPr>
            </w:pPr>
            <w:r>
              <w:rPr>
                <w:rFonts w:ascii="Arial" w:cs="Arial" w:eastAsia="Arial" w:hAnsi="Arial"/>
                <w:sz w:val="11"/>
                <w:szCs w:val="11"/>
                <w:b w:val="1"/>
                <w:bCs w:val="1"/>
                <w:color w:val="009BDE"/>
              </w:rPr>
              <w:t>Pre-tax</w:t>
            </w:r>
          </w:p>
        </w:tc>
        <w:tc>
          <w:tcPr>
            <w:tcW w:w="840" w:type="dxa"/>
            <w:vAlign w:val="bottom"/>
            <w:gridSpan w:val="2"/>
            <w:shd w:val="clear" w:color="auto" w:fill="CCEBF8"/>
          </w:tcPr>
          <w:p>
            <w:pPr>
              <w:jc w:val="right"/>
              <w:ind w:right="146"/>
              <w:spacing w:after="0"/>
              <w:rPr>
                <w:sz w:val="20"/>
                <w:szCs w:val="20"/>
                <w:color w:val="auto"/>
              </w:rPr>
            </w:pPr>
            <w:r>
              <w:rPr>
                <w:rFonts w:ascii="Arial" w:cs="Arial" w:eastAsia="Arial" w:hAnsi="Arial"/>
                <w:sz w:val="11"/>
                <w:szCs w:val="11"/>
                <w:b w:val="1"/>
                <w:bCs w:val="1"/>
                <w:color w:val="009BDE"/>
              </w:rPr>
              <w:t>Post-tax</w:t>
            </w:r>
          </w:p>
        </w:tc>
        <w:tc>
          <w:tcPr>
            <w:tcW w:w="840" w:type="dxa"/>
            <w:vAlign w:val="bottom"/>
            <w:shd w:val="clear" w:color="auto" w:fill="CCEBF8"/>
          </w:tcPr>
          <w:p>
            <w:pPr>
              <w:jc w:val="right"/>
              <w:ind w:right="186"/>
              <w:spacing w:after="0"/>
              <w:rPr>
                <w:sz w:val="20"/>
                <w:szCs w:val="20"/>
                <w:color w:val="auto"/>
              </w:rPr>
            </w:pPr>
            <w:r>
              <w:rPr>
                <w:rFonts w:ascii="Arial" w:cs="Arial" w:eastAsia="Arial" w:hAnsi="Arial"/>
                <w:sz w:val="11"/>
                <w:szCs w:val="11"/>
                <w:b w:val="1"/>
                <w:bCs w:val="1"/>
                <w:color w:val="009BDE"/>
              </w:rPr>
              <w:t>Pre-tax</w:t>
            </w:r>
          </w:p>
        </w:tc>
        <w:tc>
          <w:tcPr>
            <w:tcW w:w="740" w:type="dxa"/>
            <w:vAlign w:val="bottom"/>
            <w:shd w:val="clear" w:color="auto" w:fill="CCEBF8"/>
          </w:tcPr>
          <w:p>
            <w:pPr>
              <w:jc w:val="right"/>
              <w:ind w:right="66"/>
              <w:spacing w:after="0"/>
              <w:rPr>
                <w:sz w:val="20"/>
                <w:szCs w:val="20"/>
                <w:color w:val="auto"/>
              </w:rPr>
            </w:pPr>
            <w:r>
              <w:rPr>
                <w:rFonts w:ascii="Arial" w:cs="Arial" w:eastAsia="Arial" w:hAnsi="Arial"/>
                <w:sz w:val="11"/>
                <w:szCs w:val="11"/>
                <w:b w:val="1"/>
                <w:bCs w:val="1"/>
                <w:color w:val="009BDE"/>
              </w:rPr>
              <w:t>Post-tax</w:t>
            </w:r>
          </w:p>
        </w:tc>
      </w:tr>
      <w:tr>
        <w:trPr>
          <w:trHeight w:val="142"/>
        </w:trPr>
        <w:tc>
          <w:tcPr>
            <w:tcW w:w="2340" w:type="dxa"/>
            <w:vAlign w:val="bottom"/>
            <w:shd w:val="clear" w:color="auto" w:fill="CCEBF8"/>
          </w:tcPr>
          <w:p>
            <w:pPr>
              <w:spacing w:after="0"/>
              <w:rPr>
                <w:sz w:val="12"/>
                <w:szCs w:val="12"/>
                <w:color w:val="auto"/>
              </w:rPr>
            </w:pPr>
          </w:p>
        </w:tc>
        <w:tc>
          <w:tcPr>
            <w:tcW w:w="940" w:type="dxa"/>
            <w:vAlign w:val="bottom"/>
            <w:gridSpan w:val="2"/>
            <w:shd w:val="clear" w:color="auto" w:fill="CCEBF8"/>
          </w:tcPr>
          <w:p>
            <w:pPr>
              <w:jc w:val="right"/>
              <w:ind w:right="46"/>
              <w:spacing w:after="0"/>
              <w:rPr>
                <w:sz w:val="20"/>
                <w:szCs w:val="20"/>
                <w:color w:val="auto"/>
              </w:rPr>
            </w:pPr>
            <w:r>
              <w:rPr>
                <w:rFonts w:ascii="Arial" w:cs="Arial" w:eastAsia="Arial" w:hAnsi="Arial"/>
                <w:sz w:val="11"/>
                <w:szCs w:val="11"/>
                <w:b w:val="1"/>
                <w:bCs w:val="1"/>
                <w:color w:val="009BDE"/>
              </w:rPr>
              <w:t>adjustments</w:t>
            </w:r>
          </w:p>
        </w:tc>
        <w:tc>
          <w:tcPr>
            <w:tcW w:w="820" w:type="dxa"/>
            <w:vAlign w:val="bottom"/>
            <w:gridSpan w:val="2"/>
            <w:shd w:val="clear" w:color="auto" w:fill="CCEBF8"/>
          </w:tcPr>
          <w:p>
            <w:pPr>
              <w:jc w:val="right"/>
              <w:ind w:right="46"/>
              <w:spacing w:after="0"/>
              <w:rPr>
                <w:sz w:val="20"/>
                <w:szCs w:val="20"/>
                <w:color w:val="auto"/>
              </w:rPr>
            </w:pPr>
            <w:r>
              <w:rPr>
                <w:rFonts w:ascii="Arial" w:cs="Arial" w:eastAsia="Arial" w:hAnsi="Arial"/>
                <w:sz w:val="11"/>
                <w:szCs w:val="11"/>
                <w:b w:val="1"/>
                <w:bCs w:val="1"/>
                <w:color w:val="009BDE"/>
              </w:rPr>
              <w:t>adjustments</w:t>
            </w:r>
          </w:p>
        </w:tc>
        <w:tc>
          <w:tcPr>
            <w:tcW w:w="820" w:type="dxa"/>
            <w:vAlign w:val="bottom"/>
            <w:gridSpan w:val="2"/>
            <w:shd w:val="clear" w:color="auto" w:fill="CCEBF8"/>
          </w:tcPr>
          <w:p>
            <w:pPr>
              <w:jc w:val="right"/>
              <w:ind w:right="26"/>
              <w:spacing w:after="0"/>
              <w:rPr>
                <w:sz w:val="20"/>
                <w:szCs w:val="20"/>
                <w:color w:val="auto"/>
              </w:rPr>
            </w:pPr>
            <w:r>
              <w:rPr>
                <w:rFonts w:ascii="Arial" w:cs="Arial" w:eastAsia="Arial" w:hAnsi="Arial"/>
                <w:sz w:val="11"/>
                <w:szCs w:val="11"/>
                <w:b w:val="1"/>
                <w:bCs w:val="1"/>
                <w:color w:val="009BDE"/>
              </w:rPr>
              <w:t>adjustments</w:t>
            </w:r>
          </w:p>
        </w:tc>
        <w:tc>
          <w:tcPr>
            <w:tcW w:w="840" w:type="dxa"/>
            <w:vAlign w:val="bottom"/>
            <w:gridSpan w:val="2"/>
            <w:shd w:val="clear" w:color="auto" w:fill="CCEBF8"/>
          </w:tcPr>
          <w:p>
            <w:pPr>
              <w:jc w:val="right"/>
              <w:ind w:right="46"/>
              <w:spacing w:after="0"/>
              <w:rPr>
                <w:sz w:val="20"/>
                <w:szCs w:val="20"/>
                <w:color w:val="auto"/>
              </w:rPr>
            </w:pPr>
            <w:r>
              <w:rPr>
                <w:rFonts w:ascii="Arial" w:cs="Arial" w:eastAsia="Arial" w:hAnsi="Arial"/>
                <w:sz w:val="11"/>
                <w:szCs w:val="11"/>
                <w:b w:val="1"/>
                <w:bCs w:val="1"/>
                <w:color w:val="009BDE"/>
              </w:rPr>
              <w:t>adjustments</w:t>
            </w:r>
          </w:p>
        </w:tc>
        <w:tc>
          <w:tcPr>
            <w:tcW w:w="840" w:type="dxa"/>
            <w:vAlign w:val="bottom"/>
            <w:shd w:val="clear" w:color="auto" w:fill="CCEBF8"/>
          </w:tcPr>
          <w:p>
            <w:pPr>
              <w:jc w:val="right"/>
              <w:ind w:right="46"/>
              <w:spacing w:after="0"/>
              <w:rPr>
                <w:sz w:val="20"/>
                <w:szCs w:val="20"/>
                <w:color w:val="auto"/>
              </w:rPr>
            </w:pPr>
            <w:r>
              <w:rPr>
                <w:rFonts w:ascii="Arial" w:cs="Arial" w:eastAsia="Arial" w:hAnsi="Arial"/>
                <w:sz w:val="11"/>
                <w:szCs w:val="11"/>
                <w:b w:val="1"/>
                <w:bCs w:val="1"/>
                <w:color w:val="009BDE"/>
              </w:rPr>
              <w:t>adjustments</w:t>
            </w:r>
          </w:p>
        </w:tc>
        <w:tc>
          <w:tcPr>
            <w:tcW w:w="740" w:type="dxa"/>
            <w:vAlign w:val="bottom"/>
            <w:shd w:val="clear" w:color="auto" w:fill="CCEBF8"/>
          </w:tcPr>
          <w:p>
            <w:pPr>
              <w:jc w:val="right"/>
              <w:spacing w:after="0"/>
              <w:rPr>
                <w:sz w:val="20"/>
                <w:szCs w:val="20"/>
                <w:color w:val="auto"/>
              </w:rPr>
            </w:pPr>
            <w:r>
              <w:rPr>
                <w:rFonts w:ascii="Arial" w:cs="Arial" w:eastAsia="Arial" w:hAnsi="Arial"/>
                <w:sz w:val="11"/>
                <w:szCs w:val="11"/>
                <w:b w:val="1"/>
                <w:bCs w:val="1"/>
                <w:color w:val="009BDE"/>
              </w:rPr>
              <w:t>adjustments</w:t>
            </w:r>
          </w:p>
        </w:tc>
      </w:tr>
      <w:tr>
        <w:trPr>
          <w:trHeight w:val="94"/>
        </w:trPr>
        <w:tc>
          <w:tcPr>
            <w:tcW w:w="2340" w:type="dxa"/>
            <w:vAlign w:val="bottom"/>
            <w:tcBorders>
              <w:bottom w:val="single" w:sz="8" w:color="009BDE"/>
            </w:tcBorders>
            <w:shd w:val="clear" w:color="auto" w:fill="CCEBF8"/>
          </w:tcPr>
          <w:p>
            <w:pPr>
              <w:spacing w:after="0"/>
              <w:rPr>
                <w:sz w:val="8"/>
                <w:szCs w:val="8"/>
                <w:color w:val="auto"/>
              </w:rPr>
            </w:pPr>
          </w:p>
        </w:tc>
        <w:tc>
          <w:tcPr>
            <w:tcW w:w="440" w:type="dxa"/>
            <w:vAlign w:val="bottom"/>
            <w:tcBorders>
              <w:bottom w:val="single" w:sz="8" w:color="009BDE"/>
            </w:tcBorders>
            <w:shd w:val="clear" w:color="auto" w:fill="CCEBF8"/>
          </w:tcPr>
          <w:p>
            <w:pPr>
              <w:spacing w:after="0"/>
              <w:rPr>
                <w:sz w:val="8"/>
                <w:szCs w:val="8"/>
                <w:color w:val="auto"/>
              </w:rPr>
            </w:pPr>
          </w:p>
        </w:tc>
        <w:tc>
          <w:tcPr>
            <w:tcW w:w="500" w:type="dxa"/>
            <w:vAlign w:val="bottom"/>
            <w:tcBorders>
              <w:bottom w:val="single" w:sz="8" w:color="009BDE"/>
            </w:tcBorders>
            <w:shd w:val="clear" w:color="auto" w:fill="CCEBF8"/>
          </w:tcPr>
          <w:p>
            <w:pPr>
              <w:spacing w:after="0"/>
              <w:rPr>
                <w:sz w:val="8"/>
                <w:szCs w:val="8"/>
                <w:color w:val="auto"/>
              </w:rPr>
            </w:pPr>
          </w:p>
        </w:tc>
        <w:tc>
          <w:tcPr>
            <w:tcW w:w="340" w:type="dxa"/>
            <w:vAlign w:val="bottom"/>
            <w:tcBorders>
              <w:bottom w:val="single" w:sz="8" w:color="009BDE"/>
            </w:tcBorders>
            <w:shd w:val="clear" w:color="auto" w:fill="CCEBF8"/>
          </w:tcPr>
          <w:p>
            <w:pPr>
              <w:spacing w:after="0"/>
              <w:rPr>
                <w:sz w:val="8"/>
                <w:szCs w:val="8"/>
                <w:color w:val="auto"/>
              </w:rPr>
            </w:pPr>
          </w:p>
        </w:tc>
        <w:tc>
          <w:tcPr>
            <w:tcW w:w="480" w:type="dxa"/>
            <w:vAlign w:val="bottom"/>
            <w:tcBorders>
              <w:bottom w:val="single" w:sz="8" w:color="009BDE"/>
            </w:tcBorders>
            <w:shd w:val="clear" w:color="auto" w:fill="CCEBF8"/>
          </w:tcPr>
          <w:p>
            <w:pPr>
              <w:spacing w:after="0"/>
              <w:rPr>
                <w:sz w:val="8"/>
                <w:szCs w:val="8"/>
                <w:color w:val="auto"/>
              </w:rPr>
            </w:pPr>
          </w:p>
        </w:tc>
        <w:tc>
          <w:tcPr>
            <w:tcW w:w="340" w:type="dxa"/>
            <w:vAlign w:val="bottom"/>
            <w:tcBorders>
              <w:bottom w:val="single" w:sz="8" w:color="009BDE"/>
            </w:tcBorders>
            <w:shd w:val="clear" w:color="auto" w:fill="CCEBF8"/>
          </w:tcPr>
          <w:p>
            <w:pPr>
              <w:spacing w:after="0"/>
              <w:rPr>
                <w:sz w:val="8"/>
                <w:szCs w:val="8"/>
                <w:color w:val="auto"/>
              </w:rPr>
            </w:pPr>
          </w:p>
        </w:tc>
        <w:tc>
          <w:tcPr>
            <w:tcW w:w="480" w:type="dxa"/>
            <w:vAlign w:val="bottom"/>
            <w:tcBorders>
              <w:bottom w:val="single" w:sz="8" w:color="009BDE"/>
            </w:tcBorders>
            <w:shd w:val="clear" w:color="auto" w:fill="CCEBF8"/>
          </w:tcPr>
          <w:p>
            <w:pPr>
              <w:spacing w:after="0"/>
              <w:rPr>
                <w:sz w:val="8"/>
                <w:szCs w:val="8"/>
                <w:color w:val="auto"/>
              </w:rPr>
            </w:pPr>
          </w:p>
        </w:tc>
        <w:tc>
          <w:tcPr>
            <w:tcW w:w="340" w:type="dxa"/>
            <w:vAlign w:val="bottom"/>
            <w:tcBorders>
              <w:bottom w:val="single" w:sz="8" w:color="009BDE"/>
            </w:tcBorders>
            <w:shd w:val="clear" w:color="auto" w:fill="CCEBF8"/>
          </w:tcPr>
          <w:p>
            <w:pPr>
              <w:spacing w:after="0"/>
              <w:rPr>
                <w:sz w:val="8"/>
                <w:szCs w:val="8"/>
                <w:color w:val="auto"/>
              </w:rPr>
            </w:pPr>
          </w:p>
        </w:tc>
        <w:tc>
          <w:tcPr>
            <w:tcW w:w="500" w:type="dxa"/>
            <w:vAlign w:val="bottom"/>
            <w:tcBorders>
              <w:bottom w:val="single" w:sz="8" w:color="009BDE"/>
            </w:tcBorders>
            <w:shd w:val="clear" w:color="auto" w:fill="CCEBF8"/>
          </w:tcPr>
          <w:p>
            <w:pPr>
              <w:spacing w:after="0"/>
              <w:rPr>
                <w:sz w:val="8"/>
                <w:szCs w:val="8"/>
                <w:color w:val="auto"/>
              </w:rPr>
            </w:pPr>
          </w:p>
        </w:tc>
        <w:tc>
          <w:tcPr>
            <w:tcW w:w="840" w:type="dxa"/>
            <w:vAlign w:val="bottom"/>
            <w:tcBorders>
              <w:bottom w:val="single" w:sz="8" w:color="009BDE"/>
            </w:tcBorders>
            <w:shd w:val="clear" w:color="auto" w:fill="CCEBF8"/>
          </w:tcPr>
          <w:p>
            <w:pPr>
              <w:spacing w:after="0"/>
              <w:rPr>
                <w:sz w:val="8"/>
                <w:szCs w:val="8"/>
                <w:color w:val="auto"/>
              </w:rPr>
            </w:pPr>
          </w:p>
        </w:tc>
        <w:tc>
          <w:tcPr>
            <w:tcW w:w="740" w:type="dxa"/>
            <w:vAlign w:val="bottom"/>
            <w:tcBorders>
              <w:bottom w:val="single" w:sz="8" w:color="009BDE"/>
            </w:tcBorders>
            <w:shd w:val="clear" w:color="auto" w:fill="CCEBF8"/>
          </w:tcPr>
          <w:p>
            <w:pPr>
              <w:spacing w:after="0"/>
              <w:rPr>
                <w:sz w:val="8"/>
                <w:szCs w:val="8"/>
                <w:color w:val="auto"/>
              </w:rPr>
            </w:pPr>
          </w:p>
        </w:tc>
      </w:tr>
      <w:tr>
        <w:trPr>
          <w:trHeight w:val="183"/>
        </w:trPr>
        <w:tc>
          <w:tcPr>
            <w:tcW w:w="2340" w:type="dxa"/>
            <w:vAlign w:val="bottom"/>
          </w:tcPr>
          <w:p>
            <w:pPr>
              <w:ind w:left="40"/>
              <w:spacing w:after="0"/>
              <w:rPr>
                <w:sz w:val="20"/>
                <w:szCs w:val="20"/>
                <w:color w:val="auto"/>
              </w:rPr>
            </w:pPr>
            <w:r>
              <w:rPr>
                <w:rFonts w:ascii="Arial" w:cs="Arial" w:eastAsia="Arial" w:hAnsi="Arial"/>
                <w:sz w:val="11"/>
                <w:szCs w:val="11"/>
                <w:color w:val="auto"/>
              </w:rPr>
              <w:t>eOne Acquisition and Related Costs(1)</w:t>
            </w: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14,603</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12,945</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7,688</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6,662</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$218,566</w:t>
            </w:r>
          </w:p>
        </w:tc>
        <w:tc>
          <w:tcPr>
            <w:tcW w:w="740" w:type="dxa"/>
            <w:vAlign w:val="bottom"/>
          </w:tcPr>
          <w:p>
            <w:pPr>
              <w:jc w:val="right"/>
              <w:spacing w:after="0"/>
              <w:rPr>
                <w:sz w:val="20"/>
                <w:szCs w:val="20"/>
                <w:color w:val="auto"/>
              </w:rPr>
            </w:pPr>
            <w:r>
              <w:rPr>
                <w:rFonts w:ascii="Arial" w:cs="Arial" w:eastAsia="Arial" w:hAnsi="Arial"/>
                <w:sz w:val="11"/>
                <w:szCs w:val="11"/>
                <w:color w:val="auto"/>
              </w:rPr>
              <w:t>$188,557</w:t>
            </w:r>
          </w:p>
        </w:tc>
      </w:tr>
      <w:tr>
        <w:trPr>
          <w:trHeight w:val="67"/>
        </w:trPr>
        <w:tc>
          <w:tcPr>
            <w:tcW w:w="234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40" w:type="dxa"/>
            <w:vAlign w:val="bottom"/>
            <w:tcBorders>
              <w:bottom w:val="single" w:sz="8" w:color="009BDE"/>
            </w:tcBorders>
          </w:tcPr>
          <w:p>
            <w:pPr>
              <w:spacing w:after="0"/>
              <w:rPr>
                <w:sz w:val="5"/>
                <w:szCs w:val="5"/>
                <w:color w:val="auto"/>
              </w:rPr>
            </w:pPr>
          </w:p>
        </w:tc>
      </w:tr>
      <w:tr>
        <w:trPr>
          <w:trHeight w:val="183"/>
        </w:trPr>
        <w:tc>
          <w:tcPr>
            <w:tcW w:w="2340" w:type="dxa"/>
            <w:vAlign w:val="bottom"/>
          </w:tcPr>
          <w:p>
            <w:pPr>
              <w:ind w:left="40"/>
              <w:spacing w:after="0"/>
              <w:rPr>
                <w:sz w:val="20"/>
                <w:szCs w:val="20"/>
                <w:color w:val="auto"/>
              </w:rPr>
            </w:pPr>
            <w:r>
              <w:rPr>
                <w:rFonts w:ascii="Arial" w:cs="Arial" w:eastAsia="Arial" w:hAnsi="Arial"/>
                <w:sz w:val="11"/>
                <w:szCs w:val="11"/>
                <w:color w:val="auto"/>
              </w:rPr>
              <w:t>Acquired Intangible Amortization(2)</w:t>
            </w:r>
          </w:p>
        </w:tc>
        <w:tc>
          <w:tcPr>
            <w:tcW w:w="440" w:type="dxa"/>
            <w:vAlign w:val="bottom"/>
          </w:tcPr>
          <w:p>
            <w:pPr>
              <w:spacing w:after="0"/>
              <w:rPr>
                <w:sz w:val="15"/>
                <w:szCs w:val="15"/>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71,416</w:t>
            </w:r>
          </w:p>
        </w:tc>
        <w:tc>
          <w:tcPr>
            <w:tcW w:w="340" w:type="dxa"/>
            <w:vAlign w:val="bottom"/>
          </w:tcPr>
          <w:p>
            <w:pPr>
              <w:spacing w:after="0"/>
              <w:rPr>
                <w:sz w:val="15"/>
                <w:szCs w:val="15"/>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59,411</w:t>
            </w:r>
          </w:p>
        </w:tc>
        <w:tc>
          <w:tcPr>
            <w:tcW w:w="340" w:type="dxa"/>
            <w:vAlign w:val="bottom"/>
          </w:tcPr>
          <w:p>
            <w:pPr>
              <w:spacing w:after="0"/>
              <w:rPr>
                <w:sz w:val="15"/>
                <w:szCs w:val="15"/>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84,983</w:t>
            </w:r>
          </w:p>
        </w:tc>
        <w:tc>
          <w:tcPr>
            <w:tcW w:w="340" w:type="dxa"/>
            <w:vAlign w:val="bottom"/>
          </w:tcPr>
          <w:p>
            <w:pPr>
              <w:spacing w:after="0"/>
              <w:rPr>
                <w:sz w:val="15"/>
                <w:szCs w:val="15"/>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70,370</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97,856</w:t>
            </w:r>
          </w:p>
        </w:tc>
        <w:tc>
          <w:tcPr>
            <w:tcW w:w="740" w:type="dxa"/>
            <w:vAlign w:val="bottom"/>
          </w:tcPr>
          <w:p>
            <w:pPr>
              <w:jc w:val="right"/>
              <w:spacing w:after="0"/>
              <w:rPr>
                <w:sz w:val="20"/>
                <w:szCs w:val="20"/>
                <w:color w:val="auto"/>
              </w:rPr>
            </w:pPr>
            <w:r>
              <w:rPr>
                <w:rFonts w:ascii="Arial" w:cs="Arial" w:eastAsia="Arial" w:hAnsi="Arial"/>
                <w:sz w:val="11"/>
                <w:szCs w:val="11"/>
                <w:color w:val="auto"/>
              </w:rPr>
              <w:t>80,731</w:t>
            </w:r>
          </w:p>
        </w:tc>
      </w:tr>
      <w:tr>
        <w:trPr>
          <w:trHeight w:val="67"/>
        </w:trPr>
        <w:tc>
          <w:tcPr>
            <w:tcW w:w="234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40" w:type="dxa"/>
            <w:vAlign w:val="bottom"/>
            <w:tcBorders>
              <w:bottom w:val="single" w:sz="8" w:color="009BDE"/>
            </w:tcBorders>
          </w:tcPr>
          <w:p>
            <w:pPr>
              <w:spacing w:after="0"/>
              <w:rPr>
                <w:sz w:val="5"/>
                <w:szCs w:val="5"/>
                <w:color w:val="auto"/>
              </w:rPr>
            </w:pPr>
          </w:p>
        </w:tc>
      </w:tr>
      <w:tr>
        <w:trPr>
          <w:trHeight w:val="183"/>
        </w:trPr>
        <w:tc>
          <w:tcPr>
            <w:tcW w:w="2340" w:type="dxa"/>
            <w:vAlign w:val="bottom"/>
          </w:tcPr>
          <w:p>
            <w:pPr>
              <w:ind w:left="40"/>
              <w:spacing w:after="0"/>
              <w:rPr>
                <w:sz w:val="20"/>
                <w:szCs w:val="20"/>
                <w:color w:val="auto"/>
              </w:rPr>
            </w:pPr>
            <w:r>
              <w:rPr>
                <w:rFonts w:ascii="Arial" w:cs="Arial" w:eastAsia="Arial" w:hAnsi="Arial"/>
                <w:sz w:val="11"/>
                <w:szCs w:val="11"/>
                <w:color w:val="auto"/>
              </w:rPr>
              <w:t>Severance(3)</w:t>
            </w:r>
          </w:p>
        </w:tc>
        <w:tc>
          <w:tcPr>
            <w:tcW w:w="440" w:type="dxa"/>
            <w:vAlign w:val="bottom"/>
          </w:tcPr>
          <w:p>
            <w:pPr>
              <w:spacing w:after="0"/>
              <w:rPr>
                <w:sz w:val="15"/>
                <w:szCs w:val="15"/>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8,470</w:t>
            </w:r>
          </w:p>
        </w:tc>
        <w:tc>
          <w:tcPr>
            <w:tcW w:w="740" w:type="dxa"/>
            <w:vAlign w:val="bottom"/>
          </w:tcPr>
          <w:p>
            <w:pPr>
              <w:jc w:val="right"/>
              <w:spacing w:after="0"/>
              <w:rPr>
                <w:sz w:val="20"/>
                <w:szCs w:val="20"/>
                <w:color w:val="auto"/>
              </w:rPr>
            </w:pPr>
            <w:r>
              <w:rPr>
                <w:rFonts w:ascii="Arial" w:cs="Arial" w:eastAsia="Arial" w:hAnsi="Arial"/>
                <w:sz w:val="11"/>
                <w:szCs w:val="11"/>
                <w:color w:val="auto"/>
              </w:rPr>
              <w:t>7,422</w:t>
            </w:r>
          </w:p>
        </w:tc>
      </w:tr>
      <w:tr>
        <w:trPr>
          <w:trHeight w:val="67"/>
        </w:trPr>
        <w:tc>
          <w:tcPr>
            <w:tcW w:w="234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40" w:type="dxa"/>
            <w:vAlign w:val="bottom"/>
            <w:tcBorders>
              <w:bottom w:val="single" w:sz="8" w:color="009BDE"/>
            </w:tcBorders>
          </w:tcPr>
          <w:p>
            <w:pPr>
              <w:spacing w:after="0"/>
              <w:rPr>
                <w:sz w:val="5"/>
                <w:szCs w:val="5"/>
                <w:color w:val="auto"/>
              </w:rPr>
            </w:pPr>
          </w:p>
        </w:tc>
      </w:tr>
      <w:tr>
        <w:trPr>
          <w:trHeight w:val="179"/>
        </w:trPr>
        <w:tc>
          <w:tcPr>
            <w:tcW w:w="2340" w:type="dxa"/>
            <w:vAlign w:val="bottom"/>
          </w:tcPr>
          <w:p>
            <w:pPr>
              <w:ind w:left="40"/>
              <w:spacing w:after="0"/>
              <w:rPr>
                <w:sz w:val="20"/>
                <w:szCs w:val="20"/>
                <w:color w:val="auto"/>
              </w:rPr>
            </w:pPr>
            <w:r>
              <w:rPr>
                <w:rFonts w:ascii="Arial" w:cs="Arial" w:eastAsia="Arial" w:hAnsi="Arial"/>
                <w:sz w:val="11"/>
                <w:szCs w:val="11"/>
                <w:color w:val="auto"/>
              </w:rPr>
              <w:t>Loss on disposal of business and related</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30"/>
        </w:trPr>
        <w:tc>
          <w:tcPr>
            <w:tcW w:w="2340" w:type="dxa"/>
            <w:vAlign w:val="bottom"/>
          </w:tcPr>
          <w:p>
            <w:pPr>
              <w:ind w:left="40"/>
              <w:spacing w:after="0"/>
              <w:rPr>
                <w:sz w:val="20"/>
                <w:szCs w:val="20"/>
                <w:color w:val="auto"/>
              </w:rPr>
            </w:pPr>
            <w:r>
              <w:rPr>
                <w:rFonts w:ascii="Arial" w:cs="Arial" w:eastAsia="Arial" w:hAnsi="Arial"/>
                <w:sz w:val="11"/>
                <w:szCs w:val="11"/>
                <w:color w:val="auto"/>
              </w:rPr>
              <w:t>costs(4)</w:t>
            </w:r>
          </w:p>
        </w:tc>
        <w:tc>
          <w:tcPr>
            <w:tcW w:w="440" w:type="dxa"/>
            <w:vAlign w:val="bottom"/>
          </w:tcPr>
          <w:p>
            <w:pPr>
              <w:spacing w:after="0"/>
              <w:rPr>
                <w:sz w:val="11"/>
                <w:szCs w:val="11"/>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w w:val="95"/>
              </w:rPr>
              <w:t>118,293</w:t>
            </w:r>
          </w:p>
        </w:tc>
        <w:tc>
          <w:tcPr>
            <w:tcW w:w="340" w:type="dxa"/>
            <w:vAlign w:val="bottom"/>
          </w:tcPr>
          <w:p>
            <w:pPr>
              <w:spacing w:after="0"/>
              <w:rPr>
                <w:sz w:val="11"/>
                <w:szCs w:val="11"/>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w w:val="95"/>
              </w:rPr>
              <w:t>116,114</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234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40" w:type="dxa"/>
            <w:vAlign w:val="bottom"/>
            <w:tcBorders>
              <w:bottom w:val="single" w:sz="8" w:color="009BDE"/>
            </w:tcBorders>
          </w:tcPr>
          <w:p>
            <w:pPr>
              <w:spacing w:after="0"/>
              <w:rPr>
                <w:sz w:val="5"/>
                <w:szCs w:val="5"/>
                <w:color w:val="auto"/>
              </w:rPr>
            </w:pPr>
          </w:p>
        </w:tc>
      </w:tr>
      <w:tr>
        <w:trPr>
          <w:trHeight w:val="183"/>
        </w:trPr>
        <w:tc>
          <w:tcPr>
            <w:tcW w:w="2340" w:type="dxa"/>
            <w:vAlign w:val="bottom"/>
          </w:tcPr>
          <w:p>
            <w:pPr>
              <w:ind w:left="40"/>
              <w:spacing w:after="0"/>
              <w:rPr>
                <w:sz w:val="20"/>
                <w:szCs w:val="20"/>
                <w:color w:val="auto"/>
              </w:rPr>
            </w:pPr>
            <w:r>
              <w:rPr>
                <w:rFonts w:ascii="Arial" w:cs="Arial" w:eastAsia="Arial" w:hAnsi="Arial"/>
                <w:sz w:val="11"/>
                <w:szCs w:val="11"/>
                <w:color w:val="auto"/>
              </w:rPr>
              <w:t>Stock Acceleration(5)</w:t>
            </w:r>
          </w:p>
        </w:tc>
        <w:tc>
          <w:tcPr>
            <w:tcW w:w="440" w:type="dxa"/>
            <w:vAlign w:val="bottom"/>
          </w:tcPr>
          <w:p>
            <w:pPr>
              <w:spacing w:after="0"/>
              <w:rPr>
                <w:sz w:val="15"/>
                <w:szCs w:val="15"/>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20,859</w:t>
            </w:r>
          </w:p>
        </w:tc>
        <w:tc>
          <w:tcPr>
            <w:tcW w:w="340" w:type="dxa"/>
            <w:vAlign w:val="bottom"/>
          </w:tcPr>
          <w:p>
            <w:pPr>
              <w:spacing w:after="0"/>
              <w:rPr>
                <w:sz w:val="15"/>
                <w:szCs w:val="15"/>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20,859</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234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40" w:type="dxa"/>
            <w:vAlign w:val="bottom"/>
            <w:tcBorders>
              <w:bottom w:val="single" w:sz="8" w:color="009BDE"/>
            </w:tcBorders>
          </w:tcPr>
          <w:p>
            <w:pPr>
              <w:spacing w:after="0"/>
              <w:rPr>
                <w:sz w:val="5"/>
                <w:szCs w:val="5"/>
                <w:color w:val="auto"/>
              </w:rPr>
            </w:pPr>
          </w:p>
        </w:tc>
      </w:tr>
      <w:tr>
        <w:trPr>
          <w:trHeight w:val="183"/>
        </w:trPr>
        <w:tc>
          <w:tcPr>
            <w:tcW w:w="2340" w:type="dxa"/>
            <w:vAlign w:val="bottom"/>
          </w:tcPr>
          <w:p>
            <w:pPr>
              <w:ind w:left="40"/>
              <w:spacing w:after="0"/>
              <w:rPr>
                <w:sz w:val="20"/>
                <w:szCs w:val="20"/>
                <w:color w:val="auto"/>
              </w:rPr>
            </w:pPr>
            <w:r>
              <w:rPr>
                <w:rFonts w:ascii="Arial" w:cs="Arial" w:eastAsia="Arial" w:hAnsi="Arial"/>
                <w:sz w:val="11"/>
                <w:szCs w:val="11"/>
                <w:color w:val="auto"/>
              </w:rPr>
              <w:t>Blueprint 2.0 implementation charges(6)</w:t>
            </w:r>
          </w:p>
        </w:tc>
        <w:tc>
          <w:tcPr>
            <w:tcW w:w="440" w:type="dxa"/>
            <w:vAlign w:val="bottom"/>
          </w:tcPr>
          <w:p>
            <w:pPr>
              <w:spacing w:after="0"/>
              <w:rPr>
                <w:sz w:val="15"/>
                <w:szCs w:val="15"/>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w w:val="95"/>
              </w:rPr>
              <w:t>322,421</w:t>
            </w:r>
          </w:p>
        </w:tc>
        <w:tc>
          <w:tcPr>
            <w:tcW w:w="340" w:type="dxa"/>
            <w:vAlign w:val="bottom"/>
          </w:tcPr>
          <w:p>
            <w:pPr>
              <w:spacing w:after="0"/>
              <w:rPr>
                <w:sz w:val="15"/>
                <w:szCs w:val="15"/>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w w:val="90"/>
              </w:rPr>
              <w:t>253,008</w:t>
            </w:r>
          </w:p>
        </w:tc>
        <w:tc>
          <w:tcPr>
            <w:tcW w:w="340" w:type="dxa"/>
            <w:vAlign w:val="bottom"/>
          </w:tcPr>
          <w:p>
            <w:pPr>
              <w:spacing w:after="0"/>
              <w:rPr>
                <w:sz w:val="15"/>
                <w:szCs w:val="15"/>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234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40" w:type="dxa"/>
            <w:vAlign w:val="bottom"/>
            <w:tcBorders>
              <w:bottom w:val="single" w:sz="8" w:color="009BDE"/>
            </w:tcBorders>
          </w:tcPr>
          <w:p>
            <w:pPr>
              <w:spacing w:after="0"/>
              <w:rPr>
                <w:sz w:val="5"/>
                <w:szCs w:val="5"/>
                <w:color w:val="auto"/>
              </w:rPr>
            </w:pPr>
          </w:p>
        </w:tc>
      </w:tr>
      <w:tr>
        <w:trPr>
          <w:trHeight w:val="183"/>
        </w:trPr>
        <w:tc>
          <w:tcPr>
            <w:tcW w:w="2340" w:type="dxa"/>
            <w:vAlign w:val="bottom"/>
          </w:tcPr>
          <w:p>
            <w:pPr>
              <w:ind w:left="40"/>
              <w:spacing w:after="0"/>
              <w:rPr>
                <w:sz w:val="20"/>
                <w:szCs w:val="20"/>
                <w:color w:val="auto"/>
              </w:rPr>
            </w:pPr>
            <w:r>
              <w:rPr>
                <w:rFonts w:ascii="Arial" w:cs="Arial" w:eastAsia="Arial" w:hAnsi="Arial"/>
                <w:sz w:val="11"/>
                <w:szCs w:val="11"/>
                <w:color w:val="auto"/>
              </w:rPr>
              <w:t>Operational Excellence charges(7)</w:t>
            </w:r>
          </w:p>
        </w:tc>
        <w:tc>
          <w:tcPr>
            <w:tcW w:w="440" w:type="dxa"/>
            <w:vAlign w:val="bottom"/>
          </w:tcPr>
          <w:p>
            <w:pPr>
              <w:spacing w:after="0"/>
              <w:rPr>
                <w:sz w:val="15"/>
                <w:szCs w:val="15"/>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w w:val="95"/>
              </w:rPr>
              <w:t>106,369</w:t>
            </w:r>
          </w:p>
        </w:tc>
        <w:tc>
          <w:tcPr>
            <w:tcW w:w="340" w:type="dxa"/>
            <w:vAlign w:val="bottom"/>
          </w:tcPr>
          <w:p>
            <w:pPr>
              <w:spacing w:after="0"/>
              <w:rPr>
                <w:sz w:val="15"/>
                <w:szCs w:val="15"/>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89,217</w:t>
            </w:r>
          </w:p>
        </w:tc>
        <w:tc>
          <w:tcPr>
            <w:tcW w:w="340" w:type="dxa"/>
            <w:vAlign w:val="bottom"/>
          </w:tcPr>
          <w:p>
            <w:pPr>
              <w:spacing w:after="0"/>
              <w:rPr>
                <w:sz w:val="15"/>
                <w:szCs w:val="15"/>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67"/>
        </w:trPr>
        <w:tc>
          <w:tcPr>
            <w:tcW w:w="2340" w:type="dxa"/>
            <w:vAlign w:val="bottom"/>
            <w:tcBorders>
              <w:bottom w:val="single" w:sz="8" w:color="009BDE"/>
            </w:tcBorders>
          </w:tcPr>
          <w:p>
            <w:pPr>
              <w:spacing w:after="0"/>
              <w:rPr>
                <w:sz w:val="5"/>
                <w:szCs w:val="5"/>
                <w:color w:val="auto"/>
              </w:rPr>
            </w:pPr>
          </w:p>
        </w:tc>
        <w:tc>
          <w:tcPr>
            <w:tcW w:w="4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34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840" w:type="dxa"/>
            <w:vAlign w:val="bottom"/>
            <w:tcBorders>
              <w:bottom w:val="single" w:sz="8" w:color="009BDE"/>
            </w:tcBorders>
          </w:tcPr>
          <w:p>
            <w:pPr>
              <w:spacing w:after="0"/>
              <w:rPr>
                <w:sz w:val="5"/>
                <w:szCs w:val="5"/>
                <w:color w:val="auto"/>
              </w:rPr>
            </w:pPr>
          </w:p>
        </w:tc>
        <w:tc>
          <w:tcPr>
            <w:tcW w:w="740" w:type="dxa"/>
            <w:vAlign w:val="bottom"/>
            <w:tcBorders>
              <w:bottom w:val="single" w:sz="8" w:color="009BDE"/>
            </w:tcBorders>
          </w:tcPr>
          <w:p>
            <w:pPr>
              <w:spacing w:after="0"/>
              <w:rPr>
                <w:sz w:val="5"/>
                <w:szCs w:val="5"/>
                <w:color w:val="auto"/>
              </w:rPr>
            </w:pPr>
          </w:p>
        </w:tc>
      </w:tr>
      <w:tr>
        <w:trPr>
          <w:trHeight w:val="183"/>
        </w:trPr>
        <w:tc>
          <w:tcPr>
            <w:tcW w:w="23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w w:val="95"/>
              </w:rPr>
              <w:t>514,809</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w w:val="90"/>
              </w:rPr>
              <w:t>414,581</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26"/>
              <w:spacing w:after="0"/>
              <w:rPr>
                <w:sz w:val="20"/>
                <w:szCs w:val="20"/>
                <w:color w:val="auto"/>
              </w:rPr>
            </w:pPr>
            <w:r>
              <w:rPr>
                <w:rFonts w:ascii="Arial" w:cs="Arial" w:eastAsia="Arial" w:hAnsi="Arial"/>
                <w:sz w:val="11"/>
                <w:szCs w:val="11"/>
                <w:color w:val="auto"/>
                <w:w w:val="95"/>
              </w:rPr>
              <w:t>231,823</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w w:val="95"/>
              </w:rPr>
              <w:t>214,005</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$324,892</w:t>
            </w:r>
          </w:p>
        </w:tc>
        <w:tc>
          <w:tcPr>
            <w:tcW w:w="740" w:type="dxa"/>
            <w:vAlign w:val="bottom"/>
          </w:tcPr>
          <w:p>
            <w:pPr>
              <w:jc w:val="right"/>
              <w:spacing w:after="0"/>
              <w:rPr>
                <w:sz w:val="20"/>
                <w:szCs w:val="20"/>
                <w:color w:val="auto"/>
              </w:rPr>
            </w:pPr>
            <w:r>
              <w:rPr>
                <w:rFonts w:ascii="Arial" w:cs="Arial" w:eastAsia="Arial" w:hAnsi="Arial"/>
                <w:sz w:val="11"/>
                <w:szCs w:val="11"/>
                <w:color w:val="auto"/>
              </w:rPr>
              <w:t>$276,710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42545</wp:posOffset>
            </wp:positionV>
            <wp:extent cx="4663440" cy="571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13" w:lineRule="exact"/>
        <w:rPr>
          <w:sz w:val="20"/>
          <w:szCs w:val="20"/>
          <w:color w:val="auto"/>
        </w:rPr>
      </w:pPr>
    </w:p>
    <w:p>
      <w:pPr>
        <w:ind w:left="2260" w:right="959" w:hanging="288"/>
        <w:spacing w:after="0" w:line="232" w:lineRule="auto"/>
        <w:tabs>
          <w:tab w:leader="none" w:pos="2260" w:val="left"/>
        </w:tabs>
        <w:numPr>
          <w:ilvl w:val="0"/>
          <w:numId w:val="109"/>
        </w:numPr>
        <w:rPr>
          <w:rFonts w:ascii="Arial" w:cs="Arial" w:eastAsia="Arial" w:hAnsi="Arial"/>
          <w:sz w:val="10"/>
          <w:szCs w:val="10"/>
          <w:color w:val="auto"/>
        </w:rPr>
      </w:pPr>
      <w:r>
        <w:rPr>
          <w:rFonts w:ascii="Arial" w:cs="Arial" w:eastAsia="Arial" w:hAnsi="Arial"/>
          <w:sz w:val="10"/>
          <w:szCs w:val="10"/>
          <w:color w:val="auto"/>
        </w:rPr>
        <w:t>In association with the Company’s acquisition of eOne, the Company incurred related expenses of $14,603, $7,688 and $218,566 in the years ended December 25, 2022, December 26, 2021 and December 27, 2020, respectively.</w:t>
      </w:r>
    </w:p>
    <w:p>
      <w:pPr>
        <w:spacing w:after="0" w:line="47" w:lineRule="exact"/>
        <w:rPr>
          <w:rFonts w:ascii="Arial" w:cs="Arial" w:eastAsia="Arial" w:hAnsi="Arial"/>
          <w:sz w:val="10"/>
          <w:szCs w:val="10"/>
          <w:color w:val="auto"/>
        </w:rPr>
      </w:pPr>
    </w:p>
    <w:p>
      <w:pPr>
        <w:ind w:left="2480" w:right="1019" w:hanging="220"/>
        <w:spacing w:after="0" w:line="341" w:lineRule="auto"/>
        <w:tabs>
          <w:tab w:leader="none" w:pos="2480" w:val="left"/>
        </w:tabs>
        <w:numPr>
          <w:ilvl w:val="1"/>
          <w:numId w:val="109"/>
        </w:numPr>
        <w:rPr>
          <w:rFonts w:ascii="Arial" w:cs="Arial" w:eastAsia="Arial" w:hAnsi="Arial"/>
          <w:sz w:val="8"/>
          <w:szCs w:val="8"/>
          <w:color w:val="auto"/>
        </w:rPr>
      </w:pPr>
      <w:r>
        <w:rPr>
          <w:rFonts w:ascii="Arial" w:cs="Arial" w:eastAsia="Arial" w:hAnsi="Arial"/>
          <w:sz w:val="8"/>
          <w:szCs w:val="8"/>
          <w:color w:val="auto"/>
        </w:rPr>
        <w:t>The expenses of $14,603 and $7,688 in the years ended December 25, 2022 and December 26, 2021, respectively, were included in Selling, Distribution and Administrative costs and comprised of expenses related to the acceleration of eOne stock-based compensation associated with acquisition-related grants.</w:t>
      </w:r>
    </w:p>
    <w:p>
      <w:pPr>
        <w:spacing w:after="0" w:line="8" w:lineRule="exact"/>
        <w:rPr>
          <w:rFonts w:ascii="Arial" w:cs="Arial" w:eastAsia="Arial" w:hAnsi="Arial"/>
          <w:sz w:val="8"/>
          <w:szCs w:val="8"/>
          <w:color w:val="auto"/>
        </w:rPr>
      </w:pPr>
    </w:p>
    <w:p>
      <w:pPr>
        <w:ind w:left="2480" w:hanging="220"/>
        <w:spacing w:after="0"/>
        <w:tabs>
          <w:tab w:leader="none" w:pos="2480" w:val="left"/>
        </w:tabs>
        <w:numPr>
          <w:ilvl w:val="1"/>
          <w:numId w:val="109"/>
        </w:numPr>
        <w:rPr>
          <w:rFonts w:ascii="Arial" w:cs="Arial" w:eastAsia="Arial" w:hAnsi="Arial"/>
          <w:sz w:val="10"/>
          <w:szCs w:val="10"/>
          <w:color w:val="auto"/>
        </w:rPr>
      </w:pPr>
      <w:r>
        <w:rPr>
          <w:rFonts w:ascii="Arial" w:cs="Arial" w:eastAsia="Arial" w:hAnsi="Arial"/>
          <w:sz w:val="10"/>
          <w:szCs w:val="10"/>
          <w:color w:val="auto"/>
        </w:rPr>
        <w:t>The expenses of $218,566 in the year ended December 27, 2020 were included in Acquisition and Related Costs, and comprised the following:</w:t>
      </w:r>
    </w:p>
    <w:p>
      <w:pPr>
        <w:spacing w:after="0" w:line="47" w:lineRule="exact"/>
        <w:rPr>
          <w:rFonts w:ascii="Arial" w:cs="Arial" w:eastAsia="Arial" w:hAnsi="Arial"/>
          <w:sz w:val="10"/>
          <w:szCs w:val="10"/>
          <w:color w:val="auto"/>
        </w:rPr>
      </w:pPr>
    </w:p>
    <w:p>
      <w:pPr>
        <w:ind w:left="2780" w:right="859" w:hanging="295"/>
        <w:spacing w:after="0" w:line="230" w:lineRule="auto"/>
        <w:tabs>
          <w:tab w:leader="none" w:pos="2780" w:val="left"/>
        </w:tabs>
        <w:numPr>
          <w:ilvl w:val="2"/>
          <w:numId w:val="109"/>
        </w:numPr>
        <w:rPr>
          <w:rFonts w:ascii="Arial" w:cs="Arial" w:eastAsia="Arial" w:hAnsi="Arial"/>
          <w:sz w:val="10"/>
          <w:szCs w:val="10"/>
          <w:color w:val="auto"/>
        </w:rPr>
      </w:pPr>
      <w:r>
        <w:rPr>
          <w:rFonts w:ascii="Arial" w:cs="Arial" w:eastAsia="Arial" w:hAnsi="Arial"/>
          <w:sz w:val="10"/>
          <w:szCs w:val="10"/>
          <w:color w:val="auto"/>
        </w:rPr>
        <w:t>Acquisition and integration costs of $145,169, including expense associated with the acceleration of eOne stock-based compensation and advisor fees settled at the closing of the acquisition, integration costs and impairment charges in the fourth quarter of 2020 for certain definite-lived intangible and other assets; and</w:t>
      </w:r>
    </w:p>
    <w:p>
      <w:pPr>
        <w:spacing w:after="0" w:line="47" w:lineRule="exact"/>
        <w:rPr>
          <w:rFonts w:ascii="Arial" w:cs="Arial" w:eastAsia="Arial" w:hAnsi="Arial"/>
          <w:sz w:val="10"/>
          <w:szCs w:val="10"/>
          <w:color w:val="auto"/>
        </w:rPr>
      </w:pPr>
    </w:p>
    <w:p>
      <w:pPr>
        <w:ind w:left="2780" w:right="919" w:hanging="295"/>
        <w:spacing w:after="0" w:line="232" w:lineRule="auto"/>
        <w:tabs>
          <w:tab w:leader="none" w:pos="2780" w:val="left"/>
        </w:tabs>
        <w:numPr>
          <w:ilvl w:val="2"/>
          <w:numId w:val="109"/>
        </w:numPr>
        <w:rPr>
          <w:rFonts w:ascii="Arial" w:cs="Arial" w:eastAsia="Arial" w:hAnsi="Arial"/>
          <w:sz w:val="10"/>
          <w:szCs w:val="10"/>
          <w:color w:val="auto"/>
        </w:rPr>
      </w:pPr>
      <w:r>
        <w:rPr>
          <w:rFonts w:ascii="Arial" w:cs="Arial" w:eastAsia="Arial" w:hAnsi="Arial"/>
          <w:sz w:val="10"/>
          <w:szCs w:val="10"/>
          <w:color w:val="auto"/>
        </w:rPr>
        <w:t>Restructuring and related costs of $73,397, including severance and retention costs, as well as impairment charges in the first quarter of 2020 for certain definite-lived intangible and production assets.</w:t>
      </w:r>
    </w:p>
    <w:p>
      <w:pPr>
        <w:spacing w:after="0" w:line="47" w:lineRule="exact"/>
        <w:rPr>
          <w:rFonts w:ascii="Arial" w:cs="Arial" w:eastAsia="Arial" w:hAnsi="Arial"/>
          <w:sz w:val="10"/>
          <w:szCs w:val="10"/>
          <w:color w:val="auto"/>
        </w:rPr>
      </w:pPr>
    </w:p>
    <w:p>
      <w:pPr>
        <w:ind w:left="2260" w:hanging="288"/>
        <w:spacing w:after="0"/>
        <w:tabs>
          <w:tab w:leader="none" w:pos="2260" w:val="left"/>
        </w:tabs>
        <w:numPr>
          <w:ilvl w:val="0"/>
          <w:numId w:val="109"/>
        </w:numPr>
        <w:rPr>
          <w:rFonts w:ascii="Arial" w:cs="Arial" w:eastAsia="Arial" w:hAnsi="Arial"/>
          <w:sz w:val="10"/>
          <w:szCs w:val="10"/>
          <w:color w:val="auto"/>
        </w:rPr>
      </w:pPr>
      <w:r>
        <w:rPr>
          <w:rFonts w:ascii="Arial" w:cs="Arial" w:eastAsia="Arial" w:hAnsi="Arial"/>
          <w:sz w:val="10"/>
          <w:szCs w:val="10"/>
          <w:color w:val="auto"/>
        </w:rPr>
        <w:t>The Company incurred incremental intangible amortization costs related to the intangible assets acquired in the eOne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56515</wp:posOffset>
            </wp:positionV>
            <wp:extent cx="3971925" cy="21717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2"/>
          <w:szCs w:val="12"/>
          <w:b w:val="1"/>
          <w:bCs w:val="1"/>
          <w:color w:val="FCFCFC"/>
        </w:rPr>
        <w:t>A-1</w:t>
      </w:r>
    </w:p>
    <w:p>
      <w:pPr>
        <w:sectPr>
          <w:pgSz w:w="11900" w:h="16838" w:orient="portrait"/>
          <w:cols w:equalWidth="0" w:num="1">
            <w:col w:w="10159"/>
          </w:cols>
          <w:pgMar w:left="300" w:top="372" w:right="1440" w:bottom="1440" w:gutter="0" w:footer="0" w:header="0"/>
        </w:sectPr>
      </w:pPr>
    </w:p>
    <w:bookmarkStart w:id="127" w:name="page128"/>
    <w:bookmarkEnd w:id="12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8" w:lineRule="exact"/>
        <w:rPr>
          <w:sz w:val="20"/>
          <w:szCs w:val="20"/>
          <w:color w:val="auto"/>
        </w:rPr>
      </w:pPr>
    </w:p>
    <w:p>
      <w:pPr>
        <w:ind w:left="2260" w:right="879" w:hanging="288"/>
        <w:spacing w:after="0" w:line="232" w:lineRule="auto"/>
        <w:tabs>
          <w:tab w:leader="none" w:pos="2260" w:val="left"/>
        </w:tabs>
        <w:numPr>
          <w:ilvl w:val="0"/>
          <w:numId w:val="110"/>
        </w:numPr>
        <w:rPr>
          <w:rFonts w:ascii="Arial" w:cs="Arial" w:eastAsia="Arial" w:hAnsi="Arial"/>
          <w:sz w:val="10"/>
          <w:szCs w:val="10"/>
          <w:color w:val="auto"/>
        </w:rPr>
      </w:pPr>
      <w:r>
        <w:rPr>
          <w:rFonts w:ascii="Arial" w:cs="Arial" w:eastAsia="Arial" w:hAnsi="Arial"/>
          <w:sz w:val="10"/>
          <w:szCs w:val="10"/>
          <w:color w:val="auto"/>
        </w:rPr>
        <w:t>In the year ended December 27, 2020, the Company incurred $8,470 of severance charges, associated with cost-savings initiatives within the Company’s commercial and Film and TV businesses.</w:t>
      </w:r>
    </w:p>
    <w:p>
      <w:pPr>
        <w:spacing w:after="0" w:line="47" w:lineRule="exact"/>
        <w:rPr>
          <w:rFonts w:ascii="Arial" w:cs="Arial" w:eastAsia="Arial" w:hAnsi="Arial"/>
          <w:sz w:val="10"/>
          <w:szCs w:val="10"/>
          <w:color w:val="auto"/>
        </w:rPr>
      </w:pPr>
    </w:p>
    <w:p>
      <w:pPr>
        <w:ind w:left="2260" w:right="1139" w:hanging="288"/>
        <w:spacing w:after="0" w:line="228" w:lineRule="auto"/>
        <w:tabs>
          <w:tab w:leader="none" w:pos="2260" w:val="left"/>
        </w:tabs>
        <w:numPr>
          <w:ilvl w:val="0"/>
          <w:numId w:val="110"/>
        </w:numPr>
        <w:rPr>
          <w:rFonts w:ascii="Arial" w:cs="Arial" w:eastAsia="Arial" w:hAnsi="Arial"/>
          <w:sz w:val="10"/>
          <w:szCs w:val="10"/>
          <w:color w:val="auto"/>
        </w:rPr>
      </w:pPr>
      <w:r>
        <w:rPr>
          <w:rFonts w:ascii="Arial" w:cs="Arial" w:eastAsia="Arial" w:hAnsi="Arial"/>
          <w:sz w:val="10"/>
          <w:szCs w:val="10"/>
          <w:color w:val="auto"/>
        </w:rPr>
        <w:t>On April 25, 2021, the Company entered into a definitive agreement to sell the eOne music business for an aggregate sales price of $385,000 subject to certain closing adjustments related to working capital and net debt. As such, the assets and liabilities of eOne music were revalued in the second quarter of 2021 and disclosed separately on the balance sheet. The sale was completed in June 2021 and the closing working capital adjustment was finalized in the quarter ended December 26, 2021. The total charge of $118,293 is comprised of a goodwill impairment loss of $108,827 (included within Loss on Disposal of Business) and transaction costs of $9,466 (included within Selling, Distribution and Administration).</w:t>
      </w:r>
    </w:p>
    <w:p>
      <w:pPr>
        <w:spacing w:after="0" w:line="47" w:lineRule="exact"/>
        <w:rPr>
          <w:rFonts w:ascii="Arial" w:cs="Arial" w:eastAsia="Arial" w:hAnsi="Arial"/>
          <w:sz w:val="10"/>
          <w:szCs w:val="10"/>
          <w:color w:val="auto"/>
        </w:rPr>
      </w:pPr>
    </w:p>
    <w:p>
      <w:pPr>
        <w:ind w:left="2260" w:right="1139" w:hanging="288"/>
        <w:spacing w:after="0" w:line="232" w:lineRule="auto"/>
        <w:tabs>
          <w:tab w:leader="none" w:pos="2260" w:val="left"/>
        </w:tabs>
        <w:numPr>
          <w:ilvl w:val="0"/>
          <w:numId w:val="110"/>
        </w:numPr>
        <w:rPr>
          <w:rFonts w:ascii="Arial" w:cs="Arial" w:eastAsia="Arial" w:hAnsi="Arial"/>
          <w:sz w:val="10"/>
          <w:szCs w:val="10"/>
          <w:color w:val="auto"/>
        </w:rPr>
      </w:pPr>
      <w:r>
        <w:rPr>
          <w:rFonts w:ascii="Arial" w:cs="Arial" w:eastAsia="Arial" w:hAnsi="Arial"/>
          <w:sz w:val="10"/>
          <w:szCs w:val="10"/>
          <w:color w:val="auto"/>
        </w:rPr>
        <w:t>In the year ended December 26, 2021, the Company incurred $20,859 of stock compensation expense associated with the accelerated vesting of certain equity awards as a result of the passing of its former CEO. The stock compensation expense has no associated tax impacts.</w:t>
      </w:r>
    </w:p>
    <w:p>
      <w:pPr>
        <w:spacing w:after="0" w:line="47" w:lineRule="exact"/>
        <w:rPr>
          <w:rFonts w:ascii="Arial" w:cs="Arial" w:eastAsia="Arial" w:hAnsi="Arial"/>
          <w:sz w:val="10"/>
          <w:szCs w:val="10"/>
          <w:color w:val="auto"/>
        </w:rPr>
      </w:pPr>
    </w:p>
    <w:p>
      <w:pPr>
        <w:ind w:left="2260" w:right="979" w:hanging="288"/>
        <w:spacing w:after="0" w:line="230" w:lineRule="auto"/>
        <w:tabs>
          <w:tab w:leader="none" w:pos="2260" w:val="left"/>
        </w:tabs>
        <w:numPr>
          <w:ilvl w:val="0"/>
          <w:numId w:val="110"/>
        </w:numPr>
        <w:rPr>
          <w:rFonts w:ascii="Arial" w:cs="Arial" w:eastAsia="Arial" w:hAnsi="Arial"/>
          <w:sz w:val="10"/>
          <w:szCs w:val="10"/>
          <w:color w:val="auto"/>
        </w:rPr>
      </w:pPr>
      <w:r>
        <w:rPr>
          <w:rFonts w:ascii="Arial" w:cs="Arial" w:eastAsia="Arial" w:hAnsi="Arial"/>
          <w:sz w:val="10"/>
          <w:szCs w:val="10"/>
          <w:color w:val="auto"/>
        </w:rPr>
        <w:t>The Company announced the results of its strategic review, Blueprint 2.0, a consumer-centric approach focusing on fewer, bigger brands, expanded licensing, branded entertainment, and high-margin growth in games, digital and direct. Charges of $322,421 for the year ended December 25, 2022 have been recognized as the Company implements the new strategy, consisting of:</w:t>
      </w:r>
    </w:p>
    <w:p>
      <w:pPr>
        <w:spacing w:after="0" w:line="47" w:lineRule="exact"/>
        <w:rPr>
          <w:rFonts w:ascii="Arial" w:cs="Arial" w:eastAsia="Arial" w:hAnsi="Arial"/>
          <w:sz w:val="10"/>
          <w:szCs w:val="10"/>
          <w:color w:val="auto"/>
        </w:rPr>
      </w:pPr>
    </w:p>
    <w:p>
      <w:pPr>
        <w:jc w:val="both"/>
        <w:ind w:left="2480" w:right="959" w:hanging="220"/>
        <w:spacing w:after="0" w:line="341" w:lineRule="auto"/>
        <w:tabs>
          <w:tab w:leader="none" w:pos="2480" w:val="left"/>
        </w:tabs>
        <w:numPr>
          <w:ilvl w:val="1"/>
          <w:numId w:val="110"/>
        </w:numPr>
        <w:rPr>
          <w:rFonts w:ascii="Arial" w:cs="Arial" w:eastAsia="Arial" w:hAnsi="Arial"/>
          <w:sz w:val="8"/>
          <w:szCs w:val="8"/>
          <w:color w:val="auto"/>
        </w:rPr>
      </w:pPr>
      <w:r>
        <w:rPr>
          <w:rFonts w:ascii="Arial" w:cs="Arial" w:eastAsia="Arial" w:hAnsi="Arial"/>
          <w:sz w:val="8"/>
          <w:szCs w:val="8"/>
          <w:color w:val="auto"/>
        </w:rPr>
        <w:t>Loss on disposal of non-core businesses for the year ended December 25, 2022 of $22,071 related to the exit of non-core businesses within the Entertainment segment. The charge is comprised of a goodwill impairment loss of $11,800 and asset impairments of $10,271 (included within Loss on Disposal of Business).</w:t>
      </w:r>
    </w:p>
    <w:p>
      <w:pPr>
        <w:spacing w:after="0" w:line="8" w:lineRule="exact"/>
        <w:rPr>
          <w:rFonts w:ascii="Arial" w:cs="Arial" w:eastAsia="Arial" w:hAnsi="Arial"/>
          <w:sz w:val="8"/>
          <w:szCs w:val="8"/>
          <w:color w:val="auto"/>
        </w:rPr>
      </w:pPr>
    </w:p>
    <w:p>
      <w:pPr>
        <w:ind w:left="2480" w:right="879" w:hanging="220"/>
        <w:spacing w:after="0" w:line="227" w:lineRule="auto"/>
        <w:tabs>
          <w:tab w:leader="none" w:pos="2480" w:val="left"/>
        </w:tabs>
        <w:numPr>
          <w:ilvl w:val="1"/>
          <w:numId w:val="110"/>
        </w:numPr>
        <w:rPr>
          <w:rFonts w:ascii="Arial" w:cs="Arial" w:eastAsia="Arial" w:hAnsi="Arial"/>
          <w:sz w:val="10"/>
          <w:szCs w:val="10"/>
          <w:color w:val="auto"/>
        </w:rPr>
      </w:pPr>
      <w:r>
        <w:rPr>
          <w:rFonts w:ascii="Arial" w:cs="Arial" w:eastAsia="Arial" w:hAnsi="Arial"/>
          <w:sz w:val="10"/>
          <w:szCs w:val="10"/>
          <w:color w:val="auto"/>
        </w:rPr>
        <w:t>Asset impairments and charges of $300,350 for the year ended December 25, 2022 related to charges incurred as a result of the Company’s focused investment strategy on fewer, bigger brands. In the fourth quarter of 2022, the Company incurred a $281,298 impairment within the Corporate and Other segment, of which, $281,000 related to a partial impairment of the Company’s definite-lived intangible, Power Rangers, in Selling, Distribution and Administration; and incurred incremental asset charges related to product cancellations, consisting of inventory and asset write offs of $14,991 in Cost of Sales within the Consumer Products segment. Within the Entertainment segment, the Company incurred strategy related asset impairments of certain discontinued projects of $4,061 within Program Cost Amortization for the year ended December 25, 2022.</w:t>
      </w:r>
    </w:p>
    <w:p>
      <w:pPr>
        <w:spacing w:after="0" w:line="49" w:lineRule="exact"/>
        <w:rPr>
          <w:rFonts w:ascii="Arial" w:cs="Arial" w:eastAsia="Arial" w:hAnsi="Arial"/>
          <w:sz w:val="10"/>
          <w:szCs w:val="10"/>
          <w:color w:val="auto"/>
        </w:rPr>
      </w:pPr>
    </w:p>
    <w:p>
      <w:pPr>
        <w:ind w:left="2260" w:right="859" w:hanging="288"/>
        <w:spacing w:after="0" w:line="228" w:lineRule="auto"/>
        <w:tabs>
          <w:tab w:leader="none" w:pos="2260" w:val="left"/>
        </w:tabs>
        <w:numPr>
          <w:ilvl w:val="0"/>
          <w:numId w:val="110"/>
        </w:numPr>
        <w:rPr>
          <w:rFonts w:ascii="Arial" w:cs="Arial" w:eastAsia="Arial" w:hAnsi="Arial"/>
          <w:sz w:val="10"/>
          <w:szCs w:val="10"/>
          <w:color w:val="auto"/>
        </w:rPr>
      </w:pPr>
      <w:r>
        <w:rPr>
          <w:rFonts w:ascii="Arial" w:cs="Arial" w:eastAsia="Arial" w:hAnsi="Arial"/>
          <w:sz w:val="10"/>
          <w:szCs w:val="10"/>
          <w:color w:val="auto"/>
        </w:rPr>
        <w:t>In support of Blueprint 2.0, Hasbro announced an Operational Excellence program to deliver significant annualized savings. Charges of $106,369 for the year ended December 25, 2022 relating to this program have been recognized, consisting of severance and other employee charges of $94,111 for the year ended December 25, 2022 associated with cost-savings initiatives across the Company and program related transformation office and consultant fees of $12,258 for the year ended December 25, 2022 are included within Selling, Distribution and Administration within the Corporate and Other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149225</wp:posOffset>
            </wp:positionV>
            <wp:extent cx="4663440" cy="26860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4663440" cy="268605"/>
                    </a:xfrm>
                    <a:prstGeom prst="rect">
                      <a:avLst/>
                    </a:prstGeom>
                    <a:noFill/>
                  </pic:spPr>
                </pic:pic>
              </a:graphicData>
            </a:graphic>
          </wp:anchor>
        </w:drawing>
      </w:r>
    </w:p>
    <w:p>
      <w:pPr>
        <w:spacing w:after="0" w:line="260"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FFFFFF"/>
        </w:rPr>
        <w:t>Reconciliation of Operating Profit Results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212"/>
        </w:trPr>
        <w:tc>
          <w:tcPr>
            <w:tcW w:w="2560" w:type="dxa"/>
            <w:vAlign w:val="bottom"/>
            <w:tcBorders>
              <w:top w:val="single" w:sz="8" w:color="0060ED"/>
            </w:tcBorders>
            <w:shd w:val="clear" w:color="auto" w:fill="CCEBF8"/>
          </w:tcPr>
          <w:p>
            <w:pPr>
              <w:spacing w:after="0"/>
              <w:rPr>
                <w:sz w:val="18"/>
                <w:szCs w:val="18"/>
                <w:color w:val="auto"/>
              </w:rPr>
            </w:pPr>
          </w:p>
        </w:tc>
        <w:tc>
          <w:tcPr>
            <w:tcW w:w="2440" w:type="dxa"/>
            <w:vAlign w:val="bottom"/>
            <w:tcBorders>
              <w:top w:val="single" w:sz="8" w:color="0060ED"/>
            </w:tcBorders>
            <w:gridSpan w:val="3"/>
            <w:shd w:val="clear" w:color="auto" w:fill="CCEBF8"/>
          </w:tcPr>
          <w:p>
            <w:pPr>
              <w:jc w:val="center"/>
              <w:ind w:left="26"/>
              <w:spacing w:after="0"/>
              <w:rPr>
                <w:sz w:val="20"/>
                <w:szCs w:val="20"/>
                <w:color w:val="auto"/>
              </w:rPr>
            </w:pPr>
            <w:r>
              <w:rPr>
                <w:rFonts w:ascii="Arial" w:cs="Arial" w:eastAsia="Arial" w:hAnsi="Arial"/>
                <w:sz w:val="11"/>
                <w:szCs w:val="11"/>
                <w:b w:val="1"/>
                <w:bCs w:val="1"/>
                <w:color w:val="009BDE"/>
                <w:w w:val="98"/>
              </w:rPr>
              <w:t>Year Ended December 25, 2022</w:t>
            </w:r>
          </w:p>
        </w:tc>
        <w:tc>
          <w:tcPr>
            <w:tcW w:w="2340" w:type="dxa"/>
            <w:vAlign w:val="bottom"/>
            <w:tcBorders>
              <w:top w:val="single" w:sz="8" w:color="0060ED"/>
            </w:tcBorders>
            <w:gridSpan w:val="3"/>
            <w:shd w:val="clear" w:color="auto" w:fill="CCEBF8"/>
          </w:tcPr>
          <w:p>
            <w:pPr>
              <w:jc w:val="center"/>
              <w:ind w:left="26"/>
              <w:spacing w:after="0"/>
              <w:rPr>
                <w:sz w:val="20"/>
                <w:szCs w:val="20"/>
                <w:color w:val="auto"/>
              </w:rPr>
            </w:pPr>
            <w:r>
              <w:rPr>
                <w:rFonts w:ascii="Arial" w:cs="Arial" w:eastAsia="Arial" w:hAnsi="Arial"/>
                <w:sz w:val="11"/>
                <w:szCs w:val="11"/>
                <w:b w:val="1"/>
                <w:bCs w:val="1"/>
                <w:color w:val="009BDE"/>
                <w:w w:val="97"/>
              </w:rPr>
              <w:t>Year Ended December 26, 2021</w:t>
            </w:r>
          </w:p>
        </w:tc>
      </w:tr>
      <w:tr>
        <w:trPr>
          <w:trHeight w:val="173"/>
        </w:trPr>
        <w:tc>
          <w:tcPr>
            <w:tcW w:w="2560" w:type="dxa"/>
            <w:vAlign w:val="bottom"/>
            <w:shd w:val="clear" w:color="auto" w:fill="CCEBF8"/>
          </w:tcPr>
          <w:p>
            <w:pPr>
              <w:spacing w:after="0"/>
              <w:rPr>
                <w:sz w:val="15"/>
                <w:szCs w:val="15"/>
                <w:color w:val="auto"/>
              </w:rPr>
            </w:pPr>
          </w:p>
        </w:tc>
        <w:tc>
          <w:tcPr>
            <w:tcW w:w="820" w:type="dxa"/>
            <w:vAlign w:val="bottom"/>
            <w:shd w:val="clear" w:color="auto" w:fill="CCEBF8"/>
          </w:tcPr>
          <w:p>
            <w:pPr>
              <w:jc w:val="center"/>
              <w:ind w:left="26"/>
              <w:spacing w:after="0"/>
              <w:rPr>
                <w:sz w:val="20"/>
                <w:szCs w:val="20"/>
                <w:color w:val="auto"/>
              </w:rPr>
            </w:pPr>
            <w:r>
              <w:rPr>
                <w:rFonts w:ascii="Arial" w:cs="Arial" w:eastAsia="Arial" w:hAnsi="Arial"/>
                <w:sz w:val="11"/>
                <w:szCs w:val="11"/>
                <w:b w:val="1"/>
                <w:bCs w:val="1"/>
                <w:color w:val="009BDE"/>
                <w:w w:val="99"/>
              </w:rPr>
              <w:t>As</w:t>
            </w:r>
          </w:p>
        </w:tc>
        <w:tc>
          <w:tcPr>
            <w:tcW w:w="86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8"/>
              </w:rPr>
              <w:t>Non-GAAP</w:t>
            </w:r>
          </w:p>
        </w:tc>
        <w:tc>
          <w:tcPr>
            <w:tcW w:w="760" w:type="dxa"/>
            <w:vAlign w:val="bottom"/>
            <w:shd w:val="clear" w:color="auto" w:fill="CCEBF8"/>
          </w:tcPr>
          <w:p>
            <w:pPr>
              <w:spacing w:after="0"/>
              <w:rPr>
                <w:sz w:val="15"/>
                <w:szCs w:val="15"/>
                <w:color w:val="auto"/>
              </w:rPr>
            </w:pPr>
          </w:p>
        </w:tc>
        <w:tc>
          <w:tcPr>
            <w:tcW w:w="780" w:type="dxa"/>
            <w:vAlign w:val="bottom"/>
            <w:shd w:val="clear" w:color="auto" w:fill="CCEBF8"/>
          </w:tcPr>
          <w:p>
            <w:pPr>
              <w:jc w:val="right"/>
              <w:ind w:right="266"/>
              <w:spacing w:after="0"/>
              <w:rPr>
                <w:sz w:val="20"/>
                <w:szCs w:val="20"/>
                <w:color w:val="auto"/>
              </w:rPr>
            </w:pPr>
            <w:r>
              <w:rPr>
                <w:rFonts w:ascii="Arial" w:cs="Arial" w:eastAsia="Arial" w:hAnsi="Arial"/>
                <w:sz w:val="11"/>
                <w:szCs w:val="11"/>
                <w:b w:val="1"/>
                <w:bCs w:val="1"/>
                <w:color w:val="009BDE"/>
              </w:rPr>
              <w:t>As</w:t>
            </w:r>
          </w:p>
        </w:tc>
        <w:tc>
          <w:tcPr>
            <w:tcW w:w="86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8"/>
              </w:rPr>
              <w:t>Non-GAAP</w:t>
            </w:r>
          </w:p>
        </w:tc>
        <w:tc>
          <w:tcPr>
            <w:tcW w:w="700" w:type="dxa"/>
            <w:vAlign w:val="bottom"/>
            <w:shd w:val="clear" w:color="auto" w:fill="CCEBF8"/>
          </w:tcPr>
          <w:p>
            <w:pPr>
              <w:spacing w:after="0"/>
              <w:rPr>
                <w:sz w:val="15"/>
                <w:szCs w:val="15"/>
                <w:color w:val="auto"/>
              </w:rPr>
            </w:pPr>
          </w:p>
        </w:tc>
      </w:tr>
      <w:tr>
        <w:trPr>
          <w:trHeight w:val="151"/>
        </w:trPr>
        <w:tc>
          <w:tcPr>
            <w:tcW w:w="2560" w:type="dxa"/>
            <w:vAlign w:val="bottom"/>
            <w:shd w:val="clear" w:color="auto" w:fill="CCEBF8"/>
          </w:tcPr>
          <w:p>
            <w:pPr>
              <w:spacing w:after="0"/>
              <w:rPr>
                <w:sz w:val="13"/>
                <w:szCs w:val="13"/>
                <w:color w:val="auto"/>
              </w:rPr>
            </w:pPr>
          </w:p>
        </w:tc>
        <w:tc>
          <w:tcPr>
            <w:tcW w:w="820" w:type="dxa"/>
            <w:vAlign w:val="bottom"/>
            <w:shd w:val="clear" w:color="auto" w:fill="CCEBF8"/>
          </w:tcPr>
          <w:p>
            <w:pPr>
              <w:jc w:val="center"/>
              <w:ind w:left="26"/>
              <w:spacing w:after="0"/>
              <w:rPr>
                <w:sz w:val="20"/>
                <w:szCs w:val="20"/>
                <w:color w:val="auto"/>
              </w:rPr>
            </w:pPr>
            <w:r>
              <w:rPr>
                <w:rFonts w:ascii="Arial" w:cs="Arial" w:eastAsia="Arial" w:hAnsi="Arial"/>
                <w:sz w:val="11"/>
                <w:szCs w:val="11"/>
                <w:b w:val="1"/>
                <w:bCs w:val="1"/>
                <w:color w:val="009BDE"/>
                <w:w w:val="95"/>
              </w:rPr>
              <w:t>Reported</w:t>
            </w:r>
          </w:p>
        </w:tc>
        <w:tc>
          <w:tcPr>
            <w:tcW w:w="86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8"/>
              </w:rPr>
              <w:t>Adjustments</w:t>
            </w:r>
          </w:p>
        </w:tc>
        <w:tc>
          <w:tcPr>
            <w:tcW w:w="760" w:type="dxa"/>
            <w:vAlign w:val="bottom"/>
            <w:shd w:val="clear" w:color="auto" w:fill="CCEBF8"/>
          </w:tcPr>
          <w:p>
            <w:pPr>
              <w:jc w:val="right"/>
              <w:ind w:right="106"/>
              <w:spacing w:after="0"/>
              <w:rPr>
                <w:sz w:val="20"/>
                <w:szCs w:val="20"/>
                <w:color w:val="auto"/>
              </w:rPr>
            </w:pPr>
            <w:r>
              <w:rPr>
                <w:rFonts w:ascii="Arial" w:cs="Arial" w:eastAsia="Arial" w:hAnsi="Arial"/>
                <w:sz w:val="11"/>
                <w:szCs w:val="11"/>
                <w:b w:val="1"/>
                <w:bCs w:val="1"/>
                <w:color w:val="009BDE"/>
              </w:rPr>
              <w:t>Adjusted</w:t>
            </w:r>
          </w:p>
        </w:tc>
        <w:tc>
          <w:tcPr>
            <w:tcW w:w="780" w:type="dxa"/>
            <w:vAlign w:val="bottom"/>
            <w:shd w:val="clear" w:color="auto" w:fill="CCEBF8"/>
          </w:tcPr>
          <w:p>
            <w:pPr>
              <w:jc w:val="right"/>
              <w:ind w:right="86"/>
              <w:spacing w:after="0"/>
              <w:rPr>
                <w:sz w:val="20"/>
                <w:szCs w:val="20"/>
                <w:color w:val="auto"/>
              </w:rPr>
            </w:pPr>
            <w:r>
              <w:rPr>
                <w:rFonts w:ascii="Arial" w:cs="Arial" w:eastAsia="Arial" w:hAnsi="Arial"/>
                <w:sz w:val="11"/>
                <w:szCs w:val="11"/>
                <w:b w:val="1"/>
                <w:bCs w:val="1"/>
                <w:color w:val="009BDE"/>
              </w:rPr>
              <w:t>Reported</w:t>
            </w:r>
          </w:p>
        </w:tc>
        <w:tc>
          <w:tcPr>
            <w:tcW w:w="86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5"/>
              </w:rPr>
              <w:t>Adjustments</w:t>
            </w:r>
          </w:p>
        </w:tc>
        <w:tc>
          <w:tcPr>
            <w:tcW w:w="700" w:type="dxa"/>
            <w:vAlign w:val="bottom"/>
            <w:shd w:val="clear" w:color="auto" w:fill="CCEBF8"/>
          </w:tcPr>
          <w:p>
            <w:pPr>
              <w:jc w:val="right"/>
              <w:ind w:right="46"/>
              <w:spacing w:after="0"/>
              <w:rPr>
                <w:sz w:val="20"/>
                <w:szCs w:val="20"/>
                <w:color w:val="auto"/>
              </w:rPr>
            </w:pPr>
            <w:r>
              <w:rPr>
                <w:rFonts w:ascii="Arial" w:cs="Arial" w:eastAsia="Arial" w:hAnsi="Arial"/>
                <w:sz w:val="11"/>
                <w:szCs w:val="11"/>
                <w:b w:val="1"/>
                <w:bCs w:val="1"/>
                <w:color w:val="009BDE"/>
              </w:rPr>
              <w:t>Adjusted</w:t>
            </w:r>
          </w:p>
        </w:tc>
      </w:tr>
      <w:tr>
        <w:trPr>
          <w:trHeight w:val="85"/>
        </w:trPr>
        <w:tc>
          <w:tcPr>
            <w:tcW w:w="2560" w:type="dxa"/>
            <w:vAlign w:val="bottom"/>
            <w:tcBorders>
              <w:bottom w:val="single" w:sz="8" w:color="009BDE"/>
            </w:tcBorders>
            <w:shd w:val="clear" w:color="auto" w:fill="CCEBF8"/>
          </w:tcPr>
          <w:p>
            <w:pPr>
              <w:spacing w:after="0"/>
              <w:rPr>
                <w:sz w:val="7"/>
                <w:szCs w:val="7"/>
                <w:color w:val="auto"/>
              </w:rPr>
            </w:pPr>
          </w:p>
        </w:tc>
        <w:tc>
          <w:tcPr>
            <w:tcW w:w="820" w:type="dxa"/>
            <w:vAlign w:val="bottom"/>
            <w:tcBorders>
              <w:bottom w:val="single" w:sz="8" w:color="009BDE"/>
            </w:tcBorders>
            <w:shd w:val="clear" w:color="auto" w:fill="CCEBF8"/>
          </w:tcPr>
          <w:p>
            <w:pPr>
              <w:spacing w:after="0"/>
              <w:rPr>
                <w:sz w:val="7"/>
                <w:szCs w:val="7"/>
                <w:color w:val="auto"/>
              </w:rPr>
            </w:pPr>
          </w:p>
        </w:tc>
        <w:tc>
          <w:tcPr>
            <w:tcW w:w="860" w:type="dxa"/>
            <w:vAlign w:val="bottom"/>
            <w:tcBorders>
              <w:bottom w:val="single" w:sz="8" w:color="009BDE"/>
            </w:tcBorders>
            <w:shd w:val="clear" w:color="auto" w:fill="CCEBF8"/>
          </w:tcPr>
          <w:p>
            <w:pPr>
              <w:spacing w:after="0"/>
              <w:rPr>
                <w:sz w:val="7"/>
                <w:szCs w:val="7"/>
                <w:color w:val="auto"/>
              </w:rPr>
            </w:pPr>
          </w:p>
        </w:tc>
        <w:tc>
          <w:tcPr>
            <w:tcW w:w="760" w:type="dxa"/>
            <w:vAlign w:val="bottom"/>
            <w:tcBorders>
              <w:bottom w:val="single" w:sz="8" w:color="009BDE"/>
            </w:tcBorders>
            <w:shd w:val="clear" w:color="auto" w:fill="CCEBF8"/>
          </w:tcPr>
          <w:p>
            <w:pPr>
              <w:spacing w:after="0"/>
              <w:rPr>
                <w:sz w:val="7"/>
                <w:szCs w:val="7"/>
                <w:color w:val="auto"/>
              </w:rPr>
            </w:pPr>
          </w:p>
        </w:tc>
        <w:tc>
          <w:tcPr>
            <w:tcW w:w="780" w:type="dxa"/>
            <w:vAlign w:val="bottom"/>
            <w:tcBorders>
              <w:bottom w:val="single" w:sz="8" w:color="009BDE"/>
            </w:tcBorders>
            <w:shd w:val="clear" w:color="auto" w:fill="CCEBF8"/>
          </w:tcPr>
          <w:p>
            <w:pPr>
              <w:spacing w:after="0"/>
              <w:rPr>
                <w:sz w:val="7"/>
                <w:szCs w:val="7"/>
                <w:color w:val="auto"/>
              </w:rPr>
            </w:pPr>
          </w:p>
        </w:tc>
        <w:tc>
          <w:tcPr>
            <w:tcW w:w="860" w:type="dxa"/>
            <w:vAlign w:val="bottom"/>
            <w:tcBorders>
              <w:bottom w:val="single" w:sz="8" w:color="009BDE"/>
            </w:tcBorders>
            <w:shd w:val="clear" w:color="auto" w:fill="CCEBF8"/>
          </w:tcPr>
          <w:p>
            <w:pPr>
              <w:spacing w:after="0"/>
              <w:rPr>
                <w:sz w:val="7"/>
                <w:szCs w:val="7"/>
                <w:color w:val="auto"/>
              </w:rPr>
            </w:pPr>
          </w:p>
        </w:tc>
        <w:tc>
          <w:tcPr>
            <w:tcW w:w="700" w:type="dxa"/>
            <w:vAlign w:val="bottom"/>
            <w:tcBorders>
              <w:bottom w:val="single" w:sz="8" w:color="009BDE"/>
            </w:tcBorders>
            <w:shd w:val="clear" w:color="auto" w:fill="CCEBF8"/>
          </w:tcPr>
          <w:p>
            <w:pPr>
              <w:spacing w:after="0"/>
              <w:rPr>
                <w:sz w:val="7"/>
                <w:szCs w:val="7"/>
                <w:color w:val="auto"/>
              </w:rPr>
            </w:pPr>
          </w:p>
        </w:tc>
      </w:tr>
      <w:tr>
        <w:trPr>
          <w:trHeight w:val="131"/>
        </w:trPr>
        <w:tc>
          <w:tcPr>
            <w:tcW w:w="2560" w:type="dxa"/>
            <w:vAlign w:val="bottom"/>
          </w:tcPr>
          <w:p>
            <w:pPr>
              <w:ind w:left="40"/>
              <w:spacing w:after="0"/>
              <w:rPr>
                <w:sz w:val="20"/>
                <w:szCs w:val="20"/>
                <w:color w:val="auto"/>
              </w:rPr>
            </w:pPr>
            <w:r>
              <w:rPr>
                <w:rFonts w:ascii="Arial" w:cs="Arial" w:eastAsia="Arial" w:hAnsi="Arial"/>
                <w:sz w:val="11"/>
                <w:szCs w:val="11"/>
                <w:b w:val="1"/>
                <w:bCs w:val="1"/>
                <w:color w:val="auto"/>
              </w:rPr>
              <w:t>Adjusted Company Results</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87"/>
        </w:trPr>
        <w:tc>
          <w:tcPr>
            <w:tcW w:w="2560" w:type="dxa"/>
            <w:vAlign w:val="bottom"/>
          </w:tcPr>
          <w:p>
            <w:pPr>
              <w:ind w:left="40"/>
              <w:spacing w:after="0"/>
              <w:rPr>
                <w:sz w:val="20"/>
                <w:szCs w:val="20"/>
                <w:color w:val="auto"/>
              </w:rPr>
            </w:pPr>
            <w:r>
              <w:rPr>
                <w:rFonts w:ascii="Arial" w:cs="Arial" w:eastAsia="Arial" w:hAnsi="Arial"/>
                <w:sz w:val="11"/>
                <w:szCs w:val="11"/>
                <w:color w:val="auto"/>
              </w:rPr>
              <w:t>External Net Revenues</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$5,856,655</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$5,856,655</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$6,420,419</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$6,420,419</w:t>
            </w:r>
          </w:p>
        </w:tc>
      </w:tr>
      <w:tr>
        <w:trPr>
          <w:trHeight w:val="67"/>
        </w:trPr>
        <w:tc>
          <w:tcPr>
            <w:tcW w:w="256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76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r>
      <w:tr>
        <w:trPr>
          <w:trHeight w:val="183"/>
        </w:trPr>
        <w:tc>
          <w:tcPr>
            <w:tcW w:w="2560" w:type="dxa"/>
            <w:vAlign w:val="bottom"/>
          </w:tcPr>
          <w:p>
            <w:pPr>
              <w:ind w:left="40"/>
              <w:spacing w:after="0"/>
              <w:rPr>
                <w:sz w:val="20"/>
                <w:szCs w:val="20"/>
                <w:color w:val="auto"/>
              </w:rPr>
            </w:pPr>
            <w:r>
              <w:rPr>
                <w:rFonts w:ascii="Arial" w:cs="Arial" w:eastAsia="Arial" w:hAnsi="Arial"/>
                <w:sz w:val="11"/>
                <w:szCs w:val="11"/>
                <w:color w:val="auto"/>
              </w:rPr>
              <w:t>Operating Profit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407,728</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514,809</w:t>
            </w: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922,537</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763,347</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231,823</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995,169</w:t>
            </w:r>
          </w:p>
        </w:tc>
      </w:tr>
      <w:tr>
        <w:trPr>
          <w:trHeight w:val="67"/>
        </w:trPr>
        <w:tc>
          <w:tcPr>
            <w:tcW w:w="256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76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r>
      <w:tr>
        <w:trPr>
          <w:trHeight w:val="183"/>
        </w:trPr>
        <w:tc>
          <w:tcPr>
            <w:tcW w:w="2560" w:type="dxa"/>
            <w:vAlign w:val="bottom"/>
          </w:tcPr>
          <w:p>
            <w:pPr>
              <w:ind w:left="40"/>
              <w:spacing w:after="0"/>
              <w:rPr>
                <w:sz w:val="20"/>
                <w:szCs w:val="20"/>
                <w:color w:val="auto"/>
              </w:rPr>
            </w:pPr>
            <w:r>
              <w:rPr>
                <w:rFonts w:ascii="Arial" w:cs="Arial" w:eastAsia="Arial" w:hAnsi="Arial"/>
                <w:sz w:val="11"/>
                <w:szCs w:val="11"/>
                <w:color w:val="auto"/>
              </w:rPr>
              <w:t>Operating Margin</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7.0%</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8.8%</w:t>
            </w: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15.8%</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11.9%</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3.6%</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15.5%</w:t>
            </w:r>
          </w:p>
        </w:tc>
      </w:tr>
      <w:tr>
        <w:trPr>
          <w:trHeight w:val="67"/>
        </w:trPr>
        <w:tc>
          <w:tcPr>
            <w:tcW w:w="2560" w:type="dxa"/>
            <w:vAlign w:val="bottom"/>
            <w:tcBorders>
              <w:bottom w:val="single" w:sz="8" w:color="009BDE"/>
            </w:tcBorders>
          </w:tcPr>
          <w:p>
            <w:pPr>
              <w:spacing w:after="0"/>
              <w:rPr>
                <w:sz w:val="5"/>
                <w:szCs w:val="5"/>
                <w:color w:val="auto"/>
              </w:rPr>
            </w:pPr>
          </w:p>
        </w:tc>
        <w:tc>
          <w:tcPr>
            <w:tcW w:w="2440" w:type="dxa"/>
            <w:vAlign w:val="bottom"/>
            <w:tcBorders>
              <w:bottom w:val="single" w:sz="8" w:color="009BDE"/>
            </w:tcBorders>
            <w:gridSpan w:val="3"/>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r>
      <w:tr>
        <w:trPr>
          <w:trHeight w:val="156"/>
        </w:trPr>
        <w:tc>
          <w:tcPr>
            <w:tcW w:w="2560" w:type="dxa"/>
            <w:vAlign w:val="bottom"/>
            <w:shd w:val="clear" w:color="auto" w:fill="CCEBF8"/>
          </w:tcPr>
          <w:p>
            <w:pPr>
              <w:spacing w:after="0"/>
              <w:rPr>
                <w:sz w:val="13"/>
                <w:szCs w:val="13"/>
                <w:color w:val="auto"/>
              </w:rPr>
            </w:pPr>
          </w:p>
        </w:tc>
        <w:tc>
          <w:tcPr>
            <w:tcW w:w="2440" w:type="dxa"/>
            <w:vAlign w:val="bottom"/>
            <w:gridSpan w:val="3"/>
            <w:shd w:val="clear" w:color="auto" w:fill="CCEBF8"/>
          </w:tcPr>
          <w:p>
            <w:pPr>
              <w:jc w:val="center"/>
              <w:ind w:left="26"/>
              <w:spacing w:after="0"/>
              <w:rPr>
                <w:sz w:val="20"/>
                <w:szCs w:val="20"/>
                <w:color w:val="auto"/>
              </w:rPr>
            </w:pPr>
            <w:r>
              <w:rPr>
                <w:rFonts w:ascii="Arial" w:cs="Arial" w:eastAsia="Arial" w:hAnsi="Arial"/>
                <w:sz w:val="11"/>
                <w:szCs w:val="11"/>
                <w:b w:val="1"/>
                <w:bCs w:val="1"/>
                <w:color w:val="009BDE"/>
                <w:w w:val="98"/>
              </w:rPr>
              <w:t>Year Ended December 27, 2020</w:t>
            </w:r>
          </w:p>
        </w:tc>
        <w:tc>
          <w:tcPr>
            <w:tcW w:w="780" w:type="dxa"/>
            <w:vAlign w:val="bottom"/>
            <w:shd w:val="clear" w:color="auto" w:fill="CCEBF8"/>
          </w:tcPr>
          <w:p>
            <w:pPr>
              <w:spacing w:after="0"/>
              <w:rPr>
                <w:sz w:val="13"/>
                <w:szCs w:val="13"/>
                <w:color w:val="auto"/>
              </w:rPr>
            </w:pPr>
          </w:p>
        </w:tc>
        <w:tc>
          <w:tcPr>
            <w:tcW w:w="860" w:type="dxa"/>
            <w:vAlign w:val="bottom"/>
            <w:shd w:val="clear" w:color="auto" w:fill="CCEBF8"/>
          </w:tcPr>
          <w:p>
            <w:pPr>
              <w:spacing w:after="0"/>
              <w:rPr>
                <w:sz w:val="13"/>
                <w:szCs w:val="13"/>
                <w:color w:val="auto"/>
              </w:rPr>
            </w:pPr>
          </w:p>
        </w:tc>
        <w:tc>
          <w:tcPr>
            <w:tcW w:w="700" w:type="dxa"/>
            <w:vAlign w:val="bottom"/>
            <w:shd w:val="clear" w:color="auto" w:fill="CCEBF8"/>
          </w:tcPr>
          <w:p>
            <w:pPr>
              <w:spacing w:after="0"/>
              <w:rPr>
                <w:sz w:val="13"/>
                <w:szCs w:val="13"/>
                <w:color w:val="auto"/>
              </w:rPr>
            </w:pPr>
          </w:p>
        </w:tc>
      </w:tr>
      <w:tr>
        <w:trPr>
          <w:trHeight w:val="173"/>
        </w:trPr>
        <w:tc>
          <w:tcPr>
            <w:tcW w:w="2560" w:type="dxa"/>
            <w:vAlign w:val="bottom"/>
            <w:shd w:val="clear" w:color="auto" w:fill="CCEBF8"/>
          </w:tcPr>
          <w:p>
            <w:pPr>
              <w:spacing w:after="0"/>
              <w:rPr>
                <w:sz w:val="15"/>
                <w:szCs w:val="15"/>
                <w:color w:val="auto"/>
              </w:rPr>
            </w:pPr>
          </w:p>
        </w:tc>
        <w:tc>
          <w:tcPr>
            <w:tcW w:w="820" w:type="dxa"/>
            <w:vAlign w:val="bottom"/>
            <w:shd w:val="clear" w:color="auto" w:fill="CCEBF8"/>
          </w:tcPr>
          <w:p>
            <w:pPr>
              <w:jc w:val="center"/>
              <w:ind w:left="26"/>
              <w:spacing w:after="0"/>
              <w:rPr>
                <w:sz w:val="20"/>
                <w:szCs w:val="20"/>
                <w:color w:val="auto"/>
              </w:rPr>
            </w:pPr>
            <w:r>
              <w:rPr>
                <w:rFonts w:ascii="Arial" w:cs="Arial" w:eastAsia="Arial" w:hAnsi="Arial"/>
                <w:sz w:val="11"/>
                <w:szCs w:val="11"/>
                <w:b w:val="1"/>
                <w:bCs w:val="1"/>
                <w:color w:val="009BDE"/>
                <w:w w:val="99"/>
              </w:rPr>
              <w:t>As</w:t>
            </w:r>
          </w:p>
        </w:tc>
        <w:tc>
          <w:tcPr>
            <w:tcW w:w="86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8"/>
              </w:rPr>
              <w:t>Non-GAAP</w:t>
            </w:r>
          </w:p>
        </w:tc>
        <w:tc>
          <w:tcPr>
            <w:tcW w:w="760" w:type="dxa"/>
            <w:vAlign w:val="bottom"/>
            <w:shd w:val="clear" w:color="auto" w:fill="CCEBF8"/>
          </w:tcPr>
          <w:p>
            <w:pPr>
              <w:spacing w:after="0"/>
              <w:rPr>
                <w:sz w:val="15"/>
                <w:szCs w:val="15"/>
                <w:color w:val="auto"/>
              </w:rPr>
            </w:pPr>
          </w:p>
        </w:tc>
        <w:tc>
          <w:tcPr>
            <w:tcW w:w="780" w:type="dxa"/>
            <w:vAlign w:val="bottom"/>
            <w:shd w:val="clear" w:color="auto" w:fill="CCEBF8"/>
          </w:tcPr>
          <w:p>
            <w:pPr>
              <w:spacing w:after="0"/>
              <w:rPr>
                <w:sz w:val="15"/>
                <w:szCs w:val="15"/>
                <w:color w:val="auto"/>
              </w:rPr>
            </w:pPr>
          </w:p>
        </w:tc>
        <w:tc>
          <w:tcPr>
            <w:tcW w:w="860" w:type="dxa"/>
            <w:vAlign w:val="bottom"/>
            <w:shd w:val="clear" w:color="auto" w:fill="CCEBF8"/>
          </w:tcPr>
          <w:p>
            <w:pPr>
              <w:spacing w:after="0"/>
              <w:rPr>
                <w:sz w:val="15"/>
                <w:szCs w:val="15"/>
                <w:color w:val="auto"/>
              </w:rPr>
            </w:pPr>
          </w:p>
        </w:tc>
        <w:tc>
          <w:tcPr>
            <w:tcW w:w="700" w:type="dxa"/>
            <w:vAlign w:val="bottom"/>
            <w:shd w:val="clear" w:color="auto" w:fill="CCEBF8"/>
          </w:tcPr>
          <w:p>
            <w:pPr>
              <w:spacing w:after="0"/>
              <w:rPr>
                <w:sz w:val="15"/>
                <w:szCs w:val="15"/>
                <w:color w:val="auto"/>
              </w:rPr>
            </w:pPr>
          </w:p>
        </w:tc>
      </w:tr>
      <w:tr>
        <w:trPr>
          <w:trHeight w:val="151"/>
        </w:trPr>
        <w:tc>
          <w:tcPr>
            <w:tcW w:w="2560" w:type="dxa"/>
            <w:vAlign w:val="bottom"/>
            <w:shd w:val="clear" w:color="auto" w:fill="CCEBF8"/>
          </w:tcPr>
          <w:p>
            <w:pPr>
              <w:spacing w:after="0"/>
              <w:rPr>
                <w:sz w:val="13"/>
                <w:szCs w:val="13"/>
                <w:color w:val="auto"/>
              </w:rPr>
            </w:pPr>
          </w:p>
        </w:tc>
        <w:tc>
          <w:tcPr>
            <w:tcW w:w="820" w:type="dxa"/>
            <w:vAlign w:val="bottom"/>
            <w:shd w:val="clear" w:color="auto" w:fill="CCEBF8"/>
          </w:tcPr>
          <w:p>
            <w:pPr>
              <w:jc w:val="center"/>
              <w:ind w:left="26"/>
              <w:spacing w:after="0"/>
              <w:rPr>
                <w:sz w:val="20"/>
                <w:szCs w:val="20"/>
                <w:color w:val="auto"/>
              </w:rPr>
            </w:pPr>
            <w:r>
              <w:rPr>
                <w:rFonts w:ascii="Arial" w:cs="Arial" w:eastAsia="Arial" w:hAnsi="Arial"/>
                <w:sz w:val="11"/>
                <w:szCs w:val="11"/>
                <w:b w:val="1"/>
                <w:bCs w:val="1"/>
                <w:color w:val="009BDE"/>
                <w:w w:val="95"/>
              </w:rPr>
              <w:t>Reported</w:t>
            </w:r>
          </w:p>
        </w:tc>
        <w:tc>
          <w:tcPr>
            <w:tcW w:w="86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w w:val="98"/>
              </w:rPr>
              <w:t>Adjustments</w:t>
            </w:r>
          </w:p>
        </w:tc>
        <w:tc>
          <w:tcPr>
            <w:tcW w:w="760" w:type="dxa"/>
            <w:vAlign w:val="bottom"/>
            <w:shd w:val="clear" w:color="auto" w:fill="CCEBF8"/>
          </w:tcPr>
          <w:p>
            <w:pPr>
              <w:jc w:val="right"/>
              <w:ind w:right="106"/>
              <w:spacing w:after="0"/>
              <w:rPr>
                <w:sz w:val="20"/>
                <w:szCs w:val="20"/>
                <w:color w:val="auto"/>
              </w:rPr>
            </w:pPr>
            <w:r>
              <w:rPr>
                <w:rFonts w:ascii="Arial" w:cs="Arial" w:eastAsia="Arial" w:hAnsi="Arial"/>
                <w:sz w:val="11"/>
                <w:szCs w:val="11"/>
                <w:b w:val="1"/>
                <w:bCs w:val="1"/>
                <w:color w:val="009BDE"/>
              </w:rPr>
              <w:t>Adjusted</w:t>
            </w:r>
          </w:p>
        </w:tc>
        <w:tc>
          <w:tcPr>
            <w:tcW w:w="780" w:type="dxa"/>
            <w:vAlign w:val="bottom"/>
            <w:shd w:val="clear" w:color="auto" w:fill="CCEBF8"/>
          </w:tcPr>
          <w:p>
            <w:pPr>
              <w:spacing w:after="0"/>
              <w:rPr>
                <w:sz w:val="13"/>
                <w:szCs w:val="13"/>
                <w:color w:val="auto"/>
              </w:rPr>
            </w:pPr>
          </w:p>
        </w:tc>
        <w:tc>
          <w:tcPr>
            <w:tcW w:w="860" w:type="dxa"/>
            <w:vAlign w:val="bottom"/>
            <w:shd w:val="clear" w:color="auto" w:fill="CCEBF8"/>
          </w:tcPr>
          <w:p>
            <w:pPr>
              <w:spacing w:after="0"/>
              <w:rPr>
                <w:sz w:val="13"/>
                <w:szCs w:val="13"/>
                <w:color w:val="auto"/>
              </w:rPr>
            </w:pPr>
          </w:p>
        </w:tc>
        <w:tc>
          <w:tcPr>
            <w:tcW w:w="700" w:type="dxa"/>
            <w:vAlign w:val="bottom"/>
            <w:shd w:val="clear" w:color="auto" w:fill="CCEBF8"/>
          </w:tcPr>
          <w:p>
            <w:pPr>
              <w:spacing w:after="0"/>
              <w:rPr>
                <w:sz w:val="13"/>
                <w:szCs w:val="13"/>
                <w:color w:val="auto"/>
              </w:rPr>
            </w:pPr>
          </w:p>
        </w:tc>
      </w:tr>
      <w:tr>
        <w:trPr>
          <w:trHeight w:val="85"/>
        </w:trPr>
        <w:tc>
          <w:tcPr>
            <w:tcW w:w="2560" w:type="dxa"/>
            <w:vAlign w:val="bottom"/>
            <w:tcBorders>
              <w:bottom w:val="single" w:sz="8" w:color="009BDE"/>
            </w:tcBorders>
            <w:shd w:val="clear" w:color="auto" w:fill="CCEBF8"/>
          </w:tcPr>
          <w:p>
            <w:pPr>
              <w:spacing w:after="0"/>
              <w:rPr>
                <w:sz w:val="7"/>
                <w:szCs w:val="7"/>
                <w:color w:val="auto"/>
              </w:rPr>
            </w:pPr>
          </w:p>
        </w:tc>
        <w:tc>
          <w:tcPr>
            <w:tcW w:w="820" w:type="dxa"/>
            <w:vAlign w:val="bottom"/>
            <w:tcBorders>
              <w:bottom w:val="single" w:sz="8" w:color="009BDE"/>
            </w:tcBorders>
            <w:shd w:val="clear" w:color="auto" w:fill="CCEBF8"/>
          </w:tcPr>
          <w:p>
            <w:pPr>
              <w:spacing w:after="0"/>
              <w:rPr>
                <w:sz w:val="7"/>
                <w:szCs w:val="7"/>
                <w:color w:val="auto"/>
              </w:rPr>
            </w:pPr>
          </w:p>
        </w:tc>
        <w:tc>
          <w:tcPr>
            <w:tcW w:w="860" w:type="dxa"/>
            <w:vAlign w:val="bottom"/>
            <w:tcBorders>
              <w:bottom w:val="single" w:sz="8" w:color="009BDE"/>
            </w:tcBorders>
            <w:shd w:val="clear" w:color="auto" w:fill="CCEBF8"/>
          </w:tcPr>
          <w:p>
            <w:pPr>
              <w:spacing w:after="0"/>
              <w:rPr>
                <w:sz w:val="7"/>
                <w:szCs w:val="7"/>
                <w:color w:val="auto"/>
              </w:rPr>
            </w:pPr>
          </w:p>
        </w:tc>
        <w:tc>
          <w:tcPr>
            <w:tcW w:w="760" w:type="dxa"/>
            <w:vAlign w:val="bottom"/>
            <w:tcBorders>
              <w:bottom w:val="single" w:sz="8" w:color="009BDE"/>
            </w:tcBorders>
            <w:shd w:val="clear" w:color="auto" w:fill="CCEBF8"/>
          </w:tcPr>
          <w:p>
            <w:pPr>
              <w:spacing w:after="0"/>
              <w:rPr>
                <w:sz w:val="7"/>
                <w:szCs w:val="7"/>
                <w:color w:val="auto"/>
              </w:rPr>
            </w:pPr>
          </w:p>
        </w:tc>
        <w:tc>
          <w:tcPr>
            <w:tcW w:w="780" w:type="dxa"/>
            <w:vAlign w:val="bottom"/>
            <w:tcBorders>
              <w:bottom w:val="single" w:sz="8" w:color="009BDE"/>
            </w:tcBorders>
            <w:shd w:val="clear" w:color="auto" w:fill="CCEBF8"/>
          </w:tcPr>
          <w:p>
            <w:pPr>
              <w:spacing w:after="0"/>
              <w:rPr>
                <w:sz w:val="7"/>
                <w:szCs w:val="7"/>
                <w:color w:val="auto"/>
              </w:rPr>
            </w:pPr>
          </w:p>
        </w:tc>
        <w:tc>
          <w:tcPr>
            <w:tcW w:w="860" w:type="dxa"/>
            <w:vAlign w:val="bottom"/>
            <w:tcBorders>
              <w:bottom w:val="single" w:sz="8" w:color="009BDE"/>
            </w:tcBorders>
            <w:shd w:val="clear" w:color="auto" w:fill="CCEBF8"/>
          </w:tcPr>
          <w:p>
            <w:pPr>
              <w:spacing w:after="0"/>
              <w:rPr>
                <w:sz w:val="7"/>
                <w:szCs w:val="7"/>
                <w:color w:val="auto"/>
              </w:rPr>
            </w:pPr>
          </w:p>
        </w:tc>
        <w:tc>
          <w:tcPr>
            <w:tcW w:w="700" w:type="dxa"/>
            <w:vAlign w:val="bottom"/>
            <w:tcBorders>
              <w:bottom w:val="single" w:sz="8" w:color="009BDE"/>
            </w:tcBorders>
            <w:shd w:val="clear" w:color="auto" w:fill="CCEBF8"/>
          </w:tcPr>
          <w:p>
            <w:pPr>
              <w:spacing w:after="0"/>
              <w:rPr>
                <w:sz w:val="7"/>
                <w:szCs w:val="7"/>
                <w:color w:val="auto"/>
              </w:rPr>
            </w:pPr>
          </w:p>
        </w:tc>
      </w:tr>
      <w:tr>
        <w:trPr>
          <w:trHeight w:val="131"/>
        </w:trPr>
        <w:tc>
          <w:tcPr>
            <w:tcW w:w="2560" w:type="dxa"/>
            <w:vAlign w:val="bottom"/>
          </w:tcPr>
          <w:p>
            <w:pPr>
              <w:ind w:left="40"/>
              <w:spacing w:after="0"/>
              <w:rPr>
                <w:sz w:val="20"/>
                <w:szCs w:val="20"/>
                <w:color w:val="auto"/>
              </w:rPr>
            </w:pPr>
            <w:r>
              <w:rPr>
                <w:rFonts w:ascii="Arial" w:cs="Arial" w:eastAsia="Arial" w:hAnsi="Arial"/>
                <w:sz w:val="11"/>
                <w:szCs w:val="11"/>
                <w:b w:val="1"/>
                <w:bCs w:val="1"/>
                <w:color w:val="auto"/>
              </w:rPr>
              <w:t>Adjusted Company Results</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87"/>
        </w:trPr>
        <w:tc>
          <w:tcPr>
            <w:tcW w:w="2560" w:type="dxa"/>
            <w:vAlign w:val="bottom"/>
          </w:tcPr>
          <w:p>
            <w:pPr>
              <w:ind w:left="40"/>
              <w:spacing w:after="0"/>
              <w:rPr>
                <w:sz w:val="20"/>
                <w:szCs w:val="20"/>
                <w:color w:val="auto"/>
              </w:rPr>
            </w:pPr>
            <w:r>
              <w:rPr>
                <w:rFonts w:ascii="Arial" w:cs="Arial" w:eastAsia="Arial" w:hAnsi="Arial"/>
                <w:sz w:val="11"/>
                <w:szCs w:val="11"/>
                <w:color w:val="auto"/>
              </w:rPr>
              <w:t>External Net Revenues</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$5,465,443</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$5,465,443</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67"/>
        </w:trPr>
        <w:tc>
          <w:tcPr>
            <w:tcW w:w="256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76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r>
      <w:tr>
        <w:trPr>
          <w:trHeight w:val="183"/>
        </w:trPr>
        <w:tc>
          <w:tcPr>
            <w:tcW w:w="2560" w:type="dxa"/>
            <w:vAlign w:val="bottom"/>
          </w:tcPr>
          <w:p>
            <w:pPr>
              <w:ind w:left="40"/>
              <w:spacing w:after="0"/>
              <w:rPr>
                <w:sz w:val="20"/>
                <w:szCs w:val="20"/>
                <w:color w:val="auto"/>
              </w:rPr>
            </w:pPr>
            <w:r>
              <w:rPr>
                <w:rFonts w:ascii="Arial" w:cs="Arial" w:eastAsia="Arial" w:hAnsi="Arial"/>
                <w:sz w:val="11"/>
                <w:szCs w:val="11"/>
                <w:color w:val="auto"/>
              </w:rPr>
              <w:t>Operating Profit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501,814</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324,892</w:t>
            </w: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826,706</w:t>
            </w: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67"/>
        </w:trPr>
        <w:tc>
          <w:tcPr>
            <w:tcW w:w="256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76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r>
      <w:tr>
        <w:trPr>
          <w:trHeight w:val="183"/>
        </w:trPr>
        <w:tc>
          <w:tcPr>
            <w:tcW w:w="2560" w:type="dxa"/>
            <w:vAlign w:val="bottom"/>
          </w:tcPr>
          <w:p>
            <w:pPr>
              <w:ind w:left="40"/>
              <w:spacing w:after="0"/>
              <w:rPr>
                <w:sz w:val="20"/>
                <w:szCs w:val="20"/>
                <w:color w:val="auto"/>
              </w:rPr>
            </w:pPr>
            <w:r>
              <w:rPr>
                <w:rFonts w:ascii="Arial" w:cs="Arial" w:eastAsia="Arial" w:hAnsi="Arial"/>
                <w:sz w:val="11"/>
                <w:szCs w:val="11"/>
                <w:color w:val="auto"/>
              </w:rPr>
              <w:t>Operating Margin</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9.2%</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5.9%</w:t>
            </w: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15.1%</w:t>
            </w: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67"/>
        </w:trPr>
        <w:tc>
          <w:tcPr>
            <w:tcW w:w="256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76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8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3971925" cy="21717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5" w:lineRule="exact"/>
        <w:rPr>
          <w:sz w:val="20"/>
          <w:szCs w:val="20"/>
          <w:color w:val="auto"/>
        </w:rPr>
      </w:pPr>
    </w:p>
    <w:p>
      <w:pPr>
        <w:ind w:left="2060"/>
        <w:spacing w:after="0"/>
        <w:rPr>
          <w:sz w:val="20"/>
          <w:szCs w:val="20"/>
          <w:color w:val="auto"/>
        </w:rPr>
      </w:pPr>
      <w:r>
        <w:rPr>
          <w:rFonts w:ascii="Arial" w:cs="Arial" w:eastAsia="Arial" w:hAnsi="Arial"/>
          <w:sz w:val="12"/>
          <w:szCs w:val="12"/>
          <w:b w:val="1"/>
          <w:bCs w:val="1"/>
          <w:color w:val="FCFCFC"/>
        </w:rPr>
        <w:t>A-2</w:t>
      </w:r>
    </w:p>
    <w:p>
      <w:pPr>
        <w:sectPr>
          <w:pgSz w:w="11900" w:h="16838" w:orient="portrait"/>
          <w:cols w:equalWidth="0" w:num="1">
            <w:col w:w="10159"/>
          </w:cols>
          <w:pgMar w:left="300" w:top="372" w:right="1440" w:bottom="1440" w:gutter="0" w:footer="0" w:header="0"/>
        </w:sectPr>
      </w:pPr>
    </w:p>
    <w:bookmarkStart w:id="128" w:name="page129"/>
    <w:bookmarkEnd w:id="12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Reconciliation of Net Earnings and Earnings Per Share</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(Unaudited)</w:t>
      </w:r>
    </w:p>
    <w:p>
      <w:pPr>
        <w:spacing w:after="0" w:line="12"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(Thousands of Dollars)</w:t>
      </w:r>
    </w:p>
    <w:p>
      <w:pPr>
        <w:spacing w:after="0" w:line="160" w:lineRule="exact"/>
        <w:rPr>
          <w:sz w:val="20"/>
          <w:szCs w:val="20"/>
          <w:color w:val="auto"/>
        </w:rPr>
      </w:pPr>
    </w:p>
    <w:tbl>
      <w:tblPr>
        <w:tblLayout w:type="fixed"/>
        <w:tblInd w:w="1980" w:type="dxa"/>
        <w:tblCellMar>
          <w:top w:w="0" w:type="dxa"/>
          <w:left w:w="0" w:type="dxa"/>
          <w:bottom w:w="0" w:type="dxa"/>
          <w:right w:w="0" w:type="dxa"/>
        </w:tblCellMar>
      </w:tblPr>
      <w:tr>
        <w:trPr>
          <w:trHeight w:val="141"/>
        </w:trPr>
        <w:tc>
          <w:tcPr>
            <w:tcW w:w="2000" w:type="dxa"/>
            <w:vAlign w:val="bottom"/>
            <w:shd w:val="clear" w:color="auto" w:fill="CCEBF8"/>
          </w:tcPr>
          <w:p>
            <w:pPr>
              <w:spacing w:after="0"/>
              <w:rPr>
                <w:sz w:val="12"/>
                <w:szCs w:val="12"/>
                <w:color w:val="auto"/>
              </w:rPr>
            </w:pPr>
          </w:p>
        </w:tc>
        <w:tc>
          <w:tcPr>
            <w:tcW w:w="920" w:type="dxa"/>
            <w:vAlign w:val="bottom"/>
            <w:shd w:val="clear" w:color="auto" w:fill="CCEBF8"/>
          </w:tcPr>
          <w:p>
            <w:pPr>
              <w:spacing w:after="0"/>
              <w:rPr>
                <w:sz w:val="12"/>
                <w:szCs w:val="12"/>
                <w:color w:val="auto"/>
              </w:rPr>
            </w:pPr>
          </w:p>
        </w:tc>
        <w:tc>
          <w:tcPr>
            <w:tcW w:w="960" w:type="dxa"/>
            <w:vAlign w:val="bottom"/>
            <w:shd w:val="clear" w:color="auto" w:fill="CCEBF8"/>
          </w:tcPr>
          <w:p>
            <w:pPr>
              <w:spacing w:after="0"/>
              <w:rPr>
                <w:sz w:val="12"/>
                <w:szCs w:val="12"/>
                <w:color w:val="auto"/>
              </w:rPr>
            </w:pPr>
          </w:p>
        </w:tc>
        <w:tc>
          <w:tcPr>
            <w:tcW w:w="680" w:type="dxa"/>
            <w:vAlign w:val="bottom"/>
            <w:shd w:val="clear" w:color="auto" w:fill="CCEBF8"/>
          </w:tcPr>
          <w:p>
            <w:pPr>
              <w:spacing w:after="0"/>
              <w:rPr>
                <w:sz w:val="12"/>
                <w:szCs w:val="12"/>
                <w:color w:val="auto"/>
              </w:rPr>
            </w:pPr>
          </w:p>
        </w:tc>
        <w:tc>
          <w:tcPr>
            <w:tcW w:w="1080" w:type="dxa"/>
            <w:vAlign w:val="bottom"/>
            <w:shd w:val="clear" w:color="auto" w:fill="CCEBF8"/>
          </w:tcPr>
          <w:p>
            <w:pPr>
              <w:jc w:val="right"/>
              <w:ind w:right="569"/>
              <w:spacing w:after="0"/>
              <w:rPr>
                <w:sz w:val="20"/>
                <w:szCs w:val="20"/>
                <w:color w:val="auto"/>
              </w:rPr>
            </w:pPr>
            <w:r>
              <w:rPr>
                <w:rFonts w:ascii="Arial" w:cs="Arial" w:eastAsia="Arial" w:hAnsi="Arial"/>
                <w:sz w:val="8"/>
                <w:szCs w:val="8"/>
                <w:b w:val="1"/>
                <w:bCs w:val="1"/>
                <w:color w:val="009BDE"/>
                <w:w w:val="99"/>
              </w:rPr>
              <w:t>Year Ended</w:t>
            </w:r>
          </w:p>
        </w:tc>
        <w:tc>
          <w:tcPr>
            <w:tcW w:w="820" w:type="dxa"/>
            <w:vAlign w:val="bottom"/>
            <w:shd w:val="clear" w:color="auto" w:fill="CCEBF8"/>
          </w:tcPr>
          <w:p>
            <w:pPr>
              <w:spacing w:after="0"/>
              <w:rPr>
                <w:sz w:val="12"/>
                <w:szCs w:val="12"/>
                <w:color w:val="auto"/>
              </w:rPr>
            </w:pPr>
          </w:p>
        </w:tc>
        <w:tc>
          <w:tcPr>
            <w:tcW w:w="880" w:type="dxa"/>
            <w:vAlign w:val="bottom"/>
            <w:shd w:val="clear" w:color="auto" w:fill="CCEBF8"/>
          </w:tcPr>
          <w:p>
            <w:pPr>
              <w:spacing w:after="0"/>
              <w:rPr>
                <w:sz w:val="12"/>
                <w:szCs w:val="12"/>
                <w:color w:val="auto"/>
              </w:rPr>
            </w:pPr>
          </w:p>
        </w:tc>
      </w:tr>
      <w:tr>
        <w:trPr>
          <w:trHeight w:val="133"/>
        </w:trPr>
        <w:tc>
          <w:tcPr>
            <w:tcW w:w="2000" w:type="dxa"/>
            <w:vAlign w:val="bottom"/>
            <w:shd w:val="clear" w:color="auto" w:fill="CCEBF8"/>
          </w:tcPr>
          <w:p>
            <w:pPr>
              <w:spacing w:after="0"/>
              <w:rPr>
                <w:sz w:val="11"/>
                <w:szCs w:val="11"/>
                <w:color w:val="auto"/>
              </w:rPr>
            </w:pPr>
          </w:p>
        </w:tc>
        <w:tc>
          <w:tcPr>
            <w:tcW w:w="920" w:type="dxa"/>
            <w:vAlign w:val="bottom"/>
            <w:shd w:val="clear" w:color="auto" w:fill="CCEBF8"/>
          </w:tcPr>
          <w:p>
            <w:pPr>
              <w:jc w:val="right"/>
              <w:ind w:right="68"/>
              <w:spacing w:after="0"/>
              <w:rPr>
                <w:sz w:val="20"/>
                <w:szCs w:val="20"/>
                <w:color w:val="auto"/>
              </w:rPr>
            </w:pPr>
            <w:r>
              <w:rPr>
                <w:rFonts w:ascii="Arial" w:cs="Arial" w:eastAsia="Arial" w:hAnsi="Arial"/>
                <w:sz w:val="8"/>
                <w:szCs w:val="8"/>
                <w:b w:val="1"/>
                <w:bCs w:val="1"/>
                <w:color w:val="009BDE"/>
              </w:rPr>
              <w:t>December 25,</w:t>
            </w:r>
          </w:p>
        </w:tc>
        <w:tc>
          <w:tcPr>
            <w:tcW w:w="960" w:type="dxa"/>
            <w:vAlign w:val="bottom"/>
            <w:shd w:val="clear" w:color="auto" w:fill="CCEBF8"/>
          </w:tcPr>
          <w:p>
            <w:pPr>
              <w:jc w:val="right"/>
              <w:ind w:right="68"/>
              <w:spacing w:after="0"/>
              <w:rPr>
                <w:sz w:val="20"/>
                <w:szCs w:val="20"/>
                <w:color w:val="auto"/>
              </w:rPr>
            </w:pPr>
            <w:r>
              <w:rPr>
                <w:rFonts w:ascii="Arial" w:cs="Arial" w:eastAsia="Arial" w:hAnsi="Arial"/>
                <w:sz w:val="8"/>
                <w:szCs w:val="8"/>
                <w:b w:val="1"/>
                <w:bCs w:val="1"/>
                <w:color w:val="009BDE"/>
              </w:rPr>
              <w:t>Diluted Per Share</w:t>
            </w:r>
          </w:p>
        </w:tc>
        <w:tc>
          <w:tcPr>
            <w:tcW w:w="680" w:type="dxa"/>
            <w:vAlign w:val="bottom"/>
            <w:shd w:val="clear" w:color="auto" w:fill="CCEBF8"/>
          </w:tcPr>
          <w:p>
            <w:pPr>
              <w:jc w:val="right"/>
              <w:spacing w:after="0"/>
              <w:rPr>
                <w:sz w:val="20"/>
                <w:szCs w:val="20"/>
                <w:color w:val="auto"/>
              </w:rPr>
            </w:pPr>
            <w:r>
              <w:rPr>
                <w:rFonts w:ascii="Arial" w:cs="Arial" w:eastAsia="Arial" w:hAnsi="Arial"/>
                <w:sz w:val="8"/>
                <w:szCs w:val="8"/>
                <w:b w:val="1"/>
                <w:bCs w:val="1"/>
                <w:color w:val="009BDE"/>
              </w:rPr>
              <w:t>December 26,</w:t>
            </w:r>
          </w:p>
        </w:tc>
        <w:tc>
          <w:tcPr>
            <w:tcW w:w="1080" w:type="dxa"/>
            <w:vAlign w:val="bottom"/>
            <w:shd w:val="clear" w:color="auto" w:fill="CCEBF8"/>
          </w:tcPr>
          <w:p>
            <w:pPr>
              <w:jc w:val="right"/>
              <w:ind w:right="69"/>
              <w:spacing w:after="0"/>
              <w:rPr>
                <w:sz w:val="20"/>
                <w:szCs w:val="20"/>
                <w:color w:val="auto"/>
              </w:rPr>
            </w:pPr>
            <w:r>
              <w:rPr>
                <w:rFonts w:ascii="Arial" w:cs="Arial" w:eastAsia="Arial" w:hAnsi="Arial"/>
                <w:sz w:val="8"/>
                <w:szCs w:val="8"/>
                <w:b w:val="1"/>
                <w:bCs w:val="1"/>
                <w:color w:val="009BDE"/>
              </w:rPr>
              <w:t>Diluted Per Share</w:t>
            </w:r>
          </w:p>
        </w:tc>
        <w:tc>
          <w:tcPr>
            <w:tcW w:w="820" w:type="dxa"/>
            <w:vAlign w:val="bottom"/>
            <w:shd w:val="clear" w:color="auto" w:fill="CCEBF8"/>
          </w:tcPr>
          <w:p>
            <w:pPr>
              <w:jc w:val="right"/>
              <w:ind w:right="88"/>
              <w:spacing w:after="0"/>
              <w:rPr>
                <w:sz w:val="20"/>
                <w:szCs w:val="20"/>
                <w:color w:val="auto"/>
              </w:rPr>
            </w:pPr>
            <w:r>
              <w:rPr>
                <w:rFonts w:ascii="Arial" w:cs="Arial" w:eastAsia="Arial" w:hAnsi="Arial"/>
                <w:sz w:val="8"/>
                <w:szCs w:val="8"/>
                <w:b w:val="1"/>
                <w:bCs w:val="1"/>
                <w:color w:val="009BDE"/>
              </w:rPr>
              <w:t>December 27,</w:t>
            </w:r>
          </w:p>
        </w:tc>
        <w:tc>
          <w:tcPr>
            <w:tcW w:w="880" w:type="dxa"/>
            <w:vAlign w:val="bottom"/>
            <w:shd w:val="clear" w:color="auto" w:fill="CCEBF8"/>
          </w:tcPr>
          <w:p>
            <w:pPr>
              <w:jc w:val="right"/>
              <w:ind w:right="8"/>
              <w:spacing w:after="0"/>
              <w:rPr>
                <w:sz w:val="20"/>
                <w:szCs w:val="20"/>
                <w:color w:val="auto"/>
              </w:rPr>
            </w:pPr>
            <w:r>
              <w:rPr>
                <w:rFonts w:ascii="Arial" w:cs="Arial" w:eastAsia="Arial" w:hAnsi="Arial"/>
                <w:sz w:val="8"/>
                <w:szCs w:val="8"/>
                <w:b w:val="1"/>
                <w:bCs w:val="1"/>
                <w:color w:val="009BDE"/>
              </w:rPr>
              <w:t>Diluted Per Share</w:t>
            </w:r>
          </w:p>
        </w:tc>
      </w:tr>
      <w:tr>
        <w:trPr>
          <w:trHeight w:val="119"/>
        </w:trPr>
        <w:tc>
          <w:tcPr>
            <w:tcW w:w="2000" w:type="dxa"/>
            <w:vAlign w:val="bottom"/>
            <w:shd w:val="clear" w:color="auto" w:fill="CCEBF8"/>
          </w:tcPr>
          <w:p>
            <w:pPr>
              <w:ind w:left="40"/>
              <w:spacing w:after="0"/>
              <w:rPr>
                <w:sz w:val="20"/>
                <w:szCs w:val="20"/>
                <w:color w:val="auto"/>
              </w:rPr>
            </w:pPr>
            <w:r>
              <w:rPr>
                <w:rFonts w:ascii="Arial" w:cs="Arial" w:eastAsia="Arial" w:hAnsi="Arial"/>
                <w:sz w:val="8"/>
                <w:szCs w:val="8"/>
                <w:i w:val="1"/>
                <w:iCs w:val="1"/>
                <w:color w:val="009BDE"/>
              </w:rPr>
              <w:t>(all adjustments reported after-tax)</w:t>
            </w:r>
          </w:p>
        </w:tc>
        <w:tc>
          <w:tcPr>
            <w:tcW w:w="920" w:type="dxa"/>
            <w:vAlign w:val="bottom"/>
            <w:shd w:val="clear" w:color="auto" w:fill="CCEBF8"/>
          </w:tcPr>
          <w:p>
            <w:pPr>
              <w:jc w:val="right"/>
              <w:ind w:right="248"/>
              <w:spacing w:after="0"/>
              <w:rPr>
                <w:sz w:val="20"/>
                <w:szCs w:val="20"/>
                <w:color w:val="auto"/>
              </w:rPr>
            </w:pPr>
            <w:r>
              <w:rPr>
                <w:rFonts w:ascii="Arial" w:cs="Arial" w:eastAsia="Arial" w:hAnsi="Arial"/>
                <w:sz w:val="8"/>
                <w:szCs w:val="8"/>
                <w:b w:val="1"/>
                <w:bCs w:val="1"/>
                <w:color w:val="009BDE"/>
              </w:rPr>
              <w:t>2022</w:t>
            </w:r>
          </w:p>
        </w:tc>
        <w:tc>
          <w:tcPr>
            <w:tcW w:w="960" w:type="dxa"/>
            <w:vAlign w:val="bottom"/>
            <w:shd w:val="clear" w:color="auto" w:fill="CCEBF8"/>
          </w:tcPr>
          <w:p>
            <w:pPr>
              <w:jc w:val="right"/>
              <w:ind w:right="268"/>
              <w:spacing w:after="0"/>
              <w:rPr>
                <w:sz w:val="20"/>
                <w:szCs w:val="20"/>
                <w:color w:val="auto"/>
              </w:rPr>
            </w:pPr>
            <w:r>
              <w:rPr>
                <w:rFonts w:ascii="Arial" w:cs="Arial" w:eastAsia="Arial" w:hAnsi="Arial"/>
                <w:sz w:val="8"/>
                <w:szCs w:val="8"/>
                <w:b w:val="1"/>
                <w:bCs w:val="1"/>
                <w:color w:val="009BDE"/>
              </w:rPr>
              <w:t>Amount</w:t>
            </w:r>
          </w:p>
        </w:tc>
        <w:tc>
          <w:tcPr>
            <w:tcW w:w="680" w:type="dxa"/>
            <w:vAlign w:val="bottom"/>
            <w:shd w:val="clear" w:color="auto" w:fill="CCEBF8"/>
          </w:tcPr>
          <w:p>
            <w:pPr>
              <w:jc w:val="right"/>
              <w:ind w:right="128"/>
              <w:spacing w:after="0"/>
              <w:rPr>
                <w:sz w:val="20"/>
                <w:szCs w:val="20"/>
                <w:color w:val="auto"/>
              </w:rPr>
            </w:pPr>
            <w:r>
              <w:rPr>
                <w:rFonts w:ascii="Arial" w:cs="Arial" w:eastAsia="Arial" w:hAnsi="Arial"/>
                <w:sz w:val="8"/>
                <w:szCs w:val="8"/>
                <w:b w:val="1"/>
                <w:bCs w:val="1"/>
                <w:color w:val="009BDE"/>
              </w:rPr>
              <w:t>2021</w:t>
            </w:r>
          </w:p>
        </w:tc>
        <w:tc>
          <w:tcPr>
            <w:tcW w:w="1080" w:type="dxa"/>
            <w:vAlign w:val="bottom"/>
            <w:shd w:val="clear" w:color="auto" w:fill="CCEBF8"/>
          </w:tcPr>
          <w:p>
            <w:pPr>
              <w:jc w:val="right"/>
              <w:ind w:right="269"/>
              <w:spacing w:after="0"/>
              <w:rPr>
                <w:sz w:val="20"/>
                <w:szCs w:val="20"/>
                <w:color w:val="auto"/>
              </w:rPr>
            </w:pPr>
            <w:r>
              <w:rPr>
                <w:rFonts w:ascii="Arial" w:cs="Arial" w:eastAsia="Arial" w:hAnsi="Arial"/>
                <w:sz w:val="8"/>
                <w:szCs w:val="8"/>
                <w:b w:val="1"/>
                <w:bCs w:val="1"/>
                <w:color w:val="009BDE"/>
              </w:rPr>
              <w:t>Amount</w:t>
            </w:r>
          </w:p>
        </w:tc>
        <w:tc>
          <w:tcPr>
            <w:tcW w:w="820" w:type="dxa"/>
            <w:vAlign w:val="bottom"/>
            <w:shd w:val="clear" w:color="auto" w:fill="CCEBF8"/>
          </w:tcPr>
          <w:p>
            <w:pPr>
              <w:jc w:val="right"/>
              <w:ind w:right="268"/>
              <w:spacing w:after="0"/>
              <w:rPr>
                <w:sz w:val="20"/>
                <w:szCs w:val="20"/>
                <w:color w:val="auto"/>
              </w:rPr>
            </w:pPr>
            <w:r>
              <w:rPr>
                <w:rFonts w:ascii="Arial" w:cs="Arial" w:eastAsia="Arial" w:hAnsi="Arial"/>
                <w:sz w:val="8"/>
                <w:szCs w:val="8"/>
                <w:b w:val="1"/>
                <w:bCs w:val="1"/>
                <w:color w:val="009BDE"/>
              </w:rPr>
              <w:t>2020</w:t>
            </w:r>
          </w:p>
        </w:tc>
        <w:tc>
          <w:tcPr>
            <w:tcW w:w="880" w:type="dxa"/>
            <w:vAlign w:val="bottom"/>
            <w:shd w:val="clear" w:color="auto" w:fill="CCEBF8"/>
          </w:tcPr>
          <w:p>
            <w:pPr>
              <w:jc w:val="right"/>
              <w:ind w:right="188"/>
              <w:spacing w:after="0"/>
              <w:rPr>
                <w:sz w:val="20"/>
                <w:szCs w:val="20"/>
                <w:color w:val="auto"/>
              </w:rPr>
            </w:pPr>
            <w:r>
              <w:rPr>
                <w:rFonts w:ascii="Arial" w:cs="Arial" w:eastAsia="Arial" w:hAnsi="Arial"/>
                <w:sz w:val="8"/>
                <w:szCs w:val="8"/>
                <w:b w:val="1"/>
                <w:bCs w:val="1"/>
                <w:color w:val="009BDE"/>
              </w:rPr>
              <w:t>Amount</w:t>
            </w:r>
          </w:p>
        </w:tc>
      </w:tr>
      <w:tr>
        <w:trPr>
          <w:trHeight w:val="84"/>
        </w:trPr>
        <w:tc>
          <w:tcPr>
            <w:tcW w:w="2000" w:type="dxa"/>
            <w:vAlign w:val="bottom"/>
            <w:tcBorders>
              <w:bottom w:val="single" w:sz="8" w:color="009BDE"/>
            </w:tcBorders>
            <w:shd w:val="clear" w:color="auto" w:fill="CCEBF8"/>
          </w:tcPr>
          <w:p>
            <w:pPr>
              <w:spacing w:after="0"/>
              <w:rPr>
                <w:sz w:val="7"/>
                <w:szCs w:val="7"/>
                <w:color w:val="auto"/>
              </w:rPr>
            </w:pPr>
          </w:p>
        </w:tc>
        <w:tc>
          <w:tcPr>
            <w:tcW w:w="920" w:type="dxa"/>
            <w:vAlign w:val="bottom"/>
            <w:tcBorders>
              <w:bottom w:val="single" w:sz="8" w:color="009BDE"/>
            </w:tcBorders>
            <w:shd w:val="clear" w:color="auto" w:fill="CCEBF8"/>
          </w:tcPr>
          <w:p>
            <w:pPr>
              <w:spacing w:after="0"/>
              <w:rPr>
                <w:sz w:val="7"/>
                <w:szCs w:val="7"/>
                <w:color w:val="auto"/>
              </w:rPr>
            </w:pPr>
          </w:p>
        </w:tc>
        <w:tc>
          <w:tcPr>
            <w:tcW w:w="960" w:type="dxa"/>
            <w:vAlign w:val="bottom"/>
            <w:tcBorders>
              <w:bottom w:val="single" w:sz="8" w:color="009BDE"/>
            </w:tcBorders>
            <w:shd w:val="clear" w:color="auto" w:fill="CCEBF8"/>
          </w:tcPr>
          <w:p>
            <w:pPr>
              <w:spacing w:after="0"/>
              <w:rPr>
                <w:sz w:val="7"/>
                <w:szCs w:val="7"/>
                <w:color w:val="auto"/>
              </w:rPr>
            </w:pPr>
          </w:p>
        </w:tc>
        <w:tc>
          <w:tcPr>
            <w:tcW w:w="680" w:type="dxa"/>
            <w:vAlign w:val="bottom"/>
            <w:tcBorders>
              <w:bottom w:val="single" w:sz="8" w:color="009BDE"/>
            </w:tcBorders>
            <w:shd w:val="clear" w:color="auto" w:fill="CCEBF8"/>
          </w:tcPr>
          <w:p>
            <w:pPr>
              <w:spacing w:after="0"/>
              <w:rPr>
                <w:sz w:val="7"/>
                <w:szCs w:val="7"/>
                <w:color w:val="auto"/>
              </w:rPr>
            </w:pPr>
          </w:p>
        </w:tc>
        <w:tc>
          <w:tcPr>
            <w:tcW w:w="1080" w:type="dxa"/>
            <w:vAlign w:val="bottom"/>
            <w:tcBorders>
              <w:bottom w:val="single" w:sz="8" w:color="009BDE"/>
            </w:tcBorders>
            <w:shd w:val="clear" w:color="auto" w:fill="CCEBF8"/>
          </w:tcPr>
          <w:p>
            <w:pPr>
              <w:spacing w:after="0"/>
              <w:rPr>
                <w:sz w:val="7"/>
                <w:szCs w:val="7"/>
                <w:color w:val="auto"/>
              </w:rPr>
            </w:pPr>
          </w:p>
        </w:tc>
        <w:tc>
          <w:tcPr>
            <w:tcW w:w="820" w:type="dxa"/>
            <w:vAlign w:val="bottom"/>
            <w:tcBorders>
              <w:bottom w:val="single" w:sz="8" w:color="009BDE"/>
            </w:tcBorders>
            <w:shd w:val="clear" w:color="auto" w:fill="CCEBF8"/>
          </w:tcPr>
          <w:p>
            <w:pPr>
              <w:spacing w:after="0"/>
              <w:rPr>
                <w:sz w:val="7"/>
                <w:szCs w:val="7"/>
                <w:color w:val="auto"/>
              </w:rPr>
            </w:pPr>
          </w:p>
        </w:tc>
        <w:tc>
          <w:tcPr>
            <w:tcW w:w="880" w:type="dxa"/>
            <w:vAlign w:val="bottom"/>
            <w:tcBorders>
              <w:bottom w:val="single" w:sz="8" w:color="009BDE"/>
            </w:tcBorders>
            <w:shd w:val="clear" w:color="auto" w:fill="CCEBF8"/>
          </w:tcPr>
          <w:p>
            <w:pPr>
              <w:spacing w:after="0"/>
              <w:rPr>
                <w:sz w:val="7"/>
                <w:szCs w:val="7"/>
                <w:color w:val="auto"/>
              </w:rPr>
            </w:pPr>
          </w:p>
        </w:tc>
      </w:tr>
      <w:tr>
        <w:trPr>
          <w:trHeight w:val="179"/>
        </w:trPr>
        <w:tc>
          <w:tcPr>
            <w:tcW w:w="2000" w:type="dxa"/>
            <w:vAlign w:val="bottom"/>
          </w:tcPr>
          <w:p>
            <w:pPr>
              <w:ind w:left="40"/>
              <w:spacing w:after="0"/>
              <w:rPr>
                <w:sz w:val="20"/>
                <w:szCs w:val="20"/>
                <w:color w:val="auto"/>
              </w:rPr>
            </w:pPr>
            <w:r>
              <w:rPr>
                <w:rFonts w:ascii="Arial" w:cs="Arial" w:eastAsia="Arial" w:hAnsi="Arial"/>
                <w:sz w:val="11"/>
                <w:szCs w:val="11"/>
                <w:color w:val="auto"/>
              </w:rPr>
              <w:t>Net Earnings Attributable to</w:t>
            </w: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39"/>
        </w:trPr>
        <w:tc>
          <w:tcPr>
            <w:tcW w:w="2000" w:type="dxa"/>
            <w:vAlign w:val="bottom"/>
          </w:tcPr>
          <w:p>
            <w:pPr>
              <w:ind w:left="40"/>
              <w:spacing w:after="0"/>
              <w:rPr>
                <w:sz w:val="20"/>
                <w:szCs w:val="20"/>
                <w:color w:val="auto"/>
              </w:rPr>
            </w:pPr>
            <w:r>
              <w:rPr>
                <w:rFonts w:ascii="Arial" w:cs="Arial" w:eastAsia="Arial" w:hAnsi="Arial"/>
                <w:sz w:val="11"/>
                <w:szCs w:val="11"/>
                <w:color w:val="auto"/>
              </w:rPr>
              <w:t>Hasbro, Inc.</w:t>
            </w:r>
          </w:p>
        </w:tc>
        <w:tc>
          <w:tcPr>
            <w:tcW w:w="920" w:type="dxa"/>
            <w:vAlign w:val="bottom"/>
          </w:tcPr>
          <w:p>
            <w:pPr>
              <w:jc w:val="right"/>
              <w:ind w:right="68"/>
              <w:spacing w:after="0"/>
              <w:rPr>
                <w:sz w:val="20"/>
                <w:szCs w:val="20"/>
                <w:color w:val="auto"/>
              </w:rPr>
            </w:pPr>
            <w:r>
              <w:rPr>
                <w:rFonts w:ascii="Arial" w:cs="Arial" w:eastAsia="Arial" w:hAnsi="Arial"/>
                <w:sz w:val="11"/>
                <w:szCs w:val="11"/>
                <w:color w:val="auto"/>
              </w:rPr>
              <w:t>$203,475</w:t>
            </w:r>
          </w:p>
        </w:tc>
        <w:tc>
          <w:tcPr>
            <w:tcW w:w="960" w:type="dxa"/>
            <w:vAlign w:val="bottom"/>
          </w:tcPr>
          <w:p>
            <w:pPr>
              <w:jc w:val="right"/>
              <w:ind w:right="248"/>
              <w:spacing w:after="0"/>
              <w:rPr>
                <w:sz w:val="20"/>
                <w:szCs w:val="20"/>
                <w:color w:val="auto"/>
              </w:rPr>
            </w:pPr>
            <w:r>
              <w:rPr>
                <w:rFonts w:ascii="Arial" w:cs="Arial" w:eastAsia="Arial" w:hAnsi="Arial"/>
                <w:sz w:val="11"/>
                <w:szCs w:val="11"/>
                <w:color w:val="auto"/>
              </w:rPr>
              <w:t>$1.46</w:t>
            </w:r>
          </w:p>
        </w:tc>
        <w:tc>
          <w:tcPr>
            <w:tcW w:w="680" w:type="dxa"/>
            <w:vAlign w:val="bottom"/>
          </w:tcPr>
          <w:p>
            <w:pPr>
              <w:jc w:val="right"/>
              <w:spacing w:after="0"/>
              <w:rPr>
                <w:sz w:val="20"/>
                <w:szCs w:val="20"/>
                <w:color w:val="auto"/>
              </w:rPr>
            </w:pPr>
            <w:r>
              <w:rPr>
                <w:rFonts w:ascii="Arial" w:cs="Arial" w:eastAsia="Arial" w:hAnsi="Arial"/>
                <w:sz w:val="11"/>
                <w:szCs w:val="11"/>
                <w:color w:val="auto"/>
              </w:rPr>
              <w:t>$428,734</w:t>
            </w:r>
          </w:p>
        </w:tc>
        <w:tc>
          <w:tcPr>
            <w:tcW w:w="1080" w:type="dxa"/>
            <w:vAlign w:val="bottom"/>
          </w:tcPr>
          <w:p>
            <w:pPr>
              <w:jc w:val="right"/>
              <w:ind w:right="249"/>
              <w:spacing w:after="0"/>
              <w:rPr>
                <w:sz w:val="20"/>
                <w:szCs w:val="20"/>
                <w:color w:val="auto"/>
              </w:rPr>
            </w:pPr>
            <w:r>
              <w:rPr>
                <w:rFonts w:ascii="Arial" w:cs="Arial" w:eastAsia="Arial" w:hAnsi="Arial"/>
                <w:sz w:val="11"/>
                <w:szCs w:val="11"/>
                <w:color w:val="auto"/>
              </w:rPr>
              <w:t>$3.10</w:t>
            </w:r>
          </w:p>
        </w:tc>
        <w:tc>
          <w:tcPr>
            <w:tcW w:w="820" w:type="dxa"/>
            <w:vAlign w:val="bottom"/>
          </w:tcPr>
          <w:p>
            <w:pPr>
              <w:jc w:val="right"/>
              <w:ind w:right="108"/>
              <w:spacing w:after="0"/>
              <w:rPr>
                <w:sz w:val="20"/>
                <w:szCs w:val="20"/>
                <w:color w:val="auto"/>
              </w:rPr>
            </w:pPr>
            <w:r>
              <w:rPr>
                <w:rFonts w:ascii="Arial" w:cs="Arial" w:eastAsia="Arial" w:hAnsi="Arial"/>
                <w:sz w:val="11"/>
                <w:szCs w:val="11"/>
                <w:color w:val="auto"/>
              </w:rPr>
              <w:t>$222,519</w:t>
            </w:r>
          </w:p>
        </w:tc>
        <w:tc>
          <w:tcPr>
            <w:tcW w:w="880" w:type="dxa"/>
            <w:vAlign w:val="bottom"/>
          </w:tcPr>
          <w:p>
            <w:pPr>
              <w:jc w:val="right"/>
              <w:ind w:right="148"/>
              <w:spacing w:after="0"/>
              <w:rPr>
                <w:sz w:val="20"/>
                <w:szCs w:val="20"/>
                <w:color w:val="auto"/>
              </w:rPr>
            </w:pPr>
            <w:r>
              <w:rPr>
                <w:rFonts w:ascii="Arial" w:cs="Arial" w:eastAsia="Arial" w:hAnsi="Arial"/>
                <w:sz w:val="11"/>
                <w:szCs w:val="11"/>
                <w:color w:val="auto"/>
              </w:rPr>
              <w:t>$1.62</w:t>
            </w:r>
          </w:p>
        </w:tc>
      </w:tr>
      <w:tr>
        <w:trPr>
          <w:trHeight w:val="67"/>
        </w:trPr>
        <w:tc>
          <w:tcPr>
            <w:tcW w:w="2000" w:type="dxa"/>
            <w:vAlign w:val="bottom"/>
            <w:tcBorders>
              <w:bottom w:val="single" w:sz="8" w:color="009BDE"/>
            </w:tcBorders>
          </w:tcPr>
          <w:p>
            <w:pPr>
              <w:spacing w:after="0"/>
              <w:rPr>
                <w:sz w:val="5"/>
                <w:szCs w:val="5"/>
                <w:color w:val="auto"/>
              </w:rPr>
            </w:pPr>
          </w:p>
        </w:tc>
        <w:tc>
          <w:tcPr>
            <w:tcW w:w="92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108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r>
      <w:tr>
        <w:trPr>
          <w:trHeight w:val="179"/>
        </w:trPr>
        <w:tc>
          <w:tcPr>
            <w:tcW w:w="2000" w:type="dxa"/>
            <w:vAlign w:val="bottom"/>
          </w:tcPr>
          <w:p>
            <w:pPr>
              <w:ind w:left="40"/>
              <w:spacing w:after="0"/>
              <w:rPr>
                <w:sz w:val="20"/>
                <w:szCs w:val="20"/>
                <w:color w:val="auto"/>
              </w:rPr>
            </w:pPr>
            <w:r>
              <w:rPr>
                <w:rFonts w:ascii="Arial" w:cs="Arial" w:eastAsia="Arial" w:hAnsi="Arial"/>
                <w:sz w:val="11"/>
                <w:szCs w:val="11"/>
                <w:color w:val="auto"/>
              </w:rPr>
              <w:t>eOne Acquisition and Related</w:t>
            </w: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39"/>
        </w:trPr>
        <w:tc>
          <w:tcPr>
            <w:tcW w:w="2000" w:type="dxa"/>
            <w:vAlign w:val="bottom"/>
          </w:tcPr>
          <w:p>
            <w:pPr>
              <w:ind w:left="40"/>
              <w:spacing w:after="0"/>
              <w:rPr>
                <w:sz w:val="20"/>
                <w:szCs w:val="20"/>
                <w:color w:val="auto"/>
              </w:rPr>
            </w:pPr>
            <w:r>
              <w:rPr>
                <w:rFonts w:ascii="Arial" w:cs="Arial" w:eastAsia="Arial" w:hAnsi="Arial"/>
                <w:sz w:val="11"/>
                <w:szCs w:val="11"/>
                <w:color w:val="auto"/>
              </w:rPr>
              <w:t>Costs(1)</w:t>
            </w:r>
          </w:p>
        </w:tc>
        <w:tc>
          <w:tcPr>
            <w:tcW w:w="920" w:type="dxa"/>
            <w:vAlign w:val="bottom"/>
          </w:tcPr>
          <w:p>
            <w:pPr>
              <w:jc w:val="right"/>
              <w:ind w:right="68"/>
              <w:spacing w:after="0"/>
              <w:rPr>
                <w:sz w:val="20"/>
                <w:szCs w:val="20"/>
                <w:color w:val="auto"/>
              </w:rPr>
            </w:pPr>
            <w:r>
              <w:rPr>
                <w:rFonts w:ascii="Arial" w:cs="Arial" w:eastAsia="Arial" w:hAnsi="Arial"/>
                <w:sz w:val="11"/>
                <w:szCs w:val="11"/>
                <w:color w:val="auto"/>
              </w:rPr>
              <w:t>12,945</w:t>
            </w:r>
          </w:p>
        </w:tc>
        <w:tc>
          <w:tcPr>
            <w:tcW w:w="960" w:type="dxa"/>
            <w:vAlign w:val="bottom"/>
          </w:tcPr>
          <w:p>
            <w:pPr>
              <w:jc w:val="right"/>
              <w:ind w:right="248"/>
              <w:spacing w:after="0"/>
              <w:rPr>
                <w:sz w:val="20"/>
                <w:szCs w:val="20"/>
                <w:color w:val="auto"/>
              </w:rPr>
            </w:pPr>
            <w:r>
              <w:rPr>
                <w:rFonts w:ascii="Arial" w:cs="Arial" w:eastAsia="Arial" w:hAnsi="Arial"/>
                <w:sz w:val="11"/>
                <w:szCs w:val="11"/>
                <w:color w:val="auto"/>
              </w:rPr>
              <w:t>0.09</w:t>
            </w:r>
          </w:p>
        </w:tc>
        <w:tc>
          <w:tcPr>
            <w:tcW w:w="680" w:type="dxa"/>
            <w:vAlign w:val="bottom"/>
          </w:tcPr>
          <w:p>
            <w:pPr>
              <w:jc w:val="right"/>
              <w:spacing w:after="0"/>
              <w:rPr>
                <w:sz w:val="20"/>
                <w:szCs w:val="20"/>
                <w:color w:val="auto"/>
              </w:rPr>
            </w:pPr>
            <w:r>
              <w:rPr>
                <w:rFonts w:ascii="Arial" w:cs="Arial" w:eastAsia="Arial" w:hAnsi="Arial"/>
                <w:sz w:val="11"/>
                <w:szCs w:val="11"/>
                <w:color w:val="auto"/>
              </w:rPr>
              <w:t>6,662</w:t>
            </w:r>
          </w:p>
        </w:tc>
        <w:tc>
          <w:tcPr>
            <w:tcW w:w="1080" w:type="dxa"/>
            <w:vAlign w:val="bottom"/>
          </w:tcPr>
          <w:p>
            <w:pPr>
              <w:jc w:val="right"/>
              <w:ind w:right="249"/>
              <w:spacing w:after="0"/>
              <w:rPr>
                <w:sz w:val="20"/>
                <w:szCs w:val="20"/>
                <w:color w:val="auto"/>
              </w:rPr>
            </w:pPr>
            <w:r>
              <w:rPr>
                <w:rFonts w:ascii="Arial" w:cs="Arial" w:eastAsia="Arial" w:hAnsi="Arial"/>
                <w:sz w:val="11"/>
                <w:szCs w:val="11"/>
                <w:color w:val="auto"/>
              </w:rPr>
              <w:t>0.05</w:t>
            </w:r>
          </w:p>
        </w:tc>
        <w:tc>
          <w:tcPr>
            <w:tcW w:w="820" w:type="dxa"/>
            <w:vAlign w:val="bottom"/>
          </w:tcPr>
          <w:p>
            <w:pPr>
              <w:jc w:val="right"/>
              <w:ind w:right="108"/>
              <w:spacing w:after="0"/>
              <w:rPr>
                <w:sz w:val="20"/>
                <w:szCs w:val="20"/>
                <w:color w:val="auto"/>
              </w:rPr>
            </w:pPr>
            <w:r>
              <w:rPr>
                <w:rFonts w:ascii="Arial" w:cs="Arial" w:eastAsia="Arial" w:hAnsi="Arial"/>
                <w:sz w:val="11"/>
                <w:szCs w:val="11"/>
                <w:color w:val="auto"/>
              </w:rPr>
              <w:t>188,557</w:t>
            </w:r>
          </w:p>
        </w:tc>
        <w:tc>
          <w:tcPr>
            <w:tcW w:w="880" w:type="dxa"/>
            <w:vAlign w:val="bottom"/>
          </w:tcPr>
          <w:p>
            <w:pPr>
              <w:jc w:val="right"/>
              <w:ind w:right="148"/>
              <w:spacing w:after="0"/>
              <w:rPr>
                <w:sz w:val="20"/>
                <w:szCs w:val="20"/>
                <w:color w:val="auto"/>
              </w:rPr>
            </w:pPr>
            <w:r>
              <w:rPr>
                <w:rFonts w:ascii="Arial" w:cs="Arial" w:eastAsia="Arial" w:hAnsi="Arial"/>
                <w:sz w:val="11"/>
                <w:szCs w:val="11"/>
                <w:color w:val="auto"/>
              </w:rPr>
              <w:t>1.37</w:t>
            </w:r>
          </w:p>
        </w:tc>
      </w:tr>
      <w:tr>
        <w:trPr>
          <w:trHeight w:val="67"/>
        </w:trPr>
        <w:tc>
          <w:tcPr>
            <w:tcW w:w="2000" w:type="dxa"/>
            <w:vAlign w:val="bottom"/>
            <w:tcBorders>
              <w:bottom w:val="single" w:sz="8" w:color="009BDE"/>
            </w:tcBorders>
          </w:tcPr>
          <w:p>
            <w:pPr>
              <w:spacing w:after="0"/>
              <w:rPr>
                <w:sz w:val="5"/>
                <w:szCs w:val="5"/>
                <w:color w:val="auto"/>
              </w:rPr>
            </w:pPr>
          </w:p>
        </w:tc>
        <w:tc>
          <w:tcPr>
            <w:tcW w:w="92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108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r>
      <w:tr>
        <w:trPr>
          <w:trHeight w:val="183"/>
        </w:trPr>
        <w:tc>
          <w:tcPr>
            <w:tcW w:w="2000" w:type="dxa"/>
            <w:vAlign w:val="bottom"/>
          </w:tcPr>
          <w:p>
            <w:pPr>
              <w:ind w:left="40"/>
              <w:spacing w:after="0"/>
              <w:rPr>
                <w:sz w:val="20"/>
                <w:szCs w:val="20"/>
                <w:color w:val="auto"/>
              </w:rPr>
            </w:pPr>
            <w:r>
              <w:rPr>
                <w:rFonts w:ascii="Arial" w:cs="Arial" w:eastAsia="Arial" w:hAnsi="Arial"/>
                <w:sz w:val="11"/>
                <w:szCs w:val="11"/>
                <w:color w:val="auto"/>
              </w:rPr>
              <w:t>Acquired Intangible Amortization</w:t>
            </w:r>
          </w:p>
        </w:tc>
        <w:tc>
          <w:tcPr>
            <w:tcW w:w="920" w:type="dxa"/>
            <w:vAlign w:val="bottom"/>
          </w:tcPr>
          <w:p>
            <w:pPr>
              <w:jc w:val="right"/>
              <w:ind w:right="68"/>
              <w:spacing w:after="0"/>
              <w:rPr>
                <w:sz w:val="20"/>
                <w:szCs w:val="20"/>
                <w:color w:val="auto"/>
              </w:rPr>
            </w:pPr>
            <w:r>
              <w:rPr>
                <w:rFonts w:ascii="Arial" w:cs="Arial" w:eastAsia="Arial" w:hAnsi="Arial"/>
                <w:sz w:val="11"/>
                <w:szCs w:val="11"/>
                <w:color w:val="auto"/>
              </w:rPr>
              <w:t>59,411</w:t>
            </w:r>
          </w:p>
        </w:tc>
        <w:tc>
          <w:tcPr>
            <w:tcW w:w="960" w:type="dxa"/>
            <w:vAlign w:val="bottom"/>
          </w:tcPr>
          <w:p>
            <w:pPr>
              <w:jc w:val="right"/>
              <w:ind w:right="248"/>
              <w:spacing w:after="0"/>
              <w:rPr>
                <w:sz w:val="20"/>
                <w:szCs w:val="20"/>
                <w:color w:val="auto"/>
              </w:rPr>
            </w:pPr>
            <w:r>
              <w:rPr>
                <w:rFonts w:ascii="Arial" w:cs="Arial" w:eastAsia="Arial" w:hAnsi="Arial"/>
                <w:sz w:val="11"/>
                <w:szCs w:val="11"/>
                <w:color w:val="auto"/>
              </w:rPr>
              <w:t>0.43</w:t>
            </w:r>
          </w:p>
        </w:tc>
        <w:tc>
          <w:tcPr>
            <w:tcW w:w="680" w:type="dxa"/>
            <w:vAlign w:val="bottom"/>
          </w:tcPr>
          <w:p>
            <w:pPr>
              <w:jc w:val="right"/>
              <w:spacing w:after="0"/>
              <w:rPr>
                <w:sz w:val="20"/>
                <w:szCs w:val="20"/>
                <w:color w:val="auto"/>
              </w:rPr>
            </w:pPr>
            <w:r>
              <w:rPr>
                <w:rFonts w:ascii="Arial" w:cs="Arial" w:eastAsia="Arial" w:hAnsi="Arial"/>
                <w:sz w:val="11"/>
                <w:szCs w:val="11"/>
                <w:color w:val="auto"/>
              </w:rPr>
              <w:t>70,370</w:t>
            </w:r>
          </w:p>
        </w:tc>
        <w:tc>
          <w:tcPr>
            <w:tcW w:w="1080" w:type="dxa"/>
            <w:vAlign w:val="bottom"/>
          </w:tcPr>
          <w:p>
            <w:pPr>
              <w:jc w:val="right"/>
              <w:ind w:right="249"/>
              <w:spacing w:after="0"/>
              <w:rPr>
                <w:sz w:val="20"/>
                <w:szCs w:val="20"/>
                <w:color w:val="auto"/>
              </w:rPr>
            </w:pPr>
            <w:r>
              <w:rPr>
                <w:rFonts w:ascii="Arial" w:cs="Arial" w:eastAsia="Arial" w:hAnsi="Arial"/>
                <w:sz w:val="11"/>
                <w:szCs w:val="11"/>
                <w:color w:val="auto"/>
              </w:rPr>
              <w:t>0.51</w:t>
            </w:r>
          </w:p>
        </w:tc>
        <w:tc>
          <w:tcPr>
            <w:tcW w:w="820" w:type="dxa"/>
            <w:vAlign w:val="bottom"/>
          </w:tcPr>
          <w:p>
            <w:pPr>
              <w:jc w:val="right"/>
              <w:ind w:right="108"/>
              <w:spacing w:after="0"/>
              <w:rPr>
                <w:sz w:val="20"/>
                <w:szCs w:val="20"/>
                <w:color w:val="auto"/>
              </w:rPr>
            </w:pPr>
            <w:r>
              <w:rPr>
                <w:rFonts w:ascii="Arial" w:cs="Arial" w:eastAsia="Arial" w:hAnsi="Arial"/>
                <w:sz w:val="11"/>
                <w:szCs w:val="11"/>
                <w:color w:val="auto"/>
              </w:rPr>
              <w:t>80,731</w:t>
            </w:r>
          </w:p>
        </w:tc>
        <w:tc>
          <w:tcPr>
            <w:tcW w:w="880" w:type="dxa"/>
            <w:vAlign w:val="bottom"/>
          </w:tcPr>
          <w:p>
            <w:pPr>
              <w:jc w:val="right"/>
              <w:ind w:right="148"/>
              <w:spacing w:after="0"/>
              <w:rPr>
                <w:sz w:val="20"/>
                <w:szCs w:val="20"/>
                <w:color w:val="auto"/>
              </w:rPr>
            </w:pPr>
            <w:r>
              <w:rPr>
                <w:rFonts w:ascii="Arial" w:cs="Arial" w:eastAsia="Arial" w:hAnsi="Arial"/>
                <w:sz w:val="11"/>
                <w:szCs w:val="11"/>
                <w:color w:val="auto"/>
              </w:rPr>
              <w:t>0.59</w:t>
            </w:r>
          </w:p>
        </w:tc>
      </w:tr>
      <w:tr>
        <w:trPr>
          <w:trHeight w:val="67"/>
        </w:trPr>
        <w:tc>
          <w:tcPr>
            <w:tcW w:w="2000" w:type="dxa"/>
            <w:vAlign w:val="bottom"/>
            <w:tcBorders>
              <w:bottom w:val="single" w:sz="8" w:color="009BDE"/>
            </w:tcBorders>
          </w:tcPr>
          <w:p>
            <w:pPr>
              <w:spacing w:after="0"/>
              <w:rPr>
                <w:sz w:val="5"/>
                <w:szCs w:val="5"/>
                <w:color w:val="auto"/>
              </w:rPr>
            </w:pPr>
          </w:p>
        </w:tc>
        <w:tc>
          <w:tcPr>
            <w:tcW w:w="92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108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r>
      <w:tr>
        <w:trPr>
          <w:trHeight w:val="179"/>
        </w:trPr>
        <w:tc>
          <w:tcPr>
            <w:tcW w:w="2000" w:type="dxa"/>
            <w:vAlign w:val="bottom"/>
          </w:tcPr>
          <w:p>
            <w:pPr>
              <w:ind w:left="40"/>
              <w:spacing w:after="0"/>
              <w:rPr>
                <w:sz w:val="20"/>
                <w:szCs w:val="20"/>
                <w:color w:val="auto"/>
              </w:rPr>
            </w:pPr>
            <w:r>
              <w:rPr>
                <w:rFonts w:ascii="Arial" w:cs="Arial" w:eastAsia="Arial" w:hAnsi="Arial"/>
                <w:sz w:val="11"/>
                <w:szCs w:val="11"/>
                <w:color w:val="auto"/>
                <w:w w:val="97"/>
              </w:rPr>
              <w:t>Loss on disposal of business and related</w:t>
            </w: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30"/>
        </w:trPr>
        <w:tc>
          <w:tcPr>
            <w:tcW w:w="2000" w:type="dxa"/>
            <w:vAlign w:val="bottom"/>
          </w:tcPr>
          <w:p>
            <w:pPr>
              <w:ind w:left="40"/>
              <w:spacing w:after="0"/>
              <w:rPr>
                <w:sz w:val="20"/>
                <w:szCs w:val="20"/>
                <w:color w:val="auto"/>
              </w:rPr>
            </w:pPr>
            <w:r>
              <w:rPr>
                <w:rFonts w:ascii="Arial" w:cs="Arial" w:eastAsia="Arial" w:hAnsi="Arial"/>
                <w:sz w:val="11"/>
                <w:szCs w:val="11"/>
                <w:color w:val="auto"/>
              </w:rPr>
              <w:t>costs</w:t>
            </w:r>
          </w:p>
        </w:tc>
        <w:tc>
          <w:tcPr>
            <w:tcW w:w="9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248"/>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116,114</w:t>
            </w:r>
          </w:p>
        </w:tc>
        <w:tc>
          <w:tcPr>
            <w:tcW w:w="1080" w:type="dxa"/>
            <w:vAlign w:val="bottom"/>
          </w:tcPr>
          <w:p>
            <w:pPr>
              <w:jc w:val="right"/>
              <w:ind w:right="249"/>
              <w:spacing w:after="0"/>
              <w:rPr>
                <w:sz w:val="20"/>
                <w:szCs w:val="20"/>
                <w:color w:val="auto"/>
              </w:rPr>
            </w:pPr>
            <w:r>
              <w:rPr>
                <w:rFonts w:ascii="Arial" w:cs="Arial" w:eastAsia="Arial" w:hAnsi="Arial"/>
                <w:sz w:val="11"/>
                <w:szCs w:val="11"/>
                <w:color w:val="auto"/>
              </w:rPr>
              <w:t>0.84</w:t>
            </w:r>
          </w:p>
        </w:tc>
        <w:tc>
          <w:tcPr>
            <w:tcW w:w="820" w:type="dxa"/>
            <w:vAlign w:val="bottom"/>
          </w:tcPr>
          <w:p>
            <w:pPr>
              <w:jc w:val="right"/>
              <w:ind w:right="108"/>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48"/>
              <w:spacing w:after="0"/>
              <w:rPr>
                <w:sz w:val="20"/>
                <w:szCs w:val="20"/>
                <w:color w:val="auto"/>
              </w:rPr>
            </w:pPr>
            <w:r>
              <w:rPr>
                <w:rFonts w:ascii="Arial" w:cs="Arial" w:eastAsia="Arial" w:hAnsi="Arial"/>
                <w:sz w:val="11"/>
                <w:szCs w:val="11"/>
                <w:color w:val="auto"/>
              </w:rPr>
              <w:t>—</w:t>
            </w:r>
          </w:p>
        </w:tc>
      </w:tr>
      <w:tr>
        <w:trPr>
          <w:trHeight w:val="67"/>
        </w:trPr>
        <w:tc>
          <w:tcPr>
            <w:tcW w:w="2000" w:type="dxa"/>
            <w:vAlign w:val="bottom"/>
            <w:tcBorders>
              <w:bottom w:val="single" w:sz="8" w:color="009BDE"/>
            </w:tcBorders>
          </w:tcPr>
          <w:p>
            <w:pPr>
              <w:spacing w:after="0"/>
              <w:rPr>
                <w:sz w:val="5"/>
                <w:szCs w:val="5"/>
                <w:color w:val="auto"/>
              </w:rPr>
            </w:pPr>
          </w:p>
        </w:tc>
        <w:tc>
          <w:tcPr>
            <w:tcW w:w="92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108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r>
      <w:tr>
        <w:trPr>
          <w:trHeight w:val="183"/>
        </w:trPr>
        <w:tc>
          <w:tcPr>
            <w:tcW w:w="2000" w:type="dxa"/>
            <w:vAlign w:val="bottom"/>
          </w:tcPr>
          <w:p>
            <w:pPr>
              <w:ind w:left="40"/>
              <w:spacing w:after="0"/>
              <w:rPr>
                <w:sz w:val="20"/>
                <w:szCs w:val="20"/>
                <w:color w:val="auto"/>
              </w:rPr>
            </w:pPr>
            <w:r>
              <w:rPr>
                <w:rFonts w:ascii="Arial" w:cs="Arial" w:eastAsia="Arial" w:hAnsi="Arial"/>
                <w:sz w:val="11"/>
                <w:szCs w:val="11"/>
                <w:color w:val="auto"/>
              </w:rPr>
              <w:t>Stock Acceleration</w:t>
            </w:r>
          </w:p>
        </w:tc>
        <w:tc>
          <w:tcPr>
            <w:tcW w:w="9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248"/>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20,859</w:t>
            </w:r>
          </w:p>
        </w:tc>
        <w:tc>
          <w:tcPr>
            <w:tcW w:w="1080" w:type="dxa"/>
            <w:vAlign w:val="bottom"/>
          </w:tcPr>
          <w:p>
            <w:pPr>
              <w:jc w:val="right"/>
              <w:ind w:right="249"/>
              <w:spacing w:after="0"/>
              <w:rPr>
                <w:sz w:val="20"/>
                <w:szCs w:val="20"/>
                <w:color w:val="auto"/>
              </w:rPr>
            </w:pPr>
            <w:r>
              <w:rPr>
                <w:rFonts w:ascii="Arial" w:cs="Arial" w:eastAsia="Arial" w:hAnsi="Arial"/>
                <w:sz w:val="11"/>
                <w:szCs w:val="11"/>
                <w:color w:val="auto"/>
              </w:rPr>
              <w:t>0.15</w:t>
            </w:r>
          </w:p>
        </w:tc>
        <w:tc>
          <w:tcPr>
            <w:tcW w:w="820" w:type="dxa"/>
            <w:vAlign w:val="bottom"/>
          </w:tcPr>
          <w:p>
            <w:pPr>
              <w:jc w:val="right"/>
              <w:ind w:right="108"/>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48"/>
              <w:spacing w:after="0"/>
              <w:rPr>
                <w:sz w:val="20"/>
                <w:szCs w:val="20"/>
                <w:color w:val="auto"/>
              </w:rPr>
            </w:pPr>
            <w:r>
              <w:rPr>
                <w:rFonts w:ascii="Arial" w:cs="Arial" w:eastAsia="Arial" w:hAnsi="Arial"/>
                <w:sz w:val="11"/>
                <w:szCs w:val="11"/>
                <w:color w:val="auto"/>
              </w:rPr>
              <w:t>—</w:t>
            </w:r>
          </w:p>
        </w:tc>
      </w:tr>
      <w:tr>
        <w:trPr>
          <w:trHeight w:val="67"/>
        </w:trPr>
        <w:tc>
          <w:tcPr>
            <w:tcW w:w="2000" w:type="dxa"/>
            <w:vAlign w:val="bottom"/>
            <w:tcBorders>
              <w:bottom w:val="single" w:sz="8" w:color="009BDE"/>
            </w:tcBorders>
          </w:tcPr>
          <w:p>
            <w:pPr>
              <w:spacing w:after="0"/>
              <w:rPr>
                <w:sz w:val="5"/>
                <w:szCs w:val="5"/>
                <w:color w:val="auto"/>
              </w:rPr>
            </w:pPr>
          </w:p>
        </w:tc>
        <w:tc>
          <w:tcPr>
            <w:tcW w:w="92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108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r>
      <w:tr>
        <w:trPr>
          <w:trHeight w:val="183"/>
        </w:trPr>
        <w:tc>
          <w:tcPr>
            <w:tcW w:w="2000" w:type="dxa"/>
            <w:vAlign w:val="bottom"/>
          </w:tcPr>
          <w:p>
            <w:pPr>
              <w:ind w:left="40"/>
              <w:spacing w:after="0"/>
              <w:rPr>
                <w:sz w:val="20"/>
                <w:szCs w:val="20"/>
                <w:color w:val="auto"/>
              </w:rPr>
            </w:pPr>
            <w:r>
              <w:rPr>
                <w:rFonts w:ascii="Arial" w:cs="Arial" w:eastAsia="Arial" w:hAnsi="Arial"/>
                <w:sz w:val="11"/>
                <w:szCs w:val="11"/>
                <w:color w:val="auto"/>
              </w:rPr>
              <w:t>Severance</w:t>
            </w:r>
          </w:p>
        </w:tc>
        <w:tc>
          <w:tcPr>
            <w:tcW w:w="9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248"/>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49"/>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108"/>
              <w:spacing w:after="0"/>
              <w:rPr>
                <w:sz w:val="20"/>
                <w:szCs w:val="20"/>
                <w:color w:val="auto"/>
              </w:rPr>
            </w:pPr>
            <w:r>
              <w:rPr>
                <w:rFonts w:ascii="Arial" w:cs="Arial" w:eastAsia="Arial" w:hAnsi="Arial"/>
                <w:sz w:val="11"/>
                <w:szCs w:val="11"/>
                <w:color w:val="auto"/>
              </w:rPr>
              <w:t>7,422</w:t>
            </w:r>
          </w:p>
        </w:tc>
        <w:tc>
          <w:tcPr>
            <w:tcW w:w="880" w:type="dxa"/>
            <w:vAlign w:val="bottom"/>
          </w:tcPr>
          <w:p>
            <w:pPr>
              <w:jc w:val="right"/>
              <w:ind w:right="148"/>
              <w:spacing w:after="0"/>
              <w:rPr>
                <w:sz w:val="20"/>
                <w:szCs w:val="20"/>
                <w:color w:val="auto"/>
              </w:rPr>
            </w:pPr>
            <w:r>
              <w:rPr>
                <w:rFonts w:ascii="Arial" w:cs="Arial" w:eastAsia="Arial" w:hAnsi="Arial"/>
                <w:sz w:val="11"/>
                <w:szCs w:val="11"/>
                <w:color w:val="auto"/>
              </w:rPr>
              <w:t>0.05</w:t>
            </w:r>
          </w:p>
        </w:tc>
      </w:tr>
      <w:tr>
        <w:trPr>
          <w:trHeight w:val="67"/>
        </w:trPr>
        <w:tc>
          <w:tcPr>
            <w:tcW w:w="2000" w:type="dxa"/>
            <w:vAlign w:val="bottom"/>
            <w:tcBorders>
              <w:bottom w:val="single" w:sz="8" w:color="009BDE"/>
            </w:tcBorders>
          </w:tcPr>
          <w:p>
            <w:pPr>
              <w:spacing w:after="0"/>
              <w:rPr>
                <w:sz w:val="5"/>
                <w:szCs w:val="5"/>
                <w:color w:val="auto"/>
              </w:rPr>
            </w:pPr>
          </w:p>
        </w:tc>
        <w:tc>
          <w:tcPr>
            <w:tcW w:w="92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108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r>
      <w:tr>
        <w:trPr>
          <w:trHeight w:val="183"/>
        </w:trPr>
        <w:tc>
          <w:tcPr>
            <w:tcW w:w="2000" w:type="dxa"/>
            <w:vAlign w:val="bottom"/>
          </w:tcPr>
          <w:p>
            <w:pPr>
              <w:ind w:left="40"/>
              <w:spacing w:after="0"/>
              <w:rPr>
                <w:sz w:val="20"/>
                <w:szCs w:val="20"/>
                <w:color w:val="auto"/>
              </w:rPr>
            </w:pPr>
            <w:r>
              <w:rPr>
                <w:rFonts w:ascii="Arial" w:cs="Arial" w:eastAsia="Arial" w:hAnsi="Arial"/>
                <w:sz w:val="11"/>
                <w:szCs w:val="11"/>
                <w:color w:val="auto"/>
              </w:rPr>
              <w:t>Impact of Tax Reform(2)</w:t>
            </w:r>
          </w:p>
        </w:tc>
        <w:tc>
          <w:tcPr>
            <w:tcW w:w="9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248"/>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39,360</w:t>
            </w:r>
          </w:p>
        </w:tc>
        <w:tc>
          <w:tcPr>
            <w:tcW w:w="1080" w:type="dxa"/>
            <w:vAlign w:val="bottom"/>
          </w:tcPr>
          <w:p>
            <w:pPr>
              <w:jc w:val="right"/>
              <w:ind w:right="249"/>
              <w:spacing w:after="0"/>
              <w:rPr>
                <w:sz w:val="20"/>
                <w:szCs w:val="20"/>
                <w:color w:val="auto"/>
              </w:rPr>
            </w:pPr>
            <w:r>
              <w:rPr>
                <w:rFonts w:ascii="Arial" w:cs="Arial" w:eastAsia="Arial" w:hAnsi="Arial"/>
                <w:sz w:val="11"/>
                <w:szCs w:val="11"/>
                <w:color w:val="auto"/>
              </w:rPr>
              <w:t>0.28</w:t>
            </w:r>
          </w:p>
        </w:tc>
        <w:tc>
          <w:tcPr>
            <w:tcW w:w="820" w:type="dxa"/>
            <w:vAlign w:val="bottom"/>
          </w:tcPr>
          <w:p>
            <w:pPr>
              <w:jc w:val="right"/>
              <w:ind w:right="108"/>
              <w:spacing w:after="0"/>
              <w:rPr>
                <w:sz w:val="20"/>
                <w:szCs w:val="20"/>
                <w:color w:val="auto"/>
              </w:rPr>
            </w:pPr>
            <w:r>
              <w:rPr>
                <w:rFonts w:ascii="Arial" w:cs="Arial" w:eastAsia="Arial" w:hAnsi="Arial"/>
                <w:sz w:val="11"/>
                <w:szCs w:val="11"/>
                <w:color w:val="auto"/>
              </w:rPr>
              <w:t>15,389</w:t>
            </w:r>
          </w:p>
        </w:tc>
        <w:tc>
          <w:tcPr>
            <w:tcW w:w="880" w:type="dxa"/>
            <w:vAlign w:val="bottom"/>
          </w:tcPr>
          <w:p>
            <w:pPr>
              <w:jc w:val="right"/>
              <w:ind w:right="148"/>
              <w:spacing w:after="0"/>
              <w:rPr>
                <w:sz w:val="20"/>
                <w:szCs w:val="20"/>
                <w:color w:val="auto"/>
              </w:rPr>
            </w:pPr>
            <w:r>
              <w:rPr>
                <w:rFonts w:ascii="Arial" w:cs="Arial" w:eastAsia="Arial" w:hAnsi="Arial"/>
                <w:sz w:val="11"/>
                <w:szCs w:val="11"/>
                <w:color w:val="auto"/>
              </w:rPr>
              <w:t>0.11</w:t>
            </w:r>
          </w:p>
        </w:tc>
      </w:tr>
      <w:tr>
        <w:trPr>
          <w:trHeight w:val="67"/>
        </w:trPr>
        <w:tc>
          <w:tcPr>
            <w:tcW w:w="2000" w:type="dxa"/>
            <w:vAlign w:val="bottom"/>
            <w:tcBorders>
              <w:bottom w:val="single" w:sz="8" w:color="009BDE"/>
            </w:tcBorders>
          </w:tcPr>
          <w:p>
            <w:pPr>
              <w:spacing w:after="0"/>
              <w:rPr>
                <w:sz w:val="5"/>
                <w:szCs w:val="5"/>
                <w:color w:val="auto"/>
              </w:rPr>
            </w:pPr>
          </w:p>
        </w:tc>
        <w:tc>
          <w:tcPr>
            <w:tcW w:w="92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108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r>
      <w:tr>
        <w:trPr>
          <w:trHeight w:val="183"/>
        </w:trPr>
        <w:tc>
          <w:tcPr>
            <w:tcW w:w="2000" w:type="dxa"/>
            <w:vAlign w:val="bottom"/>
          </w:tcPr>
          <w:p>
            <w:pPr>
              <w:ind w:left="40"/>
              <w:spacing w:after="0"/>
              <w:rPr>
                <w:sz w:val="20"/>
                <w:szCs w:val="20"/>
                <w:color w:val="auto"/>
              </w:rPr>
            </w:pPr>
            <w:r>
              <w:rPr>
                <w:rFonts w:ascii="Arial" w:cs="Arial" w:eastAsia="Arial" w:hAnsi="Arial"/>
                <w:sz w:val="11"/>
                <w:szCs w:val="11"/>
                <w:color w:val="auto"/>
              </w:rPr>
              <w:t>Discovery Impairment and Option(3)</w:t>
            </w:r>
          </w:p>
        </w:tc>
        <w:tc>
          <w:tcPr>
            <w:tcW w:w="9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248"/>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41,318</w:t>
            </w:r>
          </w:p>
        </w:tc>
        <w:tc>
          <w:tcPr>
            <w:tcW w:w="1080" w:type="dxa"/>
            <w:vAlign w:val="bottom"/>
          </w:tcPr>
          <w:p>
            <w:pPr>
              <w:jc w:val="right"/>
              <w:ind w:right="249"/>
              <w:spacing w:after="0"/>
              <w:rPr>
                <w:sz w:val="20"/>
                <w:szCs w:val="20"/>
                <w:color w:val="auto"/>
              </w:rPr>
            </w:pPr>
            <w:r>
              <w:rPr>
                <w:rFonts w:ascii="Arial" w:cs="Arial" w:eastAsia="Arial" w:hAnsi="Arial"/>
                <w:sz w:val="11"/>
                <w:szCs w:val="11"/>
                <w:color w:val="auto"/>
              </w:rPr>
              <w:t>0.30</w:t>
            </w:r>
          </w:p>
        </w:tc>
        <w:tc>
          <w:tcPr>
            <w:tcW w:w="820" w:type="dxa"/>
            <w:vAlign w:val="bottom"/>
          </w:tcPr>
          <w:p>
            <w:pPr>
              <w:jc w:val="right"/>
              <w:ind w:right="108"/>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48"/>
              <w:spacing w:after="0"/>
              <w:rPr>
                <w:sz w:val="20"/>
                <w:szCs w:val="20"/>
                <w:color w:val="auto"/>
              </w:rPr>
            </w:pPr>
            <w:r>
              <w:rPr>
                <w:rFonts w:ascii="Arial" w:cs="Arial" w:eastAsia="Arial" w:hAnsi="Arial"/>
                <w:sz w:val="11"/>
                <w:szCs w:val="11"/>
                <w:color w:val="auto"/>
              </w:rPr>
              <w:t>—</w:t>
            </w:r>
          </w:p>
        </w:tc>
      </w:tr>
      <w:tr>
        <w:trPr>
          <w:trHeight w:val="67"/>
        </w:trPr>
        <w:tc>
          <w:tcPr>
            <w:tcW w:w="2000" w:type="dxa"/>
            <w:vAlign w:val="bottom"/>
            <w:tcBorders>
              <w:bottom w:val="single" w:sz="8" w:color="009BDE"/>
            </w:tcBorders>
          </w:tcPr>
          <w:p>
            <w:pPr>
              <w:spacing w:after="0"/>
              <w:rPr>
                <w:sz w:val="5"/>
                <w:szCs w:val="5"/>
                <w:color w:val="auto"/>
              </w:rPr>
            </w:pPr>
          </w:p>
        </w:tc>
        <w:tc>
          <w:tcPr>
            <w:tcW w:w="92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108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r>
      <w:tr>
        <w:trPr>
          <w:trHeight w:val="183"/>
        </w:trPr>
        <w:tc>
          <w:tcPr>
            <w:tcW w:w="2000" w:type="dxa"/>
            <w:vAlign w:val="bottom"/>
          </w:tcPr>
          <w:p>
            <w:pPr>
              <w:ind w:left="40"/>
              <w:spacing w:after="0"/>
              <w:rPr>
                <w:sz w:val="20"/>
                <w:szCs w:val="20"/>
                <w:color w:val="auto"/>
              </w:rPr>
            </w:pPr>
            <w:r>
              <w:rPr>
                <w:rFonts w:ascii="Arial" w:cs="Arial" w:eastAsia="Arial" w:hAnsi="Arial"/>
                <w:sz w:val="11"/>
                <w:szCs w:val="11"/>
                <w:color w:val="auto"/>
                <w:w w:val="99"/>
              </w:rPr>
              <w:t>Blueprint 2.0 implementation charges(4)</w:t>
            </w:r>
          </w:p>
        </w:tc>
        <w:tc>
          <w:tcPr>
            <w:tcW w:w="920" w:type="dxa"/>
            <w:vAlign w:val="bottom"/>
          </w:tcPr>
          <w:p>
            <w:pPr>
              <w:jc w:val="right"/>
              <w:ind w:right="68"/>
              <w:spacing w:after="0"/>
              <w:rPr>
                <w:sz w:val="20"/>
                <w:szCs w:val="20"/>
                <w:color w:val="auto"/>
              </w:rPr>
            </w:pPr>
            <w:r>
              <w:rPr>
                <w:rFonts w:ascii="Arial" w:cs="Arial" w:eastAsia="Arial" w:hAnsi="Arial"/>
                <w:sz w:val="11"/>
                <w:szCs w:val="11"/>
                <w:color w:val="auto"/>
              </w:rPr>
              <w:t>253,008</w:t>
            </w:r>
          </w:p>
        </w:tc>
        <w:tc>
          <w:tcPr>
            <w:tcW w:w="960" w:type="dxa"/>
            <w:vAlign w:val="bottom"/>
          </w:tcPr>
          <w:p>
            <w:pPr>
              <w:jc w:val="right"/>
              <w:ind w:right="248"/>
              <w:spacing w:after="0"/>
              <w:rPr>
                <w:sz w:val="20"/>
                <w:szCs w:val="20"/>
                <w:color w:val="auto"/>
              </w:rPr>
            </w:pPr>
            <w:r>
              <w:rPr>
                <w:rFonts w:ascii="Arial" w:cs="Arial" w:eastAsia="Arial" w:hAnsi="Arial"/>
                <w:sz w:val="11"/>
                <w:szCs w:val="11"/>
                <w:color w:val="auto"/>
              </w:rPr>
              <w:t>1.82</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49"/>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108"/>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48"/>
              <w:spacing w:after="0"/>
              <w:rPr>
                <w:sz w:val="20"/>
                <w:szCs w:val="20"/>
                <w:color w:val="auto"/>
              </w:rPr>
            </w:pPr>
            <w:r>
              <w:rPr>
                <w:rFonts w:ascii="Arial" w:cs="Arial" w:eastAsia="Arial" w:hAnsi="Arial"/>
                <w:sz w:val="11"/>
                <w:szCs w:val="11"/>
                <w:color w:val="auto"/>
              </w:rPr>
              <w:t>—</w:t>
            </w:r>
          </w:p>
        </w:tc>
      </w:tr>
      <w:tr>
        <w:trPr>
          <w:trHeight w:val="67"/>
        </w:trPr>
        <w:tc>
          <w:tcPr>
            <w:tcW w:w="2000" w:type="dxa"/>
            <w:vAlign w:val="bottom"/>
            <w:tcBorders>
              <w:bottom w:val="single" w:sz="8" w:color="009BDE"/>
            </w:tcBorders>
          </w:tcPr>
          <w:p>
            <w:pPr>
              <w:spacing w:after="0"/>
              <w:rPr>
                <w:sz w:val="5"/>
                <w:szCs w:val="5"/>
                <w:color w:val="auto"/>
              </w:rPr>
            </w:pPr>
          </w:p>
        </w:tc>
        <w:tc>
          <w:tcPr>
            <w:tcW w:w="92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108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r>
      <w:tr>
        <w:trPr>
          <w:trHeight w:val="183"/>
        </w:trPr>
        <w:tc>
          <w:tcPr>
            <w:tcW w:w="2000" w:type="dxa"/>
            <w:vAlign w:val="bottom"/>
          </w:tcPr>
          <w:p>
            <w:pPr>
              <w:ind w:left="40"/>
              <w:spacing w:after="0"/>
              <w:rPr>
                <w:sz w:val="20"/>
                <w:szCs w:val="20"/>
                <w:color w:val="auto"/>
              </w:rPr>
            </w:pPr>
            <w:r>
              <w:rPr>
                <w:rFonts w:ascii="Arial" w:cs="Arial" w:eastAsia="Arial" w:hAnsi="Arial"/>
                <w:sz w:val="11"/>
                <w:szCs w:val="11"/>
                <w:color w:val="auto"/>
              </w:rPr>
              <w:t>Operational Excellence charges(5)</w:t>
            </w:r>
          </w:p>
        </w:tc>
        <w:tc>
          <w:tcPr>
            <w:tcW w:w="920" w:type="dxa"/>
            <w:vAlign w:val="bottom"/>
          </w:tcPr>
          <w:p>
            <w:pPr>
              <w:jc w:val="right"/>
              <w:ind w:right="68"/>
              <w:spacing w:after="0"/>
              <w:rPr>
                <w:sz w:val="20"/>
                <w:szCs w:val="20"/>
                <w:color w:val="auto"/>
              </w:rPr>
            </w:pPr>
            <w:r>
              <w:rPr>
                <w:rFonts w:ascii="Arial" w:cs="Arial" w:eastAsia="Arial" w:hAnsi="Arial"/>
                <w:sz w:val="11"/>
                <w:szCs w:val="11"/>
                <w:color w:val="auto"/>
              </w:rPr>
              <w:t>89,217</w:t>
            </w:r>
          </w:p>
        </w:tc>
        <w:tc>
          <w:tcPr>
            <w:tcW w:w="960" w:type="dxa"/>
            <w:vAlign w:val="bottom"/>
          </w:tcPr>
          <w:p>
            <w:pPr>
              <w:jc w:val="right"/>
              <w:ind w:right="248"/>
              <w:spacing w:after="0"/>
              <w:rPr>
                <w:sz w:val="20"/>
                <w:szCs w:val="20"/>
                <w:color w:val="auto"/>
              </w:rPr>
            </w:pPr>
            <w:r>
              <w:rPr>
                <w:rFonts w:ascii="Arial" w:cs="Arial" w:eastAsia="Arial" w:hAnsi="Arial"/>
                <w:sz w:val="11"/>
                <w:szCs w:val="11"/>
                <w:color w:val="auto"/>
              </w:rPr>
              <w:t>0.64</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67"/>
        </w:trPr>
        <w:tc>
          <w:tcPr>
            <w:tcW w:w="2000" w:type="dxa"/>
            <w:vAlign w:val="bottom"/>
            <w:tcBorders>
              <w:bottom w:val="single" w:sz="8" w:color="009BDE"/>
            </w:tcBorders>
          </w:tcPr>
          <w:p>
            <w:pPr>
              <w:spacing w:after="0"/>
              <w:rPr>
                <w:sz w:val="5"/>
                <w:szCs w:val="5"/>
                <w:color w:val="auto"/>
              </w:rPr>
            </w:pPr>
          </w:p>
        </w:tc>
        <w:tc>
          <w:tcPr>
            <w:tcW w:w="92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c>
          <w:tcPr>
            <w:tcW w:w="680" w:type="dxa"/>
            <w:vAlign w:val="bottom"/>
            <w:tcBorders>
              <w:bottom w:val="single" w:sz="8" w:color="009BDE"/>
            </w:tcBorders>
          </w:tcPr>
          <w:p>
            <w:pPr>
              <w:spacing w:after="0"/>
              <w:rPr>
                <w:sz w:val="5"/>
                <w:szCs w:val="5"/>
                <w:color w:val="auto"/>
              </w:rPr>
            </w:pPr>
          </w:p>
        </w:tc>
        <w:tc>
          <w:tcPr>
            <w:tcW w:w="1080" w:type="dxa"/>
            <w:vAlign w:val="bottom"/>
            <w:tcBorders>
              <w:bottom w:val="single" w:sz="8" w:color="009BDE"/>
            </w:tcBorders>
          </w:tcPr>
          <w:p>
            <w:pPr>
              <w:spacing w:after="0"/>
              <w:rPr>
                <w:sz w:val="5"/>
                <w:szCs w:val="5"/>
                <w:color w:val="auto"/>
              </w:rPr>
            </w:pPr>
          </w:p>
        </w:tc>
        <w:tc>
          <w:tcPr>
            <w:tcW w:w="820" w:type="dxa"/>
            <w:vAlign w:val="bottom"/>
            <w:tcBorders>
              <w:bottom w:val="single" w:sz="8" w:color="009BDE"/>
            </w:tcBorders>
          </w:tcPr>
          <w:p>
            <w:pPr>
              <w:spacing w:after="0"/>
              <w:rPr>
                <w:sz w:val="5"/>
                <w:szCs w:val="5"/>
                <w:color w:val="auto"/>
              </w:rPr>
            </w:pPr>
          </w:p>
        </w:tc>
        <w:tc>
          <w:tcPr>
            <w:tcW w:w="880" w:type="dxa"/>
            <w:vAlign w:val="bottom"/>
            <w:tcBorders>
              <w:bottom w:val="single" w:sz="8" w:color="009BDE"/>
            </w:tcBorders>
          </w:tcPr>
          <w:p>
            <w:pPr>
              <w:spacing w:after="0"/>
              <w:rPr>
                <w:sz w:val="5"/>
                <w:szCs w:val="5"/>
                <w:color w:val="auto"/>
              </w:rPr>
            </w:pPr>
          </w:p>
        </w:tc>
      </w:tr>
      <w:tr>
        <w:trPr>
          <w:trHeight w:val="183"/>
        </w:trPr>
        <w:tc>
          <w:tcPr>
            <w:tcW w:w="2000" w:type="dxa"/>
            <w:vAlign w:val="bottom"/>
          </w:tcPr>
          <w:p>
            <w:pPr>
              <w:ind w:left="40"/>
              <w:spacing w:after="0"/>
              <w:rPr>
                <w:sz w:val="20"/>
                <w:szCs w:val="20"/>
                <w:color w:val="auto"/>
              </w:rPr>
            </w:pPr>
            <w:r>
              <w:rPr>
                <w:rFonts w:ascii="Arial" w:cs="Arial" w:eastAsia="Arial" w:hAnsi="Arial"/>
                <w:sz w:val="11"/>
                <w:szCs w:val="11"/>
                <w:color w:val="auto"/>
              </w:rPr>
              <w:t>Net Earnings, as Adjusted</w:t>
            </w:r>
          </w:p>
        </w:tc>
        <w:tc>
          <w:tcPr>
            <w:tcW w:w="920" w:type="dxa"/>
            <w:vAlign w:val="bottom"/>
          </w:tcPr>
          <w:p>
            <w:pPr>
              <w:jc w:val="right"/>
              <w:ind w:right="68"/>
              <w:spacing w:after="0"/>
              <w:rPr>
                <w:sz w:val="20"/>
                <w:szCs w:val="20"/>
                <w:color w:val="auto"/>
              </w:rPr>
            </w:pPr>
            <w:r>
              <w:rPr>
                <w:rFonts w:ascii="Arial" w:cs="Arial" w:eastAsia="Arial" w:hAnsi="Arial"/>
                <w:sz w:val="11"/>
                <w:szCs w:val="11"/>
                <w:color w:val="auto"/>
              </w:rPr>
              <w:t>$618,056</w:t>
            </w:r>
          </w:p>
        </w:tc>
        <w:tc>
          <w:tcPr>
            <w:tcW w:w="960" w:type="dxa"/>
            <w:vAlign w:val="bottom"/>
          </w:tcPr>
          <w:p>
            <w:pPr>
              <w:jc w:val="right"/>
              <w:ind w:right="248"/>
              <w:spacing w:after="0"/>
              <w:rPr>
                <w:sz w:val="20"/>
                <w:szCs w:val="20"/>
                <w:color w:val="auto"/>
              </w:rPr>
            </w:pPr>
            <w:r>
              <w:rPr>
                <w:rFonts w:ascii="Arial" w:cs="Arial" w:eastAsia="Arial" w:hAnsi="Arial"/>
                <w:sz w:val="11"/>
                <w:szCs w:val="11"/>
                <w:color w:val="auto"/>
              </w:rPr>
              <w:t>$4.45</w:t>
            </w:r>
          </w:p>
        </w:tc>
        <w:tc>
          <w:tcPr>
            <w:tcW w:w="680" w:type="dxa"/>
            <w:vAlign w:val="bottom"/>
          </w:tcPr>
          <w:p>
            <w:pPr>
              <w:jc w:val="right"/>
              <w:spacing w:after="0"/>
              <w:rPr>
                <w:sz w:val="20"/>
                <w:szCs w:val="20"/>
                <w:color w:val="auto"/>
              </w:rPr>
            </w:pPr>
            <w:r>
              <w:rPr>
                <w:rFonts w:ascii="Arial" w:cs="Arial" w:eastAsia="Arial" w:hAnsi="Arial"/>
                <w:sz w:val="11"/>
                <w:szCs w:val="11"/>
                <w:color w:val="auto"/>
              </w:rPr>
              <w:t>$723,417</w:t>
            </w:r>
          </w:p>
        </w:tc>
        <w:tc>
          <w:tcPr>
            <w:tcW w:w="1080" w:type="dxa"/>
            <w:vAlign w:val="bottom"/>
          </w:tcPr>
          <w:p>
            <w:pPr>
              <w:jc w:val="right"/>
              <w:ind w:right="249"/>
              <w:spacing w:after="0"/>
              <w:rPr>
                <w:sz w:val="20"/>
                <w:szCs w:val="20"/>
                <w:color w:val="auto"/>
              </w:rPr>
            </w:pPr>
            <w:r>
              <w:rPr>
                <w:rFonts w:ascii="Arial" w:cs="Arial" w:eastAsia="Arial" w:hAnsi="Arial"/>
                <w:sz w:val="11"/>
                <w:szCs w:val="11"/>
                <w:color w:val="auto"/>
              </w:rPr>
              <w:t>$5.23</w:t>
            </w:r>
          </w:p>
        </w:tc>
        <w:tc>
          <w:tcPr>
            <w:tcW w:w="820" w:type="dxa"/>
            <w:vAlign w:val="bottom"/>
          </w:tcPr>
          <w:p>
            <w:pPr>
              <w:jc w:val="right"/>
              <w:ind w:right="108"/>
              <w:spacing w:after="0"/>
              <w:rPr>
                <w:sz w:val="20"/>
                <w:szCs w:val="20"/>
                <w:color w:val="auto"/>
              </w:rPr>
            </w:pPr>
            <w:r>
              <w:rPr>
                <w:rFonts w:ascii="Arial" w:cs="Arial" w:eastAsia="Arial" w:hAnsi="Arial"/>
                <w:sz w:val="11"/>
                <w:szCs w:val="11"/>
                <w:color w:val="auto"/>
              </w:rPr>
              <w:t>$514,618</w:t>
            </w:r>
          </w:p>
        </w:tc>
        <w:tc>
          <w:tcPr>
            <w:tcW w:w="880" w:type="dxa"/>
            <w:vAlign w:val="bottom"/>
          </w:tcPr>
          <w:p>
            <w:pPr>
              <w:jc w:val="right"/>
              <w:ind w:right="148"/>
              <w:spacing w:after="0"/>
              <w:rPr>
                <w:sz w:val="20"/>
                <w:szCs w:val="20"/>
                <w:color w:val="auto"/>
              </w:rPr>
            </w:pPr>
            <w:r>
              <w:rPr>
                <w:rFonts w:ascii="Arial" w:cs="Arial" w:eastAsia="Arial" w:hAnsi="Arial"/>
                <w:sz w:val="11"/>
                <w:szCs w:val="11"/>
                <w:color w:val="auto"/>
              </w:rPr>
              <w:t>$3.74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42545</wp:posOffset>
            </wp:positionV>
            <wp:extent cx="4663440" cy="571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13" w:lineRule="exact"/>
        <w:rPr>
          <w:sz w:val="20"/>
          <w:szCs w:val="20"/>
          <w:color w:val="auto"/>
        </w:rPr>
      </w:pPr>
    </w:p>
    <w:p>
      <w:pPr>
        <w:ind w:left="2260" w:hanging="288"/>
        <w:spacing w:after="0"/>
        <w:tabs>
          <w:tab w:leader="none" w:pos="226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eOne acquisition and related costs are described above in the “Reconciliation of as Reported to Adjusted Operating Results.”</w:t>
      </w:r>
    </w:p>
    <w:p>
      <w:pPr>
        <w:spacing w:after="0" w:line="47" w:lineRule="exact"/>
        <w:rPr>
          <w:rFonts w:ascii="Arial" w:cs="Arial" w:eastAsia="Arial" w:hAnsi="Arial"/>
          <w:sz w:val="10"/>
          <w:szCs w:val="10"/>
          <w:color w:val="auto"/>
        </w:rPr>
      </w:pPr>
    </w:p>
    <w:p>
      <w:pPr>
        <w:ind w:left="2260" w:right="939" w:hanging="288"/>
        <w:spacing w:after="0" w:line="230" w:lineRule="auto"/>
        <w:tabs>
          <w:tab w:leader="none" w:pos="226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In the second quarter of 2021, the Company recorded income tax expense of $39,360 as a result of the revaluation of the Company’s UK deferred taxes in accordance with Finance Act 2021 enacted by the United Kingdom on June 10, 2021. Effective April 1, 2023, the new law increases the corporate income tax rate to 25% from 19%.</w:t>
      </w:r>
    </w:p>
    <w:p>
      <w:pPr>
        <w:spacing w:after="0" w:line="47" w:lineRule="exact"/>
        <w:rPr>
          <w:rFonts w:ascii="Arial" w:cs="Arial" w:eastAsia="Arial" w:hAnsi="Arial"/>
          <w:sz w:val="10"/>
          <w:szCs w:val="10"/>
          <w:color w:val="auto"/>
        </w:rPr>
      </w:pPr>
    </w:p>
    <w:p>
      <w:pPr>
        <w:ind w:left="2260" w:right="979"/>
        <w:spacing w:after="0" w:line="230" w:lineRule="auto"/>
        <w:rPr>
          <w:rFonts w:ascii="Arial" w:cs="Arial" w:eastAsia="Arial" w:hAnsi="Arial"/>
          <w:sz w:val="10"/>
          <w:szCs w:val="10"/>
          <w:color w:val="auto"/>
        </w:rPr>
      </w:pPr>
      <w:r>
        <w:rPr>
          <w:rFonts w:ascii="Arial" w:cs="Arial" w:eastAsia="Arial" w:hAnsi="Arial"/>
          <w:sz w:val="10"/>
          <w:szCs w:val="10"/>
          <w:color w:val="auto"/>
        </w:rPr>
        <w:t>In the year ended December 27, 2020, the Company recorded income tax expense of $15,389 as a result of the revaluation of Hasbro’s UK tax attributes in accordance with the Finance Act of 2020 enacted by the United Kingdom on July 22, 2020. Effective back to April 1, 2020, the law maintained the corporate income tax rate at 19% instead of the planned reduction to 17% that was previously enacted in the UK Finance Act of 2016.</w:t>
      </w:r>
    </w:p>
    <w:p>
      <w:pPr>
        <w:spacing w:after="0" w:line="47" w:lineRule="exact"/>
        <w:rPr>
          <w:rFonts w:ascii="Arial" w:cs="Arial" w:eastAsia="Arial" w:hAnsi="Arial"/>
          <w:sz w:val="10"/>
          <w:szCs w:val="10"/>
          <w:color w:val="auto"/>
        </w:rPr>
      </w:pPr>
    </w:p>
    <w:p>
      <w:pPr>
        <w:ind w:left="2260" w:right="1059" w:hanging="288"/>
        <w:spacing w:after="0" w:line="341" w:lineRule="auto"/>
        <w:tabs>
          <w:tab w:leader="none" w:pos="2260" w:val="left"/>
        </w:tabs>
        <w:numPr>
          <w:ilvl w:val="0"/>
          <w:numId w:val="111"/>
        </w:numPr>
        <w:rPr>
          <w:rFonts w:ascii="Arial" w:cs="Arial" w:eastAsia="Arial" w:hAnsi="Arial"/>
          <w:sz w:val="8"/>
          <w:szCs w:val="8"/>
          <w:color w:val="auto"/>
        </w:rPr>
      </w:pPr>
      <w:r>
        <w:rPr>
          <w:rFonts w:ascii="Arial" w:cs="Arial" w:eastAsia="Arial" w:hAnsi="Arial"/>
          <w:sz w:val="8"/>
          <w:szCs w:val="8"/>
          <w:color w:val="auto"/>
        </w:rPr>
        <w:t>The Company owns a 40% interest in a joint venture, Discovery Family Channel, with Discovery Communications, Inc. In the fourth quarter of 2021, the Company recorded an impairment of $74,112. This resulted in a reduction to the Discovery Option Liability of $20,150. Net loss of $53,962 million ($41,318 net of taxes).</w:t>
      </w:r>
    </w:p>
    <w:p>
      <w:pPr>
        <w:spacing w:after="0" w:line="8" w:lineRule="exact"/>
        <w:rPr>
          <w:rFonts w:ascii="Arial" w:cs="Arial" w:eastAsia="Arial" w:hAnsi="Arial"/>
          <w:sz w:val="8"/>
          <w:szCs w:val="8"/>
          <w:color w:val="auto"/>
        </w:rPr>
      </w:pPr>
    </w:p>
    <w:p>
      <w:pPr>
        <w:ind w:left="2260" w:right="959" w:hanging="288"/>
        <w:spacing w:after="0" w:line="232" w:lineRule="auto"/>
        <w:tabs>
          <w:tab w:leader="none" w:pos="226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Blueprint 2.0 implementation charges included a partial impairment of the Company’s definite-lived intangible, Power Rangers, of $215,162. These charges are also described above in the “Reconciliation of as Reported to Adjusted Operating Results.”</w:t>
      </w:r>
    </w:p>
    <w:p>
      <w:pPr>
        <w:spacing w:after="0" w:line="47" w:lineRule="exact"/>
        <w:rPr>
          <w:rFonts w:ascii="Arial" w:cs="Arial" w:eastAsia="Arial" w:hAnsi="Arial"/>
          <w:sz w:val="10"/>
          <w:szCs w:val="10"/>
          <w:color w:val="auto"/>
        </w:rPr>
      </w:pPr>
    </w:p>
    <w:p>
      <w:pPr>
        <w:ind w:left="2260" w:hanging="288"/>
        <w:spacing w:after="0"/>
        <w:tabs>
          <w:tab w:leader="none" w:pos="226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Operational Excellence charges are described above in the “Reconciliation of as Reported to Adjusted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56515</wp:posOffset>
            </wp:positionV>
            <wp:extent cx="3971925" cy="21717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5" w:lineRule="exact"/>
        <w:rPr>
          <w:sz w:val="20"/>
          <w:szCs w:val="20"/>
          <w:color w:val="auto"/>
        </w:rPr>
      </w:pPr>
    </w:p>
    <w:p>
      <w:pPr>
        <w:ind w:left="2060"/>
        <w:spacing w:after="0"/>
        <w:rPr>
          <w:sz w:val="20"/>
          <w:szCs w:val="20"/>
          <w:color w:val="auto"/>
        </w:rPr>
      </w:pPr>
      <w:r>
        <w:rPr>
          <w:rFonts w:ascii="Arial" w:cs="Arial" w:eastAsia="Arial" w:hAnsi="Arial"/>
          <w:sz w:val="12"/>
          <w:szCs w:val="12"/>
          <w:b w:val="1"/>
          <w:bCs w:val="1"/>
          <w:color w:val="FCFCFC"/>
        </w:rPr>
        <w:t>A-3</w:t>
      </w:r>
    </w:p>
    <w:p>
      <w:pPr>
        <w:sectPr>
          <w:pgSz w:w="11900" w:h="16838" w:orient="portrait"/>
          <w:cols w:equalWidth="0" w:num="1">
            <w:col w:w="10159"/>
          </w:cols>
          <w:pgMar w:left="300" w:top="372" w:right="1440" w:bottom="1440" w:gutter="0" w:footer="0" w:header="0"/>
        </w:sectPr>
      </w:pPr>
    </w:p>
    <w:bookmarkStart w:id="129" w:name="page130"/>
    <w:bookmarkEnd w:id="12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Arial" w:cs="Arial" w:eastAsia="Arial" w:hAnsi="Arial"/>
          <w:sz w:val="22"/>
          <w:szCs w:val="22"/>
          <w:color w:val="0060ED"/>
        </w:rPr>
        <w:t>Appendix B — Standards for Director Independence</w:t>
      </w:r>
    </w:p>
    <w:p>
      <w:pPr>
        <w:spacing w:after="0" w:line="97" w:lineRule="exact"/>
        <w:rPr>
          <w:sz w:val="20"/>
          <w:szCs w:val="20"/>
          <w:color w:val="auto"/>
        </w:rPr>
      </w:pPr>
    </w:p>
    <w:p>
      <w:pPr>
        <w:ind w:left="1980" w:right="999"/>
        <w:spacing w:after="0"/>
        <w:rPr>
          <w:sz w:val="20"/>
          <w:szCs w:val="20"/>
          <w:color w:val="auto"/>
        </w:rPr>
      </w:pPr>
      <w:r>
        <w:rPr>
          <w:rFonts w:ascii="Arial" w:cs="Arial" w:eastAsia="Arial" w:hAnsi="Arial"/>
          <w:sz w:val="11"/>
          <w:szCs w:val="11"/>
          <w:color w:val="auto"/>
        </w:rPr>
        <w:t>The following are the standards that will be employed by the Board of Directors in determining issues of director independence pursuant to applicable legal requirements and the rules of The NASDAQ Stock Market. For purposes of these standards (i) the Company is meant to include not only Hasbro, Inc., but all of its subsidiaries and divisions, and (ii) a director’s immediate family is deemed to include the following relationships, whether by blood, marriage or adoption: the director’s spouse, parents, children, siblings, mothers and fathers-in-law, sons and daughters-in-law and brothers and sisters-in-law, or anyone else residing in such person’s home.</w:t>
      </w:r>
    </w:p>
    <w:p>
      <w:pPr>
        <w:spacing w:after="0" w:line="142" w:lineRule="exact"/>
        <w:rPr>
          <w:sz w:val="20"/>
          <w:szCs w:val="20"/>
          <w:color w:val="auto"/>
        </w:rPr>
      </w:pPr>
    </w:p>
    <w:p>
      <w:pPr>
        <w:jc w:val="both"/>
        <w:ind w:left="2120" w:right="939" w:hanging="148"/>
        <w:spacing w:after="0" w:line="242" w:lineRule="auto"/>
        <w:tabs>
          <w:tab w:leader="none" w:pos="212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The Board must affirmatively determine that the director has no material relationship with the Company (either directly or as a partner, shareholder or officer of an organization which has a relationship with the Company). The Company will disclose this determination in compliance with all applicable rules and regulations.</w:t>
      </w:r>
    </w:p>
    <w:p>
      <w:pPr>
        <w:spacing w:after="0" w:line="76" w:lineRule="exact"/>
        <w:rPr>
          <w:rFonts w:ascii="Arial" w:cs="Arial" w:eastAsia="Arial" w:hAnsi="Arial"/>
          <w:sz w:val="11"/>
          <w:szCs w:val="11"/>
          <w:color w:val="auto"/>
        </w:rPr>
      </w:pPr>
    </w:p>
    <w:p>
      <w:pPr>
        <w:ind w:left="2120" w:right="999" w:hanging="148"/>
        <w:spacing w:after="0" w:line="245" w:lineRule="auto"/>
        <w:tabs>
          <w:tab w:leader="none" w:pos="212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No director who is an employee (or whose immediate family member is an executive officer) of the Company can be independent until at least three years after such employment or executive officer relationship has ended.</w:t>
      </w:r>
    </w:p>
    <w:p>
      <w:pPr>
        <w:spacing w:after="0" w:line="74" w:lineRule="exact"/>
        <w:rPr>
          <w:rFonts w:ascii="Arial" w:cs="Arial" w:eastAsia="Arial" w:hAnsi="Arial"/>
          <w:sz w:val="11"/>
          <w:szCs w:val="11"/>
          <w:color w:val="auto"/>
        </w:rPr>
      </w:pPr>
    </w:p>
    <w:p>
      <w:pPr>
        <w:ind w:left="2120" w:right="919" w:hanging="148"/>
        <w:spacing w:after="0" w:line="242" w:lineRule="auto"/>
        <w:tabs>
          <w:tab w:leader="none" w:pos="212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No director who is affiliated with or employed by (or whose immediate family member is affiliated or employed in a professional capacity by) a present or former internal or external auditor of the Company can be independent until at least three years after the end of either the affiliation or the employment or auditing relationship.</w:t>
      </w:r>
    </w:p>
    <w:p>
      <w:pPr>
        <w:spacing w:after="0" w:line="76" w:lineRule="exact"/>
        <w:rPr>
          <w:rFonts w:ascii="Arial" w:cs="Arial" w:eastAsia="Arial" w:hAnsi="Arial"/>
          <w:sz w:val="11"/>
          <w:szCs w:val="11"/>
          <w:color w:val="auto"/>
        </w:rPr>
      </w:pPr>
    </w:p>
    <w:p>
      <w:pPr>
        <w:ind w:left="2120" w:right="899" w:hanging="148"/>
        <w:spacing w:after="0" w:line="239" w:lineRule="auto"/>
        <w:tabs>
          <w:tab w:leader="none" w:pos="212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No director can be independent if he or she directly or indirectly receives from the Company any fees or compensation other than that which is related solely to his or her (i) service as a member of the Board or one of its committees, (ii) benefits under a tax-qualified retirement plan or</w:t>
      </w:r>
    </w:p>
    <w:p>
      <w:pPr>
        <w:ind w:left="2120" w:right="899"/>
        <w:spacing w:after="0" w:line="241" w:lineRule="auto"/>
        <w:rPr>
          <w:rFonts w:ascii="Arial" w:cs="Arial" w:eastAsia="Arial" w:hAnsi="Arial"/>
          <w:sz w:val="11"/>
          <w:szCs w:val="11"/>
          <w:color w:val="auto"/>
        </w:rPr>
      </w:pPr>
      <w:r>
        <w:rPr>
          <w:rFonts w:ascii="Arial" w:cs="Arial" w:eastAsia="Arial" w:hAnsi="Arial"/>
          <w:sz w:val="11"/>
          <w:szCs w:val="11"/>
          <w:color w:val="auto"/>
        </w:rPr>
        <w:t>(iii) non-discretionary compensation. A director who accepts any consulting, advisory or other compensatory fees from the Company other than in this connection will not be considered independent. The same prohibition applies with respect to members of a director’s immediate family, with the exclusion of compensation received by an immediate family member as a non-executive officer employee of the Company, which will be considered in making an independence determination, but which does not preclude a determination of independence.</w:t>
      </w:r>
    </w:p>
    <w:p>
      <w:pPr>
        <w:spacing w:after="0" w:line="76" w:lineRule="exact"/>
        <w:rPr>
          <w:rFonts w:ascii="Arial" w:cs="Arial" w:eastAsia="Arial" w:hAnsi="Arial"/>
          <w:sz w:val="11"/>
          <w:szCs w:val="11"/>
          <w:color w:val="auto"/>
        </w:rPr>
      </w:pPr>
    </w:p>
    <w:p>
      <w:pPr>
        <w:ind w:left="2120" w:right="999" w:hanging="148"/>
        <w:spacing w:after="0" w:line="242" w:lineRule="auto"/>
        <w:tabs>
          <w:tab w:leader="none" w:pos="212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No director who (or whose immediate family member) is employed as an executive officer of another entity where any of the Company’s present executives serve on that entity’s compensation committee can be independent until at least three years after the end of such service or employment relationship.</w:t>
      </w:r>
    </w:p>
    <w:p>
      <w:pPr>
        <w:spacing w:after="0" w:line="76" w:lineRule="exact"/>
        <w:rPr>
          <w:rFonts w:ascii="Arial" w:cs="Arial" w:eastAsia="Arial" w:hAnsi="Arial"/>
          <w:sz w:val="11"/>
          <w:szCs w:val="11"/>
          <w:color w:val="auto"/>
        </w:rPr>
      </w:pPr>
    </w:p>
    <w:p>
      <w:pPr>
        <w:ind w:left="2120" w:right="899" w:hanging="148"/>
        <w:spacing w:after="0" w:line="241" w:lineRule="auto"/>
        <w:tabs>
          <w:tab w:leader="none" w:pos="212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No director who is an executive officer, partner, controlling shareholder or an employee (or whose immediate family member is an executive officer, partner or controlling shareholder) of an entity (including a charitable entity) that makes payments to or receives payments from the Company in amount which, in any single fiscal year, exceeds the greater of $200,000 or 5% of such entity’s consolidated gross revenues, can be independent until three years after falling below such threshold.</w:t>
      </w:r>
    </w:p>
    <w:p>
      <w:pPr>
        <w:spacing w:after="0" w:line="76" w:lineRule="exact"/>
        <w:rPr>
          <w:rFonts w:ascii="Arial" w:cs="Arial" w:eastAsia="Arial" w:hAnsi="Arial"/>
          <w:sz w:val="11"/>
          <w:szCs w:val="11"/>
          <w:color w:val="auto"/>
        </w:rPr>
      </w:pPr>
    </w:p>
    <w:p>
      <w:pPr>
        <w:ind w:left="2120" w:right="1119" w:hanging="148"/>
        <w:spacing w:after="0" w:line="242" w:lineRule="auto"/>
        <w:tabs>
          <w:tab w:leader="none" w:pos="212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No director who is performing, or is a partner, member, officer, director or employee of any entity performing, paid consulting, legal, investment banking, commercial banking, accounting, financial advisory or other professional services work (“professional services”) for the Company can be independent until three years after such services have ended.</w:t>
      </w:r>
    </w:p>
    <w:p>
      <w:pPr>
        <w:spacing w:after="0" w:line="199"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Additional Relationships to Consider in Determining Director Independence</w:t>
      </w:r>
    </w:p>
    <w:p>
      <w:pPr>
        <w:spacing w:after="0" w:line="111" w:lineRule="exact"/>
        <w:rPr>
          <w:sz w:val="20"/>
          <w:szCs w:val="20"/>
          <w:color w:val="auto"/>
        </w:rPr>
      </w:pPr>
    </w:p>
    <w:p>
      <w:pPr>
        <w:ind w:left="1980" w:right="879"/>
        <w:spacing w:after="0"/>
        <w:rPr>
          <w:sz w:val="20"/>
          <w:szCs w:val="20"/>
          <w:color w:val="auto"/>
        </w:rPr>
      </w:pPr>
      <w:r>
        <w:rPr>
          <w:rFonts w:ascii="Arial" w:cs="Arial" w:eastAsia="Arial" w:hAnsi="Arial"/>
          <w:sz w:val="11"/>
          <w:szCs w:val="11"/>
          <w:color w:val="auto"/>
        </w:rPr>
        <w:t>The following are suggested parameters that the Board has agreed to consider in determining whether a director has a material relationship or affiliation with the Company that would impact a finding of independence. If a director satisfies all of the criteria set forth below it would suggest that the director, absent other contrary considerations, does not have a material relationship with the Company and is independent. If a director fails to satisfy one or more of the criteria set forth below, further Board inquiry and discussion is needed to determine if the director has a material relationship with the Company or may be found independent.</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Business and Professional Relationships of Directors and Their Family Members</w:t>
      </w:r>
    </w:p>
    <w:p>
      <w:pPr>
        <w:spacing w:after="0" w:line="111" w:lineRule="exact"/>
        <w:rPr>
          <w:sz w:val="20"/>
          <w:szCs w:val="20"/>
          <w:color w:val="auto"/>
        </w:rPr>
      </w:pPr>
    </w:p>
    <w:p>
      <w:pPr>
        <w:ind w:left="2120" w:right="959" w:hanging="148"/>
        <w:spacing w:after="0" w:line="245" w:lineRule="auto"/>
        <w:tabs>
          <w:tab w:leader="none" w:pos="2120" w:val="left"/>
        </w:tabs>
        <w:numPr>
          <w:ilvl w:val="0"/>
          <w:numId w:val="113"/>
        </w:numPr>
        <w:rPr>
          <w:rFonts w:ascii="Arial" w:cs="Arial" w:eastAsia="Arial" w:hAnsi="Arial"/>
          <w:sz w:val="11"/>
          <w:szCs w:val="11"/>
          <w:color w:val="auto"/>
        </w:rPr>
      </w:pPr>
      <w:r>
        <w:rPr>
          <w:rFonts w:ascii="Arial" w:cs="Arial" w:eastAsia="Arial" w:hAnsi="Arial"/>
          <w:sz w:val="11"/>
          <w:szCs w:val="11"/>
          <w:color w:val="auto"/>
        </w:rPr>
        <w:t>The director is not currently providing personally, and has not provided personally within the past three years, property, goods or services (other than services as a member of the Board or any committees thereof) to the Company or any of its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109220</wp:posOffset>
            </wp:positionV>
            <wp:extent cx="3971925" cy="21717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210"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FCFCFC"/>
        </w:rPr>
        <w:t>B-1</w:t>
      </w:r>
    </w:p>
    <w:p>
      <w:pPr>
        <w:sectPr>
          <w:pgSz w:w="11900" w:h="16838" w:orient="portrait"/>
          <w:cols w:equalWidth="0" w:num="1">
            <w:col w:w="10159"/>
          </w:cols>
          <w:pgMar w:left="300" w:top="372" w:right="1440" w:bottom="1440" w:gutter="0" w:footer="0" w:header="0"/>
        </w:sectPr>
      </w:pPr>
    </w:p>
    <w:bookmarkStart w:id="130" w:name="page131"/>
    <w:bookmarkEnd w:id="13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2120" w:right="919" w:hanging="148"/>
        <w:spacing w:after="0" w:line="245" w:lineRule="auto"/>
        <w:tabs>
          <w:tab w:leader="none" w:pos="2120" w:val="left"/>
        </w:tabs>
        <w:numPr>
          <w:ilvl w:val="0"/>
          <w:numId w:val="114"/>
        </w:numPr>
        <w:rPr>
          <w:rFonts w:ascii="Arial" w:cs="Arial" w:eastAsia="Arial" w:hAnsi="Arial"/>
          <w:sz w:val="11"/>
          <w:szCs w:val="11"/>
          <w:color w:val="auto"/>
        </w:rPr>
      </w:pPr>
      <w:r>
        <w:rPr>
          <w:rFonts w:ascii="Arial" w:cs="Arial" w:eastAsia="Arial" w:hAnsi="Arial"/>
          <w:sz w:val="11"/>
          <w:szCs w:val="11"/>
          <w:color w:val="auto"/>
        </w:rPr>
        <w:t>No member of the director’s immediate family is currently providing personally, or has provided personally within the past three years, property, goods or services (other than services as an unpaid intern of the Company) to the Company or any of its executive officers.</w:t>
      </w:r>
    </w:p>
    <w:p>
      <w:pPr>
        <w:spacing w:after="0" w:line="74" w:lineRule="exact"/>
        <w:rPr>
          <w:rFonts w:ascii="Arial" w:cs="Arial" w:eastAsia="Arial" w:hAnsi="Arial"/>
          <w:sz w:val="11"/>
          <w:szCs w:val="11"/>
          <w:color w:val="auto"/>
        </w:rPr>
      </w:pPr>
    </w:p>
    <w:p>
      <w:pPr>
        <w:ind w:left="2120" w:right="979" w:hanging="148"/>
        <w:spacing w:after="0" w:line="241" w:lineRule="auto"/>
        <w:tabs>
          <w:tab w:leader="none" w:pos="2120" w:val="left"/>
        </w:tabs>
        <w:numPr>
          <w:ilvl w:val="0"/>
          <w:numId w:val="114"/>
        </w:numPr>
        <w:rPr>
          <w:rFonts w:ascii="Arial" w:cs="Arial" w:eastAsia="Arial" w:hAnsi="Arial"/>
          <w:sz w:val="11"/>
          <w:szCs w:val="11"/>
          <w:color w:val="auto"/>
        </w:rPr>
      </w:pPr>
      <w:r>
        <w:rPr>
          <w:rFonts w:ascii="Arial" w:cs="Arial" w:eastAsia="Arial" w:hAnsi="Arial"/>
          <w:sz w:val="11"/>
          <w:szCs w:val="11"/>
          <w:color w:val="auto"/>
        </w:rPr>
        <w:t>The director is not currently receiving personally, and has not received personally within the past three years, property, goods or services from the Company. The foregoing requirements do not apply to compensation, services or goods paid or provided to the director solely in connection with the director’s service on the Board or any committees thereof, including $1,000 or less a year in the Company’s products which may be given to the director or one or more of the director’s family members as a director benefit.</w:t>
      </w:r>
    </w:p>
    <w:p>
      <w:pPr>
        <w:spacing w:after="0" w:line="76" w:lineRule="exact"/>
        <w:rPr>
          <w:rFonts w:ascii="Arial" w:cs="Arial" w:eastAsia="Arial" w:hAnsi="Arial"/>
          <w:sz w:val="11"/>
          <w:szCs w:val="11"/>
          <w:color w:val="auto"/>
        </w:rPr>
      </w:pPr>
    </w:p>
    <w:p>
      <w:pPr>
        <w:ind w:left="2120" w:right="919" w:hanging="148"/>
        <w:spacing w:after="0" w:line="242" w:lineRule="auto"/>
        <w:tabs>
          <w:tab w:leader="none" w:pos="2120" w:val="left"/>
        </w:tabs>
        <w:numPr>
          <w:ilvl w:val="0"/>
          <w:numId w:val="114"/>
        </w:numPr>
        <w:rPr>
          <w:rFonts w:ascii="Arial" w:cs="Arial" w:eastAsia="Arial" w:hAnsi="Arial"/>
          <w:sz w:val="11"/>
          <w:szCs w:val="11"/>
          <w:color w:val="auto"/>
        </w:rPr>
      </w:pPr>
      <w:r>
        <w:rPr>
          <w:rFonts w:ascii="Arial" w:cs="Arial" w:eastAsia="Arial" w:hAnsi="Arial"/>
          <w:sz w:val="11"/>
          <w:szCs w:val="11"/>
          <w:color w:val="auto"/>
        </w:rPr>
        <w:t>No member of the director’s immediate family is currently receiving personally, or has received personally within the past three years, property, goods or services from the Company, excluding the de minimus Company product benefit mentioned above. The foregoing requirements do not apply to unpaid internships provided to a member of the director’s immediate family.</w:t>
      </w:r>
    </w:p>
    <w:p>
      <w:pPr>
        <w:spacing w:after="0" w:line="76" w:lineRule="exact"/>
        <w:rPr>
          <w:rFonts w:ascii="Arial" w:cs="Arial" w:eastAsia="Arial" w:hAnsi="Arial"/>
          <w:sz w:val="11"/>
          <w:szCs w:val="11"/>
          <w:color w:val="auto"/>
        </w:rPr>
      </w:pPr>
    </w:p>
    <w:p>
      <w:pPr>
        <w:jc w:val="both"/>
        <w:ind w:left="2120" w:right="939" w:hanging="148"/>
        <w:spacing w:after="0" w:line="242" w:lineRule="auto"/>
        <w:tabs>
          <w:tab w:leader="none" w:pos="2120" w:val="left"/>
        </w:tabs>
        <w:numPr>
          <w:ilvl w:val="0"/>
          <w:numId w:val="114"/>
        </w:numPr>
        <w:rPr>
          <w:rFonts w:ascii="Arial" w:cs="Arial" w:eastAsia="Arial" w:hAnsi="Arial"/>
          <w:sz w:val="11"/>
          <w:szCs w:val="11"/>
          <w:color w:val="auto"/>
        </w:rPr>
      </w:pPr>
      <w:r>
        <w:rPr>
          <w:rFonts w:ascii="Arial" w:cs="Arial" w:eastAsia="Arial" w:hAnsi="Arial"/>
          <w:sz w:val="11"/>
          <w:szCs w:val="11"/>
          <w:color w:val="auto"/>
        </w:rPr>
        <w:t>The director is not an executive officer or employee of any entity to which the Company was indebted at any time within the past three years or which was indebted to the Company at any time within the past three years in an amount that exceeded at the end of any such year the greater of (i) 2% of such entity’s consolidated assets or (ii) $1,000,000.</w:t>
      </w:r>
    </w:p>
    <w:p>
      <w:pPr>
        <w:spacing w:after="0" w:line="199"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Compensation</w:t>
      </w:r>
    </w:p>
    <w:p>
      <w:pPr>
        <w:spacing w:after="0" w:line="111" w:lineRule="exact"/>
        <w:rPr>
          <w:sz w:val="20"/>
          <w:szCs w:val="20"/>
          <w:color w:val="auto"/>
        </w:rPr>
      </w:pPr>
    </w:p>
    <w:p>
      <w:pPr>
        <w:ind w:left="2120" w:right="939" w:hanging="148"/>
        <w:spacing w:after="0" w:line="241" w:lineRule="auto"/>
        <w:tabs>
          <w:tab w:leader="none" w:pos="2120" w:val="left"/>
        </w:tabs>
        <w:numPr>
          <w:ilvl w:val="0"/>
          <w:numId w:val="115"/>
        </w:numPr>
        <w:rPr>
          <w:rFonts w:ascii="Arial" w:cs="Arial" w:eastAsia="Arial" w:hAnsi="Arial"/>
          <w:sz w:val="11"/>
          <w:szCs w:val="11"/>
          <w:color w:val="auto"/>
        </w:rPr>
      </w:pPr>
      <w:r>
        <w:rPr>
          <w:rFonts w:ascii="Arial" w:cs="Arial" w:eastAsia="Arial" w:hAnsi="Arial"/>
          <w:sz w:val="11"/>
          <w:szCs w:val="11"/>
          <w:color w:val="auto"/>
        </w:rPr>
        <w:t>Notwithstanding the restriction described above with respect to direct or indirect receipt of consulting, advisory or other compensatory fees other than in connection with Board or committee service, arrangements between the Company and (i) entities affiliated with the director or (ii) immediate family members of the director, which may be deemed to provide a form of indirect compensation to the director, will not result in a loss of status as an independent director provided such relationships do not violate the requirements set forth above.</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Charitable Relationships</w:t>
      </w:r>
    </w:p>
    <w:p>
      <w:pPr>
        <w:spacing w:after="0" w:line="111" w:lineRule="exact"/>
        <w:rPr>
          <w:sz w:val="20"/>
          <w:szCs w:val="20"/>
          <w:color w:val="auto"/>
        </w:rPr>
      </w:pPr>
    </w:p>
    <w:p>
      <w:pPr>
        <w:ind w:left="2120" w:right="899" w:hanging="148"/>
        <w:spacing w:after="0" w:line="245" w:lineRule="auto"/>
        <w:tabs>
          <w:tab w:leader="none" w:pos="2120" w:val="left"/>
        </w:tabs>
        <w:numPr>
          <w:ilvl w:val="0"/>
          <w:numId w:val="116"/>
        </w:numPr>
        <w:rPr>
          <w:rFonts w:ascii="Arial" w:cs="Arial" w:eastAsia="Arial" w:hAnsi="Arial"/>
          <w:sz w:val="11"/>
          <w:szCs w:val="11"/>
          <w:color w:val="auto"/>
        </w:rPr>
      </w:pPr>
      <w:r>
        <w:rPr>
          <w:rFonts w:ascii="Arial" w:cs="Arial" w:eastAsia="Arial" w:hAnsi="Arial"/>
          <w:sz w:val="11"/>
          <w:szCs w:val="11"/>
          <w:color w:val="auto"/>
        </w:rPr>
        <w:t>The director is not an executive officer or an employee of an entity that has received charitable contributions from the Company in excess of $100,000 in any of the past three fiscal years.</w:t>
      </w:r>
    </w:p>
    <w:p>
      <w:pPr>
        <w:spacing w:after="0" w:line="74" w:lineRule="exact"/>
        <w:rPr>
          <w:rFonts w:ascii="Arial" w:cs="Arial" w:eastAsia="Arial" w:hAnsi="Arial"/>
          <w:sz w:val="11"/>
          <w:szCs w:val="11"/>
          <w:color w:val="auto"/>
        </w:rPr>
      </w:pPr>
    </w:p>
    <w:p>
      <w:pPr>
        <w:ind w:left="2120" w:right="859" w:hanging="148"/>
        <w:spacing w:after="0" w:line="245" w:lineRule="auto"/>
        <w:tabs>
          <w:tab w:leader="none" w:pos="2120" w:val="left"/>
        </w:tabs>
        <w:numPr>
          <w:ilvl w:val="0"/>
          <w:numId w:val="116"/>
        </w:numPr>
        <w:rPr>
          <w:rFonts w:ascii="Arial" w:cs="Arial" w:eastAsia="Arial" w:hAnsi="Arial"/>
          <w:sz w:val="11"/>
          <w:szCs w:val="11"/>
          <w:color w:val="auto"/>
        </w:rPr>
      </w:pPr>
      <w:r>
        <w:rPr>
          <w:rFonts w:ascii="Arial" w:cs="Arial" w:eastAsia="Arial" w:hAnsi="Arial"/>
          <w:sz w:val="11"/>
          <w:szCs w:val="11"/>
          <w:color w:val="auto"/>
        </w:rPr>
        <w:t>No member of the director’s immediate family is an executive officer of an entity that has received charitable contributions from the Company in excess of $100,000 in any of the past three fiscal years.</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Stock Ownership</w:t>
      </w:r>
    </w:p>
    <w:p>
      <w:pPr>
        <w:spacing w:after="0" w:line="111" w:lineRule="exact"/>
        <w:rPr>
          <w:sz w:val="20"/>
          <w:szCs w:val="20"/>
          <w:color w:val="auto"/>
        </w:rPr>
      </w:pPr>
    </w:p>
    <w:p>
      <w:pPr>
        <w:ind w:left="2120" w:right="879" w:hanging="148"/>
        <w:spacing w:after="0" w:line="245" w:lineRule="auto"/>
        <w:tabs>
          <w:tab w:leader="none" w:pos="2120" w:val="left"/>
        </w:tabs>
        <w:numPr>
          <w:ilvl w:val="0"/>
          <w:numId w:val="117"/>
        </w:numPr>
        <w:rPr>
          <w:rFonts w:ascii="Arial" w:cs="Arial" w:eastAsia="Arial" w:hAnsi="Arial"/>
          <w:sz w:val="11"/>
          <w:szCs w:val="11"/>
          <w:color w:val="auto"/>
        </w:rPr>
      </w:pPr>
      <w:r>
        <w:rPr>
          <w:rFonts w:ascii="Arial" w:cs="Arial" w:eastAsia="Arial" w:hAnsi="Arial"/>
          <w:sz w:val="11"/>
          <w:szCs w:val="11"/>
          <w:color w:val="auto"/>
        </w:rPr>
        <w:t>The director’s stock ownership, as determined in accordance with the rules of the SEC as applied to preparation of proxy statements, does not exceed 5% of the Company’s outstanding stock.</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Other Family Relationships</w:t>
      </w:r>
    </w:p>
    <w:p>
      <w:pPr>
        <w:spacing w:after="0" w:line="111" w:lineRule="exact"/>
        <w:rPr>
          <w:sz w:val="20"/>
          <w:szCs w:val="20"/>
          <w:color w:val="auto"/>
        </w:rPr>
      </w:pPr>
    </w:p>
    <w:p>
      <w:pPr>
        <w:ind w:left="1980"/>
        <w:spacing w:after="0"/>
        <w:tabs>
          <w:tab w:leader="none" w:pos="210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0"/>
          <w:szCs w:val="10"/>
          <w:color w:val="auto"/>
        </w:rPr>
        <w:t>The director is not related to any other member of the Company’s board of directors or any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61595</wp:posOffset>
            </wp:positionV>
            <wp:extent cx="3971925" cy="21717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4" w:lineRule="exact"/>
        <w:rPr>
          <w:sz w:val="20"/>
          <w:szCs w:val="20"/>
          <w:color w:val="auto"/>
        </w:rPr>
      </w:pPr>
    </w:p>
    <w:p>
      <w:pPr>
        <w:ind w:left="2040"/>
        <w:spacing w:after="0"/>
        <w:rPr>
          <w:sz w:val="20"/>
          <w:szCs w:val="20"/>
          <w:color w:val="auto"/>
        </w:rPr>
      </w:pPr>
      <w:r>
        <w:rPr>
          <w:rFonts w:ascii="Arial" w:cs="Arial" w:eastAsia="Arial" w:hAnsi="Arial"/>
          <w:sz w:val="12"/>
          <w:szCs w:val="12"/>
          <w:b w:val="1"/>
          <w:bCs w:val="1"/>
          <w:color w:val="FCFCFC"/>
        </w:rPr>
        <w:t>B-2</w:t>
      </w:r>
    </w:p>
    <w:p>
      <w:pPr>
        <w:sectPr>
          <w:pgSz w:w="11900" w:h="16838" w:orient="portrait"/>
          <w:cols w:equalWidth="0" w:num="1">
            <w:col w:w="10159"/>
          </w:cols>
          <w:pgMar w:left="300" w:top="372" w:right="1440" w:bottom="1440" w:gutter="0" w:footer="0" w:header="0"/>
        </w:sectPr>
      </w:pPr>
    </w:p>
    <w:bookmarkStart w:id="131" w:name="page132"/>
    <w:bookmarkEnd w:id="13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739"/>
        <w:spacing w:after="0" w:line="245" w:lineRule="auto"/>
        <w:rPr>
          <w:sz w:val="20"/>
          <w:szCs w:val="20"/>
          <w:color w:val="auto"/>
        </w:rPr>
      </w:pPr>
      <w:r>
        <w:rPr>
          <w:rFonts w:ascii="Arial" w:cs="Arial" w:eastAsia="Arial" w:hAnsi="Arial"/>
          <w:sz w:val="22"/>
          <w:szCs w:val="22"/>
          <w:color w:val="0060ED"/>
        </w:rPr>
        <w:t>Appendix C — THIRD AMENDMENT TO RESTATED 2003 STOCK INCENTIVE PERFORMANCE PLAN, AS AMENDED</w:t>
      </w:r>
    </w:p>
    <w:p>
      <w:pPr>
        <w:spacing w:after="0" w:line="130" w:lineRule="exact"/>
        <w:rPr>
          <w:sz w:val="20"/>
          <w:szCs w:val="20"/>
          <w:color w:val="auto"/>
        </w:rPr>
      </w:pPr>
    </w:p>
    <w:p>
      <w:pPr>
        <w:jc w:val="both"/>
        <w:ind w:left="1980" w:right="939"/>
        <w:spacing w:after="0" w:line="242" w:lineRule="auto"/>
        <w:rPr>
          <w:sz w:val="20"/>
          <w:szCs w:val="20"/>
          <w:color w:val="auto"/>
        </w:rPr>
      </w:pPr>
      <w:r>
        <w:rPr>
          <w:rFonts w:ascii="Arial" w:cs="Arial" w:eastAsia="Arial" w:hAnsi="Arial"/>
          <w:sz w:val="11"/>
          <w:szCs w:val="11"/>
          <w:color w:val="auto"/>
        </w:rPr>
        <w:t>The Hasbro, Inc. Restated 2003 Stock Incentive Performance Plan, as amended by the First Amendment on May 18, 2017 and the Second Amendment on May 14, 2020 (as amended, the “Plan”), is hereby amended in the manner set forth below, such amendment to be effective as of the effective time of approval of this Third Amendment to the Plan (the “Third Amendment”) by the shareholders of Hasbro, Inc.</w:t>
      </w:r>
    </w:p>
    <w:p>
      <w:pPr>
        <w:spacing w:after="0" w:line="67" w:lineRule="exact"/>
        <w:rPr>
          <w:sz w:val="20"/>
          <w:szCs w:val="20"/>
          <w:color w:val="auto"/>
        </w:rPr>
      </w:pPr>
    </w:p>
    <w:p>
      <w:pPr>
        <w:ind w:left="1980" w:right="899"/>
        <w:spacing w:after="0" w:line="245" w:lineRule="auto"/>
        <w:rPr>
          <w:sz w:val="20"/>
          <w:szCs w:val="20"/>
          <w:color w:val="auto"/>
        </w:rPr>
      </w:pPr>
      <w:r>
        <w:rPr>
          <w:rFonts w:ascii="Arial" w:cs="Arial" w:eastAsia="Arial" w:hAnsi="Arial"/>
          <w:sz w:val="11"/>
          <w:szCs w:val="11"/>
          <w:color w:val="auto"/>
        </w:rPr>
        <w:t>Notwithstanding the foregoing, the Third Amendment shall only become effective if it is approved by the Company’s shareholders at the Company’s 2023 Annual Meeting of Shareholders, or any adjournment thereof.</w:t>
      </w:r>
    </w:p>
    <w:p>
      <w:pPr>
        <w:spacing w:after="0" w:line="210" w:lineRule="exact"/>
        <w:rPr>
          <w:sz w:val="20"/>
          <w:szCs w:val="20"/>
          <w:color w:val="auto"/>
        </w:rPr>
      </w:pPr>
    </w:p>
    <w:p>
      <w:pPr>
        <w:ind w:left="2180" w:hanging="208"/>
        <w:spacing w:after="0"/>
        <w:tabs>
          <w:tab w:leader="none" w:pos="2180" w:val="left"/>
        </w:tabs>
        <w:numPr>
          <w:ilvl w:val="0"/>
          <w:numId w:val="118"/>
        </w:numPr>
        <w:rPr>
          <w:rFonts w:ascii="Arial" w:cs="Arial" w:eastAsia="Arial" w:hAnsi="Arial"/>
          <w:sz w:val="11"/>
          <w:szCs w:val="11"/>
          <w:color w:val="auto"/>
        </w:rPr>
      </w:pPr>
      <w:r>
        <w:rPr>
          <w:rFonts w:ascii="Arial" w:cs="Arial" w:eastAsia="Arial" w:hAnsi="Arial"/>
          <w:sz w:val="11"/>
          <w:szCs w:val="11"/>
          <w:color w:val="auto"/>
        </w:rPr>
        <w:t>The third sentence of Section 3 of the Plan is deleted and replaced in its entirety with the following:</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1"/>
          <w:szCs w:val="11"/>
          <w:color w:val="auto"/>
        </w:rPr>
        <w:t>“The Plan shall remain in effect until December 31, 2028 unless sooner terminated by the Board, subject to Section 10 hereof.”</w:t>
      </w:r>
    </w:p>
    <w:p>
      <w:pPr>
        <w:spacing w:after="0" w:line="216" w:lineRule="exact"/>
        <w:rPr>
          <w:sz w:val="20"/>
          <w:szCs w:val="20"/>
          <w:color w:val="auto"/>
        </w:rPr>
      </w:pPr>
    </w:p>
    <w:p>
      <w:pPr>
        <w:ind w:left="2180" w:hanging="208"/>
        <w:spacing w:after="0"/>
        <w:tabs>
          <w:tab w:leader="none" w:pos="2180" w:val="left"/>
        </w:tabs>
        <w:numPr>
          <w:ilvl w:val="0"/>
          <w:numId w:val="119"/>
        </w:numPr>
        <w:rPr>
          <w:rFonts w:ascii="Arial" w:cs="Arial" w:eastAsia="Arial" w:hAnsi="Arial"/>
          <w:sz w:val="11"/>
          <w:szCs w:val="11"/>
          <w:color w:val="auto"/>
        </w:rPr>
      </w:pPr>
      <w:r>
        <w:rPr>
          <w:rFonts w:ascii="Arial" w:cs="Arial" w:eastAsia="Arial" w:hAnsi="Arial"/>
          <w:sz w:val="11"/>
          <w:szCs w:val="11"/>
          <w:color w:val="auto"/>
        </w:rPr>
        <w:t>The first two sentences of Section 5(a) of the Plan are deleted and replaced in their entirety with the following:</w:t>
      </w:r>
    </w:p>
    <w:p>
      <w:pPr>
        <w:spacing w:after="0" w:line="72" w:lineRule="exact"/>
        <w:rPr>
          <w:sz w:val="20"/>
          <w:szCs w:val="20"/>
          <w:color w:val="auto"/>
        </w:rPr>
      </w:pPr>
    </w:p>
    <w:p>
      <w:pPr>
        <w:ind w:left="1980" w:right="999"/>
        <w:spacing w:after="0" w:line="241" w:lineRule="auto"/>
        <w:rPr>
          <w:sz w:val="20"/>
          <w:szCs w:val="20"/>
          <w:color w:val="auto"/>
        </w:rPr>
      </w:pPr>
      <w:r>
        <w:rPr>
          <w:rFonts w:ascii="Arial" w:cs="Arial" w:eastAsia="Arial" w:hAnsi="Arial"/>
          <w:sz w:val="11"/>
          <w:szCs w:val="11"/>
          <w:color w:val="auto"/>
        </w:rPr>
        <w:t>“A maximum of 42,050,000 shares of Stock may be delivered pursuant to Awards under the Plan (which represents an increase of 1,100,000 shares of Stock from the aggregate level previously authorized by the shareholders of the Company at the 2020 Annual Meeting of Shareholders). Of the authorized shares of Stock remaining available for issuance for future grants on the effective time of approval of this Third Amendment, no more than 5,650,000 shares of Stock may be delivered pursuant to Awards other than Stock Options or SARs.”</w:t>
      </w:r>
    </w:p>
    <w:p>
      <w:pPr>
        <w:spacing w:after="0" w:line="212" w:lineRule="exact"/>
        <w:rPr>
          <w:sz w:val="20"/>
          <w:szCs w:val="20"/>
          <w:color w:val="auto"/>
        </w:rPr>
      </w:pPr>
    </w:p>
    <w:p>
      <w:pPr>
        <w:ind w:left="2180" w:hanging="208"/>
        <w:spacing w:after="0"/>
        <w:tabs>
          <w:tab w:leader="none" w:pos="2180" w:val="left"/>
        </w:tabs>
        <w:numPr>
          <w:ilvl w:val="0"/>
          <w:numId w:val="120"/>
        </w:numPr>
        <w:rPr>
          <w:rFonts w:ascii="Arial" w:cs="Arial" w:eastAsia="Arial" w:hAnsi="Arial"/>
          <w:sz w:val="11"/>
          <w:szCs w:val="11"/>
          <w:color w:val="auto"/>
        </w:rPr>
      </w:pPr>
      <w:r>
        <w:rPr>
          <w:rFonts w:ascii="Arial" w:cs="Arial" w:eastAsia="Arial" w:hAnsi="Arial"/>
          <w:sz w:val="11"/>
          <w:szCs w:val="11"/>
          <w:color w:val="auto"/>
        </w:rPr>
        <w:t>Except for the changes set forth above, the Plan remains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113030</wp:posOffset>
            </wp:positionV>
            <wp:extent cx="3971925" cy="21717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216" w:lineRule="exact"/>
        <w:rPr>
          <w:sz w:val="20"/>
          <w:szCs w:val="20"/>
          <w:color w:val="auto"/>
        </w:rPr>
      </w:pPr>
    </w:p>
    <w:p>
      <w:pPr>
        <w:ind w:left="2040"/>
        <w:spacing w:after="0"/>
        <w:rPr>
          <w:sz w:val="20"/>
          <w:szCs w:val="20"/>
          <w:color w:val="auto"/>
        </w:rPr>
      </w:pPr>
      <w:r>
        <w:rPr>
          <w:rFonts w:ascii="Arial" w:cs="Arial" w:eastAsia="Arial" w:hAnsi="Arial"/>
          <w:sz w:val="12"/>
          <w:szCs w:val="12"/>
          <w:b w:val="1"/>
          <w:bCs w:val="1"/>
          <w:color w:val="FCFCFC"/>
        </w:rPr>
        <w:t>C-1</w:t>
      </w:r>
    </w:p>
    <w:p>
      <w:pPr>
        <w:sectPr>
          <w:pgSz w:w="11900" w:h="16838" w:orient="portrait"/>
          <w:cols w:equalWidth="0" w:num="1">
            <w:col w:w="10159"/>
          </w:cols>
          <w:pgMar w:left="300" w:top="372" w:right="1440" w:bottom="1440" w:gutter="0" w:footer="0" w:header="0"/>
        </w:sectPr>
      </w:pPr>
    </w:p>
    <w:bookmarkStart w:id="132" w:name="page133"/>
    <w:bookmarkEnd w:id="13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45" w:lineRule="auto"/>
        <w:rPr>
          <w:sz w:val="20"/>
          <w:szCs w:val="20"/>
          <w:color w:val="auto"/>
        </w:rPr>
      </w:pPr>
      <w:r>
        <w:rPr>
          <w:rFonts w:ascii="Arial" w:cs="Arial" w:eastAsia="Arial" w:hAnsi="Arial"/>
          <w:sz w:val="22"/>
          <w:szCs w:val="22"/>
          <w:color w:val="0060ED"/>
        </w:rPr>
        <w:t>Appendix D — HASBRO, INC. RESTATED 2003 STOCK INCENTIVE PLAN, AS AMENDED</w:t>
      </w:r>
    </w:p>
    <w:p>
      <w:pPr>
        <w:spacing w:after="0" w:line="217" w:lineRule="exact"/>
        <w:rPr>
          <w:sz w:val="20"/>
          <w:szCs w:val="20"/>
          <w:color w:val="auto"/>
        </w:rPr>
      </w:pPr>
    </w:p>
    <w:p>
      <w:pPr>
        <w:ind w:left="2260" w:hanging="288"/>
        <w:spacing w:after="0"/>
        <w:tabs>
          <w:tab w:leader="none" w:pos="2260" w:val="left"/>
        </w:tabs>
        <w:numPr>
          <w:ilvl w:val="0"/>
          <w:numId w:val="121"/>
        </w:numPr>
        <w:rPr>
          <w:rFonts w:ascii="Arial" w:cs="Arial" w:eastAsia="Arial" w:hAnsi="Arial"/>
          <w:sz w:val="11"/>
          <w:szCs w:val="11"/>
          <w:b w:val="1"/>
          <w:bCs w:val="1"/>
          <w:color w:val="auto"/>
        </w:rPr>
      </w:pPr>
      <w:r>
        <w:rPr>
          <w:rFonts w:ascii="Arial" w:cs="Arial" w:eastAsia="Arial" w:hAnsi="Arial"/>
          <w:sz w:val="11"/>
          <w:szCs w:val="11"/>
          <w:b w:val="1"/>
          <w:bCs w:val="1"/>
          <w:color w:val="auto"/>
        </w:rPr>
        <w:t>Defined Terms</w:t>
      </w:r>
    </w:p>
    <w:p>
      <w:pPr>
        <w:spacing w:after="0" w:line="111" w:lineRule="exact"/>
        <w:rPr>
          <w:sz w:val="20"/>
          <w:szCs w:val="20"/>
          <w:color w:val="auto"/>
        </w:rPr>
      </w:pPr>
    </w:p>
    <w:p>
      <w:pPr>
        <w:ind w:left="1980" w:right="1099" w:firstLine="294"/>
        <w:spacing w:after="0" w:line="245" w:lineRule="auto"/>
        <w:rPr>
          <w:sz w:val="20"/>
          <w:szCs w:val="20"/>
          <w:color w:val="auto"/>
        </w:rPr>
      </w:pPr>
      <w:r>
        <w:rPr>
          <w:rFonts w:ascii="Arial" w:cs="Arial" w:eastAsia="Arial" w:hAnsi="Arial"/>
          <w:sz w:val="11"/>
          <w:szCs w:val="11"/>
          <w:color w:val="auto"/>
        </w:rPr>
        <w:t>Exhibit A, which is incorporated herein by reference, defines the terms used in the Plan and sets forth certain operational rules related to those terms</w:t>
      </w:r>
      <w:r>
        <w:rPr>
          <w:rFonts w:ascii="Arial" w:cs="Arial" w:eastAsia="Arial" w:hAnsi="Arial"/>
          <w:sz w:val="11"/>
          <w:szCs w:val="11"/>
          <w:b w:val="1"/>
          <w:bCs w:val="1"/>
          <w:color w:val="auto"/>
        </w:rPr>
        <w:t>.</w:t>
      </w:r>
    </w:p>
    <w:p>
      <w:pPr>
        <w:spacing w:after="0" w:line="225" w:lineRule="exact"/>
        <w:rPr>
          <w:sz w:val="20"/>
          <w:szCs w:val="20"/>
          <w:color w:val="auto"/>
        </w:rPr>
      </w:pPr>
    </w:p>
    <w:p>
      <w:pPr>
        <w:ind w:left="2260" w:hanging="288"/>
        <w:spacing w:after="0"/>
        <w:tabs>
          <w:tab w:leader="none" w:pos="2260" w:val="left"/>
        </w:tabs>
        <w:numPr>
          <w:ilvl w:val="0"/>
          <w:numId w:val="122"/>
        </w:numPr>
        <w:rPr>
          <w:rFonts w:ascii="Arial" w:cs="Arial" w:eastAsia="Arial" w:hAnsi="Arial"/>
          <w:sz w:val="11"/>
          <w:szCs w:val="11"/>
          <w:b w:val="1"/>
          <w:bCs w:val="1"/>
          <w:color w:val="auto"/>
        </w:rPr>
      </w:pPr>
      <w:r>
        <w:rPr>
          <w:rFonts w:ascii="Arial" w:cs="Arial" w:eastAsia="Arial" w:hAnsi="Arial"/>
          <w:sz w:val="11"/>
          <w:szCs w:val="11"/>
          <w:b w:val="1"/>
          <w:bCs w:val="1"/>
          <w:color w:val="auto"/>
        </w:rPr>
        <w:t>Purpose</w:t>
      </w:r>
    </w:p>
    <w:p>
      <w:pPr>
        <w:spacing w:after="0" w:line="111" w:lineRule="exact"/>
        <w:rPr>
          <w:sz w:val="20"/>
          <w:szCs w:val="20"/>
          <w:color w:val="auto"/>
        </w:rPr>
      </w:pPr>
    </w:p>
    <w:p>
      <w:pPr>
        <w:jc w:val="both"/>
        <w:ind w:left="1980" w:right="839" w:firstLine="294"/>
        <w:spacing w:after="0" w:line="242" w:lineRule="auto"/>
        <w:rPr>
          <w:sz w:val="20"/>
          <w:szCs w:val="20"/>
          <w:color w:val="auto"/>
        </w:rPr>
      </w:pPr>
      <w:r>
        <w:rPr>
          <w:rFonts w:ascii="Arial" w:cs="Arial" w:eastAsia="Arial" w:hAnsi="Arial"/>
          <w:sz w:val="11"/>
          <w:szCs w:val="11"/>
          <w:color w:val="auto"/>
        </w:rPr>
        <w:t>The Plan has been established to advance the interests of the Company and to increase shareholder value by providing for the grant to Participants of Stock-based and other incentive Awards which provide such Participants with a proprietary interest in the growth and performance of the Company and with incentives for continued service to the Company and its Affiliates.</w:t>
      </w:r>
    </w:p>
    <w:p>
      <w:pPr>
        <w:spacing w:after="0" w:line="226" w:lineRule="exact"/>
        <w:rPr>
          <w:sz w:val="20"/>
          <w:szCs w:val="20"/>
          <w:color w:val="auto"/>
        </w:rPr>
      </w:pPr>
    </w:p>
    <w:p>
      <w:pPr>
        <w:ind w:left="2260" w:hanging="288"/>
        <w:spacing w:after="0"/>
        <w:tabs>
          <w:tab w:leader="none" w:pos="2260" w:val="left"/>
        </w:tabs>
        <w:numPr>
          <w:ilvl w:val="0"/>
          <w:numId w:val="123"/>
        </w:numPr>
        <w:rPr>
          <w:rFonts w:ascii="Arial" w:cs="Arial" w:eastAsia="Arial" w:hAnsi="Arial"/>
          <w:sz w:val="11"/>
          <w:szCs w:val="11"/>
          <w:b w:val="1"/>
          <w:bCs w:val="1"/>
          <w:color w:val="auto"/>
        </w:rPr>
      </w:pPr>
      <w:r>
        <w:rPr>
          <w:rFonts w:ascii="Arial" w:cs="Arial" w:eastAsia="Arial" w:hAnsi="Arial"/>
          <w:sz w:val="11"/>
          <w:szCs w:val="11"/>
          <w:b w:val="1"/>
          <w:bCs w:val="1"/>
          <w:color w:val="auto"/>
        </w:rPr>
        <w:t>Term</w:t>
      </w:r>
    </w:p>
    <w:p>
      <w:pPr>
        <w:spacing w:after="0" w:line="102" w:lineRule="exact"/>
        <w:rPr>
          <w:sz w:val="20"/>
          <w:szCs w:val="20"/>
          <w:color w:val="auto"/>
        </w:rPr>
      </w:pPr>
    </w:p>
    <w:p>
      <w:pPr>
        <w:ind w:left="1980" w:right="839" w:firstLine="294"/>
        <w:spacing w:after="0"/>
        <w:rPr>
          <w:sz w:val="20"/>
          <w:szCs w:val="20"/>
          <w:color w:val="auto"/>
        </w:rPr>
      </w:pPr>
      <w:r>
        <w:rPr>
          <w:rFonts w:ascii="Arial" w:cs="Arial" w:eastAsia="Arial" w:hAnsi="Arial"/>
          <w:sz w:val="11"/>
          <w:szCs w:val="11"/>
          <w:color w:val="auto"/>
        </w:rPr>
        <w:t>The Plan shall become effective upon adoption of the Plan by the Board, subject to shareholder approval within twelve months after adoption. The Board may grant Awards under the Plan prior to such shareholder approval, but any such Award shall become effective as of the date of grant only upon such approval and, accordingly, no such Award may be exercisable prior to such approval. The Plan shall remain in effect until December 31, 2017 unless sooner terminated by the Board, subject to Section 10 hereof. After termination of the Plan, no future Awards may be granted under the Plan, but previously granted Awards shall remain outstanding in accordance with their applicable terms and conditions.</w:t>
      </w:r>
    </w:p>
    <w:p>
      <w:pPr>
        <w:spacing w:after="0" w:line="229" w:lineRule="exact"/>
        <w:rPr>
          <w:sz w:val="20"/>
          <w:szCs w:val="20"/>
          <w:color w:val="auto"/>
        </w:rPr>
      </w:pPr>
    </w:p>
    <w:p>
      <w:pPr>
        <w:ind w:left="2260" w:hanging="288"/>
        <w:spacing w:after="0"/>
        <w:tabs>
          <w:tab w:leader="none" w:pos="2260" w:val="left"/>
        </w:tabs>
        <w:numPr>
          <w:ilvl w:val="0"/>
          <w:numId w:val="124"/>
        </w:numPr>
        <w:rPr>
          <w:rFonts w:ascii="Arial" w:cs="Arial" w:eastAsia="Arial" w:hAnsi="Arial"/>
          <w:sz w:val="11"/>
          <w:szCs w:val="11"/>
          <w:b w:val="1"/>
          <w:bCs w:val="1"/>
          <w:color w:val="auto"/>
        </w:rPr>
      </w:pPr>
      <w:r>
        <w:rPr>
          <w:rFonts w:ascii="Arial" w:cs="Arial" w:eastAsia="Arial" w:hAnsi="Arial"/>
          <w:sz w:val="11"/>
          <w:szCs w:val="11"/>
          <w:b w:val="1"/>
          <w:bCs w:val="1"/>
          <w:color w:val="auto"/>
        </w:rPr>
        <w:t>Administration</w:t>
      </w:r>
    </w:p>
    <w:p>
      <w:pPr>
        <w:spacing w:after="0" w:line="111" w:lineRule="exact"/>
        <w:rPr>
          <w:sz w:val="20"/>
          <w:szCs w:val="20"/>
          <w:color w:val="auto"/>
        </w:rPr>
      </w:pPr>
    </w:p>
    <w:p>
      <w:pPr>
        <w:ind w:left="1980" w:right="859" w:firstLine="294"/>
        <w:spacing w:after="0" w:line="239" w:lineRule="auto"/>
        <w:rPr>
          <w:sz w:val="20"/>
          <w:szCs w:val="20"/>
          <w:color w:val="auto"/>
        </w:rPr>
      </w:pPr>
      <w:r>
        <w:rPr>
          <w:rFonts w:ascii="Arial" w:cs="Arial" w:eastAsia="Arial" w:hAnsi="Arial"/>
          <w:sz w:val="11"/>
          <w:szCs w:val="11"/>
          <w:color w:val="auto"/>
        </w:rPr>
        <w:t>The Administrator has full and exclusive discretionary authority, subject only to the express provisions of the Plan, to interpret, construe and implement the Plan; determine eligibility for and grant Awards; determine, modify or waive the terms and conditions of any Award; prescribe, implement and modify forms, rules and procedures for operation of the Plan; and otherwise do all things necessary to carry out the purposes of the Plan. In the case of any Award intended to be eligible for the performance-based compensation exception under Section 162(m), the Administrator will exercise its discretion consistent with qualifying the Award for that exception. Determinations of the Administrator made under the Plan will be conclusive and will bind all parties and Participants under the Plan. The Administrator shall be entitled to rely on reports, opinions, or statements of officers or employees of the Company as well as those of counsel, public accountants and other professional or expert persons. No member of the Administrator shall be subject to any individual liability with respect to the Plan.</w:t>
      </w:r>
    </w:p>
    <w:p>
      <w:pPr>
        <w:spacing w:after="0" w:line="99" w:lineRule="exact"/>
        <w:rPr>
          <w:sz w:val="20"/>
          <w:szCs w:val="20"/>
          <w:color w:val="auto"/>
        </w:rPr>
      </w:pPr>
    </w:p>
    <w:p>
      <w:pPr>
        <w:ind w:left="1980" w:right="859" w:firstLine="294"/>
        <w:spacing w:after="0" w:line="245" w:lineRule="auto"/>
        <w:rPr>
          <w:sz w:val="20"/>
          <w:szCs w:val="20"/>
          <w:color w:val="auto"/>
        </w:rPr>
      </w:pPr>
      <w:r>
        <w:rPr>
          <w:rFonts w:ascii="Arial" w:cs="Arial" w:eastAsia="Arial" w:hAnsi="Arial"/>
          <w:sz w:val="11"/>
          <w:szCs w:val="11"/>
          <w:color w:val="auto"/>
        </w:rPr>
        <w:t>Notwithstanding the foregoing, as is more fully set forth in Section 10 of the Plan, the Administrator may not make material amendments to the Plan or reprice Stock Options granted under the Plan without shareholder approval.</w:t>
      </w:r>
    </w:p>
    <w:p>
      <w:pPr>
        <w:spacing w:after="0" w:line="84" w:lineRule="exact"/>
        <w:rPr>
          <w:sz w:val="20"/>
          <w:szCs w:val="20"/>
          <w:color w:val="auto"/>
        </w:rPr>
      </w:pPr>
    </w:p>
    <w:p>
      <w:pPr>
        <w:ind w:left="1980" w:right="919" w:firstLine="294"/>
        <w:spacing w:after="0"/>
        <w:rPr>
          <w:sz w:val="20"/>
          <w:szCs w:val="20"/>
          <w:color w:val="auto"/>
        </w:rPr>
      </w:pPr>
      <w:r>
        <w:rPr>
          <w:rFonts w:ascii="Arial" w:cs="Arial" w:eastAsia="Arial" w:hAnsi="Arial"/>
          <w:sz w:val="11"/>
          <w:szCs w:val="11"/>
          <w:color w:val="auto"/>
        </w:rPr>
        <w:t>The grant of any Awards under the Plan is at the sole discretion of the Administrator. The Plan does not entitle any person eligible to participate in the Plan to any Awards and there is no guarantee that any person eligible to participate will be granted Awards under the Plan. No Participant shall have any right by reason of the grant of any Award under the Plan to continued employment by the Company. To the extent that Awards are made under the Plan, the terms of Awards may differ between different Award grants and Participants, whether or not such Participants or potential Participants are similarly situated.</w:t>
      </w:r>
    </w:p>
    <w:p>
      <w:pPr>
        <w:spacing w:after="0" w:line="97" w:lineRule="exact"/>
        <w:rPr>
          <w:sz w:val="20"/>
          <w:szCs w:val="20"/>
          <w:color w:val="auto"/>
        </w:rPr>
      </w:pPr>
    </w:p>
    <w:p>
      <w:pPr>
        <w:ind w:left="1980" w:right="879" w:firstLine="294"/>
        <w:spacing w:after="0" w:line="242" w:lineRule="auto"/>
        <w:rPr>
          <w:sz w:val="20"/>
          <w:szCs w:val="20"/>
          <w:color w:val="auto"/>
        </w:rPr>
      </w:pPr>
      <w:r>
        <w:rPr>
          <w:rFonts w:ascii="Arial" w:cs="Arial" w:eastAsia="Arial" w:hAnsi="Arial"/>
          <w:sz w:val="11"/>
          <w:szCs w:val="11"/>
          <w:color w:val="auto"/>
        </w:rPr>
        <w:t>The Administrator will exercise its discretion under the Plan in such a way as to comply, to the maximum extent practicable in carrying out the goals of the Plan, in a manner consistent with the requirements of Code Section 409A or an exemption from those requirements, provided, however, that neither the Administrator, the Company or the Plan shall have any liability for any failure to so comply.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59055</wp:posOffset>
            </wp:positionV>
            <wp:extent cx="3971925" cy="21717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1" w:lineRule="exact"/>
        <w:rPr>
          <w:sz w:val="20"/>
          <w:szCs w:val="20"/>
          <w:color w:val="auto"/>
        </w:rPr>
      </w:pPr>
    </w:p>
    <w:p>
      <w:pPr>
        <w:ind w:left="2040"/>
        <w:spacing w:after="0"/>
        <w:rPr>
          <w:sz w:val="20"/>
          <w:szCs w:val="20"/>
          <w:color w:val="auto"/>
        </w:rPr>
      </w:pPr>
      <w:r>
        <w:rPr>
          <w:rFonts w:ascii="Arial" w:cs="Arial" w:eastAsia="Arial" w:hAnsi="Arial"/>
          <w:sz w:val="12"/>
          <w:szCs w:val="12"/>
          <w:b w:val="1"/>
          <w:bCs w:val="1"/>
          <w:color w:val="FCFCFC"/>
        </w:rPr>
        <w:t>D-1</w:t>
      </w:r>
    </w:p>
    <w:p>
      <w:pPr>
        <w:sectPr>
          <w:pgSz w:w="11900" w:h="16838" w:orient="portrait"/>
          <w:cols w:equalWidth="0" w:num="1">
            <w:col w:w="10159"/>
          </w:cols>
          <w:pgMar w:left="300" w:top="372" w:right="1440" w:bottom="1440" w:gutter="0" w:footer="0" w:header="0"/>
        </w:sectPr>
      </w:pPr>
    </w:p>
    <w:bookmarkStart w:id="133" w:name="page134"/>
    <w:bookmarkEnd w:id="13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2260" w:hanging="288"/>
        <w:spacing w:after="0"/>
        <w:tabs>
          <w:tab w:leader="none" w:pos="2260" w:val="left"/>
        </w:tabs>
        <w:numPr>
          <w:ilvl w:val="0"/>
          <w:numId w:val="125"/>
        </w:numPr>
        <w:rPr>
          <w:rFonts w:ascii="Arial" w:cs="Arial" w:eastAsia="Arial" w:hAnsi="Arial"/>
          <w:sz w:val="11"/>
          <w:szCs w:val="11"/>
          <w:b w:val="1"/>
          <w:bCs w:val="1"/>
          <w:color w:val="auto"/>
        </w:rPr>
      </w:pPr>
      <w:r>
        <w:rPr>
          <w:rFonts w:ascii="Arial" w:cs="Arial" w:eastAsia="Arial" w:hAnsi="Arial"/>
          <w:sz w:val="11"/>
          <w:szCs w:val="11"/>
          <w:b w:val="1"/>
          <w:bCs w:val="1"/>
          <w:color w:val="auto"/>
        </w:rPr>
        <w:t>Shares Subject to the Plan and Limits on Awards Under the Plan</w:t>
      </w:r>
    </w:p>
    <w:p>
      <w:pPr>
        <w:spacing w:after="0" w:line="100" w:lineRule="exact"/>
        <w:rPr>
          <w:rFonts w:ascii="Arial" w:cs="Arial" w:eastAsia="Arial" w:hAnsi="Arial"/>
          <w:sz w:val="11"/>
          <w:szCs w:val="11"/>
          <w:b w:val="1"/>
          <w:bCs w:val="1"/>
          <w:color w:val="auto"/>
        </w:rPr>
      </w:pPr>
    </w:p>
    <w:p>
      <w:pPr>
        <w:ind w:left="1980" w:right="839" w:firstLine="286"/>
        <w:spacing w:after="0" w:line="267" w:lineRule="auto"/>
        <w:tabs>
          <w:tab w:leader="none" w:pos="2436" w:val="left"/>
        </w:tabs>
        <w:numPr>
          <w:ilvl w:val="1"/>
          <w:numId w:val="125"/>
        </w:numPr>
        <w:rPr>
          <w:rFonts w:ascii="Arial" w:cs="Arial" w:eastAsia="Arial" w:hAnsi="Arial"/>
          <w:sz w:val="10"/>
          <w:szCs w:val="10"/>
          <w:color w:val="auto"/>
        </w:rPr>
      </w:pPr>
      <w:r>
        <w:rPr>
          <w:rFonts w:ascii="Arial" w:cs="Arial" w:eastAsia="Arial" w:hAnsi="Arial"/>
          <w:sz w:val="10"/>
          <w:szCs w:val="10"/>
          <w:i w:val="1"/>
          <w:iCs w:val="1"/>
          <w:color w:val="auto"/>
        </w:rPr>
        <w:t>Number of Shares</w:t>
      </w:r>
      <w:r>
        <w:rPr>
          <w:rFonts w:ascii="Arial" w:cs="Arial" w:eastAsia="Arial" w:hAnsi="Arial"/>
          <w:sz w:val="10"/>
          <w:szCs w:val="10"/>
          <w:color w:val="auto"/>
        </w:rPr>
        <w:t>. A maximum of 32,600,000 shares of Stock may be delivered pursuant to Awards under the Plan (which represents an</w:t>
      </w:r>
      <w:r>
        <w:rPr>
          <w:rFonts w:ascii="Arial" w:cs="Arial" w:eastAsia="Arial" w:hAnsi="Arial"/>
          <w:sz w:val="10"/>
          <w:szCs w:val="10"/>
          <w:i w:val="1"/>
          <w:iCs w:val="1"/>
          <w:color w:val="auto"/>
        </w:rPr>
        <w:t xml:space="preserve"> </w:t>
      </w:r>
      <w:r>
        <w:rPr>
          <w:rFonts w:ascii="Arial" w:cs="Arial" w:eastAsia="Arial" w:hAnsi="Arial"/>
          <w:sz w:val="10"/>
          <w:szCs w:val="10"/>
          <w:color w:val="auto"/>
        </w:rPr>
        <w:t>increase of 4,300,000 shares of Stock from the aggregate level previously authorized by the shareholders of the Company at the 2010 Annual Meeting of Shareholders). Of those authorized shares of Stock, no more than 10,200,000 shares of Stock (which represents an increase of 2,000,000 shares of Stock from the aggregate level previously authorized by the shareholders of the Company at the 2010 Annual Meeting of Shareholders) may be delivered pursuant to Awards other than Stock Options or SARs. Notwithstanding anything in the Plan to the contrary, any shares of Stock that are issued by the Company, and any Awards that are granted by, or become obligations of, the Company, through the assumption by the Company of, or in substitution for, outstanding awards previously granted by an acquired company shall not be counted against the shares of Stock available for delivery under the Plan and the terms and conditions of any such awards shall be the original terms and conditions thereof as adjusted by or pursuant to any applicable acquisition agreements. Shares tendered in payment of an Award’s exercise price, shares withheld to pay taxes due upon an Award and shares purchased by the Company using proceeds from Awards will not increase the total number of remaining shares authorized to be delivered pursuant to Awards under the Plan, and the gross number of shares covered by any SAR Awards granted under the Plan, as opposed to the net number of shares actually delivered under SARs, will be deducted from the number of shares remaining available for delivery pursuant to Awards under the Plan.</w:t>
      </w:r>
    </w:p>
    <w:p>
      <w:pPr>
        <w:spacing w:after="0" w:line="203" w:lineRule="exact"/>
        <w:rPr>
          <w:rFonts w:ascii="Arial" w:cs="Arial" w:eastAsia="Arial" w:hAnsi="Arial"/>
          <w:sz w:val="10"/>
          <w:szCs w:val="10"/>
          <w:color w:val="auto"/>
        </w:rPr>
      </w:pPr>
    </w:p>
    <w:p>
      <w:pPr>
        <w:jc w:val="both"/>
        <w:ind w:left="1980" w:right="919" w:firstLine="286"/>
        <w:spacing w:after="0" w:line="247" w:lineRule="auto"/>
        <w:tabs>
          <w:tab w:leader="none" w:pos="2436" w:val="left"/>
        </w:tabs>
        <w:numPr>
          <w:ilvl w:val="1"/>
          <w:numId w:val="125"/>
        </w:numPr>
        <w:rPr>
          <w:rFonts w:ascii="Arial" w:cs="Arial" w:eastAsia="Arial" w:hAnsi="Arial"/>
          <w:sz w:val="11"/>
          <w:szCs w:val="11"/>
          <w:color w:val="auto"/>
        </w:rPr>
      </w:pPr>
      <w:r>
        <w:rPr>
          <w:rFonts w:ascii="Arial" w:cs="Arial" w:eastAsia="Arial" w:hAnsi="Arial"/>
          <w:sz w:val="11"/>
          <w:szCs w:val="11"/>
          <w:i w:val="1"/>
          <w:iCs w:val="1"/>
          <w:color w:val="auto"/>
        </w:rPr>
        <w:t xml:space="preserve">Type of Shares. </w:t>
      </w:r>
      <w:r>
        <w:rPr>
          <w:rFonts w:ascii="Arial" w:cs="Arial" w:eastAsia="Arial" w:hAnsi="Arial"/>
          <w:sz w:val="11"/>
          <w:szCs w:val="11"/>
          <w:color w:val="auto"/>
        </w:rPr>
        <w:t>Stock delivered by the Company under the Plan may be authorized but unissued Stock or previously issued Stock acquired by</w:t>
      </w:r>
      <w:r>
        <w:rPr>
          <w:rFonts w:ascii="Arial" w:cs="Arial" w:eastAsia="Arial" w:hAnsi="Arial"/>
          <w:sz w:val="11"/>
          <w:szCs w:val="11"/>
          <w:i w:val="1"/>
          <w:iCs w:val="1"/>
          <w:color w:val="auto"/>
        </w:rPr>
        <w:t xml:space="preserve"> </w:t>
      </w:r>
      <w:r>
        <w:rPr>
          <w:rFonts w:ascii="Arial" w:cs="Arial" w:eastAsia="Arial" w:hAnsi="Arial"/>
          <w:sz w:val="11"/>
          <w:szCs w:val="11"/>
          <w:color w:val="auto"/>
        </w:rPr>
        <w:t>the Company. No fractional shares of Stock will be delivered under the Plan. Any fractional Shares which, but for this provision, would have been issued shall be deemed to have been issued and immediately sold to the Company for their Fair Market Value, and the Participant shall receive from the Company cash in lieu of such fractional shares, less all applicable withholding taxes.</w:t>
      </w:r>
    </w:p>
    <w:p>
      <w:pPr>
        <w:spacing w:after="0" w:line="73" w:lineRule="exact"/>
        <w:rPr>
          <w:rFonts w:ascii="Arial" w:cs="Arial" w:eastAsia="Arial" w:hAnsi="Arial"/>
          <w:sz w:val="11"/>
          <w:szCs w:val="11"/>
          <w:color w:val="auto"/>
        </w:rPr>
      </w:pPr>
    </w:p>
    <w:p>
      <w:pPr>
        <w:ind w:left="1980" w:right="899" w:firstLine="286"/>
        <w:spacing w:after="0" w:line="243" w:lineRule="auto"/>
        <w:tabs>
          <w:tab w:leader="none" w:pos="2429" w:val="left"/>
        </w:tabs>
        <w:numPr>
          <w:ilvl w:val="1"/>
          <w:numId w:val="125"/>
        </w:numPr>
        <w:rPr>
          <w:rFonts w:ascii="Arial" w:cs="Arial" w:eastAsia="Arial" w:hAnsi="Arial"/>
          <w:sz w:val="11"/>
          <w:szCs w:val="11"/>
          <w:color w:val="auto"/>
        </w:rPr>
      </w:pPr>
      <w:r>
        <w:rPr>
          <w:rFonts w:ascii="Arial" w:cs="Arial" w:eastAsia="Arial" w:hAnsi="Arial"/>
          <w:sz w:val="11"/>
          <w:szCs w:val="11"/>
          <w:i w:val="1"/>
          <w:iCs w:val="1"/>
          <w:color w:val="auto"/>
        </w:rPr>
        <w:t>Award Limits</w:t>
      </w:r>
      <w:r>
        <w:rPr>
          <w:rFonts w:ascii="Arial" w:cs="Arial" w:eastAsia="Arial" w:hAnsi="Arial"/>
          <w:sz w:val="11"/>
          <w:szCs w:val="11"/>
          <w:color w:val="auto"/>
        </w:rPr>
        <w:t>. The maximum number of shares of Stock for which Stock Options may be granted to any person in any calendar year and the</w:t>
      </w:r>
      <w:r>
        <w:rPr>
          <w:rFonts w:ascii="Arial" w:cs="Arial" w:eastAsia="Arial" w:hAnsi="Arial"/>
          <w:sz w:val="11"/>
          <w:szCs w:val="11"/>
          <w:i w:val="1"/>
          <w:iCs w:val="1"/>
          <w:color w:val="auto"/>
        </w:rPr>
        <w:t xml:space="preserve"> </w:t>
      </w:r>
      <w:r>
        <w:rPr>
          <w:rFonts w:ascii="Arial" w:cs="Arial" w:eastAsia="Arial" w:hAnsi="Arial"/>
          <w:sz w:val="11"/>
          <w:szCs w:val="11"/>
          <w:color w:val="auto"/>
        </w:rPr>
        <w:t>maximum number of shares of Stock subject to SARs granted to any person in any calendar year will together be an aggregate of 2,000,000 shares. The maximum benefit that may be paid to any person under other Awards which are granted in any calendar year will be: (i) to the extent paid in shares, 1,000,000 shares, (ii) to the extent such Awards are denominated in shares but paid in cash, 1,000,000 shares multiplied by the Fair Market Value of the shares on the date of payment under such Awards, and (iii) to the extent otherwise paid in cash, $10 million. The foregoing provisions will be construed and applied consistent with Section 162(m). No Award under the Plan may be outstanding for a term longer than ten years from the date of grant of such Award.</w:t>
      </w:r>
    </w:p>
    <w:p>
      <w:pPr>
        <w:spacing w:after="0" w:line="226" w:lineRule="exact"/>
        <w:rPr>
          <w:rFonts w:ascii="Arial" w:cs="Arial" w:eastAsia="Arial" w:hAnsi="Arial"/>
          <w:sz w:val="11"/>
          <w:szCs w:val="11"/>
          <w:color w:val="auto"/>
        </w:rPr>
      </w:pPr>
    </w:p>
    <w:p>
      <w:pPr>
        <w:ind w:left="2260" w:hanging="288"/>
        <w:spacing w:after="0"/>
        <w:tabs>
          <w:tab w:leader="none" w:pos="2260" w:val="left"/>
        </w:tabs>
        <w:numPr>
          <w:ilvl w:val="0"/>
          <w:numId w:val="125"/>
        </w:numPr>
        <w:rPr>
          <w:rFonts w:ascii="Arial" w:cs="Arial" w:eastAsia="Arial" w:hAnsi="Arial"/>
          <w:sz w:val="11"/>
          <w:szCs w:val="11"/>
          <w:b w:val="1"/>
          <w:bCs w:val="1"/>
          <w:color w:val="auto"/>
        </w:rPr>
      </w:pPr>
      <w:r>
        <w:rPr>
          <w:rFonts w:ascii="Arial" w:cs="Arial" w:eastAsia="Arial" w:hAnsi="Arial"/>
          <w:sz w:val="11"/>
          <w:szCs w:val="11"/>
          <w:b w:val="1"/>
          <w:bCs w:val="1"/>
          <w:color w:val="auto"/>
        </w:rPr>
        <w:t>Eligibility and Participation</w:t>
      </w:r>
    </w:p>
    <w:p>
      <w:pPr>
        <w:spacing w:after="0" w:line="111" w:lineRule="exact"/>
        <w:rPr>
          <w:sz w:val="20"/>
          <w:szCs w:val="20"/>
          <w:color w:val="auto"/>
        </w:rPr>
      </w:pPr>
    </w:p>
    <w:p>
      <w:pPr>
        <w:ind w:left="1980" w:right="1159" w:firstLine="294"/>
        <w:spacing w:after="0" w:line="241" w:lineRule="auto"/>
        <w:rPr>
          <w:sz w:val="20"/>
          <w:szCs w:val="20"/>
          <w:color w:val="auto"/>
        </w:rPr>
      </w:pPr>
      <w:r>
        <w:rPr>
          <w:rFonts w:ascii="Arial" w:cs="Arial" w:eastAsia="Arial" w:hAnsi="Arial"/>
          <w:sz w:val="11"/>
          <w:szCs w:val="11"/>
          <w:color w:val="auto"/>
        </w:rPr>
        <w:t>The Administrator will select Participants from among key Employees and directors of the Company or its Affiliates who, in the opinion of the Administrator, are in a position to make a significant contribution to the success of the Company and its Affiliates. Eligibility for ISOs is limited to employees of the Company or of a “parent corporation” or “subsidiary corporation” of the Company as those terms are defined in Section 424 of the Code.</w:t>
      </w:r>
    </w:p>
    <w:p>
      <w:pPr>
        <w:spacing w:after="0" w:line="227" w:lineRule="exact"/>
        <w:rPr>
          <w:sz w:val="20"/>
          <w:szCs w:val="20"/>
          <w:color w:val="auto"/>
        </w:rPr>
      </w:pPr>
    </w:p>
    <w:p>
      <w:pPr>
        <w:ind w:left="2260" w:hanging="288"/>
        <w:spacing w:after="0"/>
        <w:tabs>
          <w:tab w:leader="none" w:pos="2260" w:val="left"/>
        </w:tabs>
        <w:numPr>
          <w:ilvl w:val="0"/>
          <w:numId w:val="126"/>
        </w:numPr>
        <w:rPr>
          <w:rFonts w:ascii="Arial" w:cs="Arial" w:eastAsia="Arial" w:hAnsi="Arial"/>
          <w:sz w:val="11"/>
          <w:szCs w:val="11"/>
          <w:b w:val="1"/>
          <w:bCs w:val="1"/>
          <w:color w:val="auto"/>
        </w:rPr>
      </w:pPr>
      <w:r>
        <w:rPr>
          <w:rFonts w:ascii="Arial" w:cs="Arial" w:eastAsia="Arial" w:hAnsi="Arial"/>
          <w:sz w:val="11"/>
          <w:szCs w:val="11"/>
          <w:b w:val="1"/>
          <w:bCs w:val="1"/>
          <w:color w:val="auto"/>
        </w:rPr>
        <w:t>Rules Applicable to Awards</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1"/>
          <w:szCs w:val="11"/>
          <w:i w:val="1"/>
          <w:iCs w:val="1"/>
          <w:color w:val="auto"/>
        </w:rPr>
        <w:t>(a) All Awards</w:t>
      </w:r>
    </w:p>
    <w:p>
      <w:pPr>
        <w:spacing w:after="0" w:line="90" w:lineRule="exact"/>
        <w:rPr>
          <w:sz w:val="20"/>
          <w:szCs w:val="20"/>
          <w:color w:val="auto"/>
        </w:rPr>
      </w:pPr>
    </w:p>
    <w:p>
      <w:pPr>
        <w:ind w:left="1980" w:right="839" w:firstLine="286"/>
        <w:spacing w:after="0" w:line="247" w:lineRule="auto"/>
        <w:tabs>
          <w:tab w:leader="none" w:pos="2436" w:val="left"/>
        </w:tabs>
        <w:numPr>
          <w:ilvl w:val="0"/>
          <w:numId w:val="127"/>
        </w:numPr>
        <w:rPr>
          <w:rFonts w:ascii="Arial" w:cs="Arial" w:eastAsia="Arial" w:hAnsi="Arial"/>
          <w:sz w:val="11"/>
          <w:szCs w:val="11"/>
          <w:color w:val="auto"/>
        </w:rPr>
      </w:pPr>
      <w:r>
        <w:rPr>
          <w:rFonts w:ascii="Arial" w:cs="Arial" w:eastAsia="Arial" w:hAnsi="Arial"/>
          <w:sz w:val="11"/>
          <w:szCs w:val="11"/>
          <w:i w:val="1"/>
          <w:iCs w:val="1"/>
          <w:color w:val="auto"/>
        </w:rPr>
        <w:t>Award Provisions</w:t>
      </w:r>
      <w:r>
        <w:rPr>
          <w:rFonts w:ascii="Arial" w:cs="Arial" w:eastAsia="Arial" w:hAnsi="Arial"/>
          <w:sz w:val="11"/>
          <w:szCs w:val="11"/>
          <w:color w:val="auto"/>
        </w:rPr>
        <w:t>. The Administrator will determine the terms of all Awards, subject to the limitations provided herein. A Participant shall have no</w:t>
      </w:r>
      <w:r>
        <w:rPr>
          <w:rFonts w:ascii="Arial" w:cs="Arial" w:eastAsia="Arial" w:hAnsi="Arial"/>
          <w:sz w:val="11"/>
          <w:szCs w:val="11"/>
          <w:i w:val="1"/>
          <w:iCs w:val="1"/>
          <w:color w:val="auto"/>
        </w:rPr>
        <w:t xml:space="preserve"> </w:t>
      </w:r>
      <w:r>
        <w:rPr>
          <w:rFonts w:ascii="Arial" w:cs="Arial" w:eastAsia="Arial" w:hAnsi="Arial"/>
          <w:sz w:val="11"/>
          <w:szCs w:val="11"/>
          <w:color w:val="auto"/>
        </w:rPr>
        <w:t>rights with respect to the Plan, or any Award, contingent or otherwise, until written evidence of the Award shall have been delivered to the Participant and all the terms, conditions, and provisions of the Plan and the Award applicable to such Participant have been met. The Plan shall be binding on all successors and permitted assigns of a Participant, including, without limitation, the estate of such Participant.</w:t>
      </w:r>
    </w:p>
    <w:p>
      <w:pPr>
        <w:spacing w:after="0" w:line="82" w:lineRule="exact"/>
        <w:rPr>
          <w:rFonts w:ascii="Arial" w:cs="Arial" w:eastAsia="Arial" w:hAnsi="Arial"/>
          <w:sz w:val="11"/>
          <w:szCs w:val="11"/>
          <w:color w:val="auto"/>
        </w:rPr>
      </w:pPr>
    </w:p>
    <w:p>
      <w:pPr>
        <w:jc w:val="both"/>
        <w:ind w:left="1980" w:right="859" w:firstLine="286"/>
        <w:spacing w:after="0" w:line="247" w:lineRule="auto"/>
        <w:tabs>
          <w:tab w:leader="none" w:pos="2436" w:val="left"/>
        </w:tabs>
        <w:numPr>
          <w:ilvl w:val="0"/>
          <w:numId w:val="127"/>
        </w:numPr>
        <w:rPr>
          <w:rFonts w:ascii="Arial" w:cs="Arial" w:eastAsia="Arial" w:hAnsi="Arial"/>
          <w:sz w:val="11"/>
          <w:szCs w:val="11"/>
          <w:color w:val="auto"/>
        </w:rPr>
      </w:pPr>
      <w:r>
        <w:rPr>
          <w:rFonts w:ascii="Arial" w:cs="Arial" w:eastAsia="Arial" w:hAnsi="Arial"/>
          <w:sz w:val="11"/>
          <w:szCs w:val="11"/>
          <w:i w:val="1"/>
          <w:iCs w:val="1"/>
          <w:color w:val="auto"/>
        </w:rPr>
        <w:t xml:space="preserve">Transferability. </w:t>
      </w:r>
      <w:r>
        <w:rPr>
          <w:rFonts w:ascii="Arial" w:cs="Arial" w:eastAsia="Arial" w:hAnsi="Arial"/>
          <w:sz w:val="11"/>
          <w:szCs w:val="11"/>
          <w:color w:val="auto"/>
        </w:rPr>
        <w:t>Neither ISOs, nor, except as the Administrator otherwise expressly provides consistent with the following sentence, other Awards</w:t>
      </w:r>
      <w:r>
        <w:rPr>
          <w:rFonts w:ascii="Arial" w:cs="Arial" w:eastAsia="Arial" w:hAnsi="Arial"/>
          <w:sz w:val="11"/>
          <w:szCs w:val="11"/>
          <w:i w:val="1"/>
          <w:iCs w:val="1"/>
          <w:color w:val="auto"/>
        </w:rPr>
        <w:t xml:space="preserve"> </w:t>
      </w:r>
      <w:r>
        <w:rPr>
          <w:rFonts w:ascii="Arial" w:cs="Arial" w:eastAsia="Arial" w:hAnsi="Arial"/>
          <w:sz w:val="11"/>
          <w:szCs w:val="11"/>
          <w:color w:val="auto"/>
        </w:rPr>
        <w:t>may be transferred other than by will, a qualified domestic relations order or other domestic relations order, or by the laws of descent and distribution, and during a Participant’s lifetime ISOs (and, except as the Administrator otherwise expressly provides, other Awards requiring exercise) may be exercised only by the Participant. The Administrator may provide that Awards may be transferable by gift or as part of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57785</wp:posOffset>
            </wp:positionV>
            <wp:extent cx="3971925" cy="21717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28" w:lineRule="exact"/>
        <w:rPr>
          <w:sz w:val="20"/>
          <w:szCs w:val="20"/>
          <w:color w:val="auto"/>
        </w:rPr>
      </w:pPr>
    </w:p>
    <w:p>
      <w:pPr>
        <w:ind w:left="2040"/>
        <w:spacing w:after="0"/>
        <w:rPr>
          <w:sz w:val="20"/>
          <w:szCs w:val="20"/>
          <w:color w:val="auto"/>
        </w:rPr>
      </w:pPr>
      <w:r>
        <w:rPr>
          <w:rFonts w:ascii="Arial" w:cs="Arial" w:eastAsia="Arial" w:hAnsi="Arial"/>
          <w:sz w:val="12"/>
          <w:szCs w:val="12"/>
          <w:b w:val="1"/>
          <w:bCs w:val="1"/>
          <w:color w:val="FCFCFC"/>
        </w:rPr>
        <w:t>D-2</w:t>
      </w:r>
    </w:p>
    <w:p>
      <w:pPr>
        <w:sectPr>
          <w:pgSz w:w="11900" w:h="16838" w:orient="portrait"/>
          <w:cols w:equalWidth="0" w:num="1">
            <w:col w:w="10159"/>
          </w:cols>
          <w:pgMar w:left="300" w:top="372" w:right="1440" w:bottom="1440" w:gutter="0" w:footer="0" w:header="0"/>
        </w:sectPr>
      </w:pPr>
    </w:p>
    <w:bookmarkStart w:id="134" w:name="page135"/>
    <w:bookmarkEnd w:id="13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959"/>
        <w:spacing w:after="0" w:line="245" w:lineRule="auto"/>
        <w:rPr>
          <w:sz w:val="20"/>
          <w:szCs w:val="20"/>
          <w:color w:val="auto"/>
        </w:rPr>
      </w:pPr>
      <w:r>
        <w:rPr>
          <w:rFonts w:ascii="Arial" w:cs="Arial" w:eastAsia="Arial" w:hAnsi="Arial"/>
          <w:sz w:val="11"/>
          <w:szCs w:val="11"/>
          <w:color w:val="auto"/>
        </w:rPr>
        <w:t>planning transactions, provided that in no case will the Administrator allow for transfers of Awards for value to persons who are not related or previously related to the Participant making the transfer.</w:t>
      </w:r>
    </w:p>
    <w:p>
      <w:pPr>
        <w:spacing w:after="0" w:line="83" w:lineRule="exact"/>
        <w:rPr>
          <w:sz w:val="20"/>
          <w:szCs w:val="20"/>
          <w:color w:val="auto"/>
        </w:rPr>
      </w:pPr>
    </w:p>
    <w:p>
      <w:pPr>
        <w:ind w:left="1980" w:right="879" w:firstLine="286"/>
        <w:spacing w:after="0" w:line="265" w:lineRule="auto"/>
        <w:tabs>
          <w:tab w:leader="none" w:pos="2436" w:val="left"/>
        </w:tabs>
        <w:numPr>
          <w:ilvl w:val="1"/>
          <w:numId w:val="128"/>
        </w:numPr>
        <w:rPr>
          <w:rFonts w:ascii="Arial" w:cs="Arial" w:eastAsia="Arial" w:hAnsi="Arial"/>
          <w:sz w:val="10"/>
          <w:szCs w:val="10"/>
          <w:color w:val="auto"/>
        </w:rPr>
      </w:pPr>
      <w:r>
        <w:rPr>
          <w:rFonts w:ascii="Arial" w:cs="Arial" w:eastAsia="Arial" w:hAnsi="Arial"/>
          <w:sz w:val="10"/>
          <w:szCs w:val="10"/>
          <w:i w:val="1"/>
          <w:iCs w:val="1"/>
          <w:color w:val="auto"/>
        </w:rPr>
        <w:t xml:space="preserve">Vesting, Etc. </w:t>
      </w:r>
      <w:r>
        <w:rPr>
          <w:rFonts w:ascii="Arial" w:cs="Arial" w:eastAsia="Arial" w:hAnsi="Arial"/>
          <w:sz w:val="10"/>
          <w:szCs w:val="10"/>
          <w:color w:val="auto"/>
        </w:rPr>
        <w:t>The Administrator shall determine the time or times at which an Award will vest or become exercisable and the terms on which an</w:t>
      </w:r>
      <w:r>
        <w:rPr>
          <w:rFonts w:ascii="Arial" w:cs="Arial" w:eastAsia="Arial" w:hAnsi="Arial"/>
          <w:sz w:val="10"/>
          <w:szCs w:val="10"/>
          <w:i w:val="1"/>
          <w:iCs w:val="1"/>
          <w:color w:val="auto"/>
        </w:rPr>
        <w:t xml:space="preserve"> </w:t>
      </w:r>
      <w:r>
        <w:rPr>
          <w:rFonts w:ascii="Arial" w:cs="Arial" w:eastAsia="Arial" w:hAnsi="Arial"/>
          <w:sz w:val="10"/>
          <w:szCs w:val="10"/>
          <w:color w:val="auto"/>
        </w:rPr>
        <w:t>Award requiring exercise will remain exercisable, provided that, except in the case of Awards made in connection with the recruitment of new Employees (including new officers) or new directors and except as otherwise permitted under Section 10 of the Plan, (i) Stock Options and SARs shall vest in one or more installments over a total vesting period of not less than three years, such that a Stock Option or SAR award will not become vested for the full number of shares subject to the Award over a period of less than three years from the date of grant of the Award, (ii) Restricted Stock and Deferred Stock shall vest in one or more installments over a total vesting period of not less than three years, such that Restricted Stock or Deferred Stock awards will not become vested for the full number of shares subject to the Award over a period of less than three years from the date of grant of the Award, and</w:t>
      </w:r>
    </w:p>
    <w:p>
      <w:pPr>
        <w:spacing w:after="0" w:line="3" w:lineRule="exact"/>
        <w:rPr>
          <w:rFonts w:ascii="Arial" w:cs="Arial" w:eastAsia="Arial" w:hAnsi="Arial"/>
          <w:sz w:val="10"/>
          <w:szCs w:val="10"/>
          <w:color w:val="auto"/>
        </w:rPr>
      </w:pPr>
    </w:p>
    <w:p>
      <w:pPr>
        <w:ind w:left="1980" w:right="879" w:hanging="8"/>
        <w:spacing w:after="0" w:line="239" w:lineRule="auto"/>
        <w:tabs>
          <w:tab w:leader="none" w:pos="2154" w:val="left"/>
        </w:tabs>
        <w:numPr>
          <w:ilvl w:val="0"/>
          <w:numId w:val="129"/>
        </w:numPr>
        <w:rPr>
          <w:rFonts w:ascii="Arial" w:cs="Arial" w:eastAsia="Arial" w:hAnsi="Arial"/>
          <w:sz w:val="11"/>
          <w:szCs w:val="11"/>
          <w:color w:val="auto"/>
        </w:rPr>
      </w:pPr>
      <w:r>
        <w:rPr>
          <w:rFonts w:ascii="Arial" w:cs="Arial" w:eastAsia="Arial" w:hAnsi="Arial"/>
          <w:sz w:val="11"/>
          <w:szCs w:val="11"/>
          <w:color w:val="auto"/>
        </w:rPr>
        <w:t>Performance Awards must have a performance period of at least one year. Notwithstanding the foregoing restrictions, up to 5% of the shares authorized under the Plan may be granted under Awards subject to shorter performance, vesting, or other periods, including subject to being immediately vested upon grant. Subject to the foregoing restriction, the Administrator may at any time accelerate the vesting or exercisability of an Award, regardless of any adverse or potentially adverse tax consequences resulting from such acceleration. The Administrator may at any time accelerate the vesting or exercisability of an Award, without being subject to the limitations set forth in the first sentence of this Section 7(a)(3), if such acceleration is associated with the death, disability, retirement or other termination of Employment or service of a Participant. For purposes of the foregoing sentence, the Administrator will have sole and conclusive power to define the types of disability, retirement or other termination of Employment or service associated with such acceleration.</w:t>
      </w:r>
    </w:p>
    <w:p>
      <w:pPr>
        <w:spacing w:after="0" w:line="99" w:lineRule="exact"/>
        <w:rPr>
          <w:sz w:val="20"/>
          <w:szCs w:val="20"/>
          <w:color w:val="auto"/>
        </w:rPr>
      </w:pPr>
    </w:p>
    <w:p>
      <w:pPr>
        <w:ind w:left="1980" w:right="859" w:firstLine="294"/>
        <w:spacing w:after="0"/>
        <w:rPr>
          <w:sz w:val="20"/>
          <w:szCs w:val="20"/>
          <w:color w:val="auto"/>
        </w:rPr>
      </w:pPr>
      <w:r>
        <w:rPr>
          <w:rFonts w:ascii="Arial" w:cs="Arial" w:eastAsia="Arial" w:hAnsi="Arial"/>
          <w:sz w:val="11"/>
          <w:szCs w:val="11"/>
          <w:color w:val="auto"/>
        </w:rPr>
        <w:t>The Administrator has full power and authority to determine, for each Award, how long after cessation of the Participant’s Employment or service as a director an Award requiring exercise will continue to be exercisable. Unless the Administrator expressly provides otherwise in the applicable Award agreement or through other means, immediately upon the cessation of the Participant’s Employment or service as a director an Award requiring exercise will cease to be exercisable and will terminate, and all other Awards to the extent not already vested will be forfeited, except that these default rules further provide, unless otherwise modified by the Administrator for a particular Award or Awards, that:</w:t>
      </w:r>
    </w:p>
    <w:p>
      <w:pPr>
        <w:spacing w:after="0" w:line="88" w:lineRule="exact"/>
        <w:rPr>
          <w:sz w:val="20"/>
          <w:szCs w:val="20"/>
          <w:color w:val="auto"/>
        </w:rPr>
      </w:pPr>
    </w:p>
    <w:p>
      <w:pPr>
        <w:ind w:left="1980" w:right="959" w:firstLine="579"/>
        <w:spacing w:after="0" w:line="241" w:lineRule="auto"/>
        <w:tabs>
          <w:tab w:leader="none" w:pos="2831" w:val="left"/>
        </w:tabs>
        <w:numPr>
          <w:ilvl w:val="1"/>
          <w:numId w:val="130"/>
        </w:numPr>
        <w:rPr>
          <w:rFonts w:ascii="Arial" w:cs="Arial" w:eastAsia="Arial" w:hAnsi="Arial"/>
          <w:sz w:val="11"/>
          <w:szCs w:val="11"/>
          <w:color w:val="auto"/>
        </w:rPr>
      </w:pPr>
      <w:r>
        <w:rPr>
          <w:rFonts w:ascii="Arial" w:cs="Arial" w:eastAsia="Arial" w:hAnsi="Arial"/>
          <w:sz w:val="11"/>
          <w:szCs w:val="11"/>
          <w:color w:val="auto"/>
        </w:rPr>
        <w:t>subject to (B) and (C) below, all Stock Options and SARs held by the Participant or the Participant’s permitted transferee, if any, immediately prior to the cessation of the Participant’s Employment or service as a director, to the extent then exercisable, will remain exercisable for the lesser of (i) a period of three months from the date of termination or (ii) the period ending on the latest date on which such Stock Option or SAR could have been exercised without regard to this Section 7(a)(3)(A), and will thereupon terminate;</w:t>
      </w:r>
    </w:p>
    <w:p>
      <w:pPr>
        <w:spacing w:after="0" w:line="94" w:lineRule="exact"/>
        <w:rPr>
          <w:rFonts w:ascii="Arial" w:cs="Arial" w:eastAsia="Arial" w:hAnsi="Arial"/>
          <w:sz w:val="11"/>
          <w:szCs w:val="11"/>
          <w:color w:val="auto"/>
        </w:rPr>
      </w:pPr>
    </w:p>
    <w:p>
      <w:pPr>
        <w:jc w:val="both"/>
        <w:ind w:left="1980" w:right="919" w:firstLine="579"/>
        <w:spacing w:after="0" w:line="241" w:lineRule="auto"/>
        <w:tabs>
          <w:tab w:leader="none" w:pos="2831" w:val="left"/>
        </w:tabs>
        <w:numPr>
          <w:ilvl w:val="1"/>
          <w:numId w:val="130"/>
        </w:numPr>
        <w:rPr>
          <w:rFonts w:ascii="Arial" w:cs="Arial" w:eastAsia="Arial" w:hAnsi="Arial"/>
          <w:sz w:val="11"/>
          <w:szCs w:val="11"/>
          <w:color w:val="auto"/>
        </w:rPr>
      </w:pPr>
      <w:r>
        <w:rPr>
          <w:rFonts w:ascii="Arial" w:cs="Arial" w:eastAsia="Arial" w:hAnsi="Arial"/>
          <w:sz w:val="11"/>
          <w:szCs w:val="11"/>
          <w:color w:val="auto"/>
        </w:rPr>
        <w:t>all Stock Options and SARs held by a Participant or the Participant’s permitted transferee, if any, immediately prior to the Participant’s death, to the extent then exercisable, will remain exercisable for the lesser of (i) the one year period ending with the first anniversary of the Participant’s death or (ii) the period ending on the latest date on which such Stock Option or SAR could have been exercised without regard to this Section 7(a)(3)(B), and will thereupon terminate; and</w:t>
      </w:r>
    </w:p>
    <w:p>
      <w:pPr>
        <w:spacing w:after="0" w:line="94" w:lineRule="exact"/>
        <w:rPr>
          <w:rFonts w:ascii="Arial" w:cs="Arial" w:eastAsia="Arial" w:hAnsi="Arial"/>
          <w:sz w:val="11"/>
          <w:szCs w:val="11"/>
          <w:color w:val="auto"/>
        </w:rPr>
      </w:pPr>
    </w:p>
    <w:p>
      <w:pPr>
        <w:ind w:left="1980" w:right="919" w:firstLine="579"/>
        <w:spacing w:after="0" w:line="241" w:lineRule="auto"/>
        <w:tabs>
          <w:tab w:leader="none" w:pos="2837" w:val="left"/>
        </w:tabs>
        <w:numPr>
          <w:ilvl w:val="1"/>
          <w:numId w:val="130"/>
        </w:numPr>
        <w:rPr>
          <w:rFonts w:ascii="Arial" w:cs="Arial" w:eastAsia="Arial" w:hAnsi="Arial"/>
          <w:sz w:val="11"/>
          <w:szCs w:val="11"/>
          <w:color w:val="auto"/>
        </w:rPr>
      </w:pPr>
      <w:r>
        <w:rPr>
          <w:rFonts w:ascii="Arial" w:cs="Arial" w:eastAsia="Arial" w:hAnsi="Arial"/>
          <w:sz w:val="11"/>
          <w:szCs w:val="11"/>
          <w:color w:val="auto"/>
        </w:rPr>
        <w:t>all Stock Options and SARs held by a Participant or the Participant’s permitted transferee, if any, immediately prior to the cessation of the Participant’s Employment or service as a director will immediately terminate upon such cessation if the Administrator in its sole discretion determines that such cessation of Employment or service as a director has resulted for reasons which cast such discredit on the Participant as to justify immediate termination of the Award.</w:t>
      </w:r>
    </w:p>
    <w:p>
      <w:pPr>
        <w:spacing w:after="0" w:line="75" w:lineRule="exact"/>
        <w:rPr>
          <w:rFonts w:ascii="Arial" w:cs="Arial" w:eastAsia="Arial" w:hAnsi="Arial"/>
          <w:sz w:val="11"/>
          <w:szCs w:val="11"/>
          <w:color w:val="auto"/>
        </w:rPr>
      </w:pPr>
    </w:p>
    <w:p>
      <w:pPr>
        <w:ind w:left="1980" w:right="919" w:firstLine="286"/>
        <w:spacing w:after="0" w:line="245" w:lineRule="auto"/>
        <w:tabs>
          <w:tab w:leader="none" w:pos="2436" w:val="left"/>
        </w:tabs>
        <w:numPr>
          <w:ilvl w:val="0"/>
          <w:numId w:val="131"/>
        </w:numPr>
        <w:rPr>
          <w:rFonts w:ascii="Arial" w:cs="Arial" w:eastAsia="Arial" w:hAnsi="Arial"/>
          <w:sz w:val="11"/>
          <w:szCs w:val="11"/>
          <w:color w:val="auto"/>
        </w:rPr>
      </w:pPr>
      <w:r>
        <w:rPr>
          <w:rFonts w:ascii="Arial" w:cs="Arial" w:eastAsia="Arial" w:hAnsi="Arial"/>
          <w:sz w:val="11"/>
          <w:szCs w:val="11"/>
          <w:i w:val="1"/>
          <w:iCs w:val="1"/>
          <w:color w:val="auto"/>
        </w:rPr>
        <w:t xml:space="preserve">Taxes. </w:t>
      </w:r>
      <w:r>
        <w:rPr>
          <w:rFonts w:ascii="Arial" w:cs="Arial" w:eastAsia="Arial" w:hAnsi="Arial"/>
          <w:sz w:val="11"/>
          <w:szCs w:val="11"/>
          <w:color w:val="auto"/>
        </w:rPr>
        <w:t>The Administrator will make such provision for the withholding of all applicable taxes as it deems necessary. The Administrator may, but</w:t>
      </w:r>
      <w:r>
        <w:rPr>
          <w:rFonts w:ascii="Arial" w:cs="Arial" w:eastAsia="Arial" w:hAnsi="Arial"/>
          <w:sz w:val="11"/>
          <w:szCs w:val="11"/>
          <w:i w:val="1"/>
          <w:iCs w:val="1"/>
          <w:color w:val="auto"/>
        </w:rPr>
        <w:t xml:space="preserve"> </w:t>
      </w:r>
      <w:r>
        <w:rPr>
          <w:rFonts w:ascii="Arial" w:cs="Arial" w:eastAsia="Arial" w:hAnsi="Arial"/>
          <w:sz w:val="11"/>
          <w:szCs w:val="11"/>
          <w:color w:val="auto"/>
        </w:rPr>
        <w:t>need not, permit a Participant to satisfy tax withholding requirements by (i) having the Participant deliver cash or a check payable to the order of the Company, (ii) holding back shares of Stock from an Award, or (iii) permitting a Participant to tender shares of Stock which have been owned by the Participant for at least six months having a Fair Market Value equal to the amount of the applicable withholding taxes. The Administrator may, in its discretion, allow that withholding taxes paid by a Participant exceed the minimum withholding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121285</wp:posOffset>
            </wp:positionV>
            <wp:extent cx="3971925" cy="21717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238" w:lineRule="exact"/>
        <w:rPr>
          <w:sz w:val="20"/>
          <w:szCs w:val="20"/>
          <w:color w:val="auto"/>
        </w:rPr>
      </w:pPr>
    </w:p>
    <w:p>
      <w:pPr>
        <w:ind w:left="2040"/>
        <w:spacing w:after="0"/>
        <w:rPr>
          <w:sz w:val="20"/>
          <w:szCs w:val="20"/>
          <w:color w:val="auto"/>
        </w:rPr>
      </w:pPr>
      <w:r>
        <w:rPr>
          <w:rFonts w:ascii="Arial" w:cs="Arial" w:eastAsia="Arial" w:hAnsi="Arial"/>
          <w:sz w:val="12"/>
          <w:szCs w:val="12"/>
          <w:b w:val="1"/>
          <w:bCs w:val="1"/>
          <w:color w:val="FCFCFC"/>
        </w:rPr>
        <w:t>D-3</w:t>
      </w:r>
    </w:p>
    <w:p>
      <w:pPr>
        <w:sectPr>
          <w:pgSz w:w="11900" w:h="16838" w:orient="portrait"/>
          <w:cols w:equalWidth="0" w:num="1">
            <w:col w:w="10159"/>
          </w:cols>
          <w:pgMar w:left="300" w:top="372" w:right="1440" w:bottom="1440" w:gutter="0" w:footer="0" w:header="0"/>
        </w:sectPr>
      </w:pPr>
    </w:p>
    <w:bookmarkStart w:id="135" w:name="page136"/>
    <w:bookmarkEnd w:id="13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6" w:lineRule="exact"/>
        <w:rPr>
          <w:sz w:val="20"/>
          <w:szCs w:val="20"/>
          <w:color w:val="auto"/>
        </w:rPr>
      </w:pPr>
    </w:p>
    <w:p>
      <w:pPr>
        <w:ind w:left="1980" w:right="1199" w:firstLine="286"/>
        <w:spacing w:after="0" w:line="273" w:lineRule="auto"/>
        <w:tabs>
          <w:tab w:leader="none" w:pos="2436" w:val="left"/>
        </w:tabs>
        <w:numPr>
          <w:ilvl w:val="1"/>
          <w:numId w:val="132"/>
        </w:numPr>
        <w:rPr>
          <w:rFonts w:ascii="Arial" w:cs="Arial" w:eastAsia="Arial" w:hAnsi="Arial"/>
          <w:sz w:val="10"/>
          <w:szCs w:val="10"/>
          <w:color w:val="auto"/>
        </w:rPr>
      </w:pPr>
      <w:r>
        <w:rPr>
          <w:rFonts w:ascii="Arial" w:cs="Arial" w:eastAsia="Arial" w:hAnsi="Arial"/>
          <w:sz w:val="10"/>
          <w:szCs w:val="10"/>
          <w:i w:val="1"/>
          <w:iCs w:val="1"/>
          <w:color w:val="auto"/>
        </w:rPr>
        <w:t xml:space="preserve">Dividend Equivalents, Deferrals, Etc. </w:t>
      </w:r>
      <w:r>
        <w:rPr>
          <w:rFonts w:ascii="Arial" w:cs="Arial" w:eastAsia="Arial" w:hAnsi="Arial"/>
          <w:sz w:val="10"/>
          <w:szCs w:val="10"/>
          <w:color w:val="auto"/>
        </w:rPr>
        <w:t>The Administrator may provide for the payment of amounts in lieu of cash dividends or other cash</w:t>
      </w:r>
      <w:r>
        <w:rPr>
          <w:rFonts w:ascii="Arial" w:cs="Arial" w:eastAsia="Arial" w:hAnsi="Arial"/>
          <w:sz w:val="10"/>
          <w:szCs w:val="10"/>
          <w:i w:val="1"/>
          <w:iCs w:val="1"/>
          <w:color w:val="auto"/>
        </w:rPr>
        <w:t xml:space="preserve"> </w:t>
      </w:r>
      <w:r>
        <w:rPr>
          <w:rFonts w:ascii="Arial" w:cs="Arial" w:eastAsia="Arial" w:hAnsi="Arial"/>
          <w:sz w:val="10"/>
          <w:szCs w:val="10"/>
          <w:color w:val="auto"/>
        </w:rPr>
        <w:t>distributions with respect to Stock subject to an Award, provided that no such cash dividends or distributions will be paid or accrued with respect to</w:t>
      </w:r>
    </w:p>
    <w:p>
      <w:pPr>
        <w:ind w:left="1980" w:right="1119" w:hanging="8"/>
        <w:spacing w:after="0" w:line="293" w:lineRule="auto"/>
        <w:tabs>
          <w:tab w:leader="none" w:pos="2106" w:val="left"/>
        </w:tabs>
        <w:numPr>
          <w:ilvl w:val="0"/>
          <w:numId w:val="133"/>
        </w:numPr>
        <w:rPr>
          <w:rFonts w:ascii="Arial" w:cs="Arial" w:eastAsia="Arial" w:hAnsi="Arial"/>
          <w:sz w:val="10"/>
          <w:szCs w:val="10"/>
          <w:color w:val="auto"/>
        </w:rPr>
      </w:pPr>
      <w:r>
        <w:rPr>
          <w:rFonts w:ascii="Arial" w:cs="Arial" w:eastAsia="Arial" w:hAnsi="Arial"/>
          <w:sz w:val="10"/>
          <w:szCs w:val="10"/>
          <w:color w:val="auto"/>
        </w:rPr>
        <w:t>outstanding Options or SARs or (ii) other Awards subject to performance criteria or time vesting criteria that have not yet been met. Such dividend equivalents and other payments may be paid currently or may be credited to an account established under the Plan in the name of the Participant.</w:t>
      </w:r>
    </w:p>
    <w:p>
      <w:pPr>
        <w:spacing w:after="0" w:line="70" w:lineRule="exact"/>
        <w:rPr>
          <w:sz w:val="20"/>
          <w:szCs w:val="20"/>
          <w:color w:val="auto"/>
        </w:rPr>
      </w:pPr>
    </w:p>
    <w:p>
      <w:pPr>
        <w:ind w:left="1980" w:right="1019" w:firstLine="294"/>
        <w:spacing w:after="0" w:line="242" w:lineRule="auto"/>
        <w:rPr>
          <w:sz w:val="20"/>
          <w:szCs w:val="20"/>
          <w:color w:val="auto"/>
        </w:rPr>
      </w:pPr>
      <w:r>
        <w:rPr>
          <w:rFonts w:ascii="Arial" w:cs="Arial" w:eastAsia="Arial" w:hAnsi="Arial"/>
          <w:sz w:val="11"/>
          <w:szCs w:val="11"/>
          <w:color w:val="auto"/>
        </w:rPr>
        <w:t>The Administrator may require or permit Participants to elect to defer the issuance of Stock or the settlement of Awards under such rules and procedures as it may establish under the Plan. It may also provide that deferred settlements include the payment or crediting of interest on the deferral amounts, or the payment or crediting of dividend equivalents on deferred amounts denominated in Stock.</w:t>
      </w:r>
    </w:p>
    <w:p>
      <w:pPr>
        <w:spacing w:after="0" w:line="84" w:lineRule="exact"/>
        <w:rPr>
          <w:sz w:val="20"/>
          <w:szCs w:val="20"/>
          <w:color w:val="auto"/>
        </w:rPr>
      </w:pPr>
    </w:p>
    <w:p>
      <w:pPr>
        <w:jc w:val="both"/>
        <w:ind w:left="1980" w:right="899" w:firstLine="286"/>
        <w:spacing w:after="0" w:line="247" w:lineRule="auto"/>
        <w:tabs>
          <w:tab w:leader="none" w:pos="2436" w:val="left"/>
        </w:tabs>
        <w:numPr>
          <w:ilvl w:val="0"/>
          <w:numId w:val="134"/>
        </w:numPr>
        <w:rPr>
          <w:rFonts w:ascii="Arial" w:cs="Arial" w:eastAsia="Arial" w:hAnsi="Arial"/>
          <w:sz w:val="11"/>
          <w:szCs w:val="11"/>
          <w:color w:val="auto"/>
        </w:rPr>
      </w:pPr>
      <w:r>
        <w:rPr>
          <w:rFonts w:ascii="Arial" w:cs="Arial" w:eastAsia="Arial" w:hAnsi="Arial"/>
          <w:sz w:val="11"/>
          <w:szCs w:val="11"/>
          <w:i w:val="1"/>
          <w:iCs w:val="1"/>
          <w:color w:val="auto"/>
        </w:rPr>
        <w:t xml:space="preserve">Rights Limited. </w:t>
      </w:r>
      <w:r>
        <w:rPr>
          <w:rFonts w:ascii="Arial" w:cs="Arial" w:eastAsia="Arial" w:hAnsi="Arial"/>
          <w:sz w:val="11"/>
          <w:szCs w:val="11"/>
          <w:color w:val="auto"/>
        </w:rPr>
        <w:t>Nothing in the Plan will be construed as giving any person the right to continued employment or service with the Company or its</w:t>
      </w:r>
      <w:r>
        <w:rPr>
          <w:rFonts w:ascii="Arial" w:cs="Arial" w:eastAsia="Arial" w:hAnsi="Arial"/>
          <w:sz w:val="11"/>
          <w:szCs w:val="11"/>
          <w:i w:val="1"/>
          <w:iCs w:val="1"/>
          <w:color w:val="auto"/>
        </w:rPr>
        <w:t xml:space="preserve"> </w:t>
      </w:r>
      <w:r>
        <w:rPr>
          <w:rFonts w:ascii="Arial" w:cs="Arial" w:eastAsia="Arial" w:hAnsi="Arial"/>
          <w:sz w:val="11"/>
          <w:szCs w:val="11"/>
          <w:color w:val="auto"/>
        </w:rPr>
        <w:t>Affiliates, or any rights as a shareholder except as to shares of Stock actually issued under the Plan. The loss of existing or potential profit in Awards will not constitute an element of damages in the event of termination of employment or service for any reason, even if the termination is in violation of an obligation of the Company or an Affiliate to the Participant.</w:t>
      </w:r>
    </w:p>
    <w:p>
      <w:pPr>
        <w:spacing w:after="0" w:line="83" w:lineRule="exact"/>
        <w:rPr>
          <w:sz w:val="20"/>
          <w:szCs w:val="20"/>
          <w:color w:val="auto"/>
        </w:rPr>
      </w:pPr>
    </w:p>
    <w:p>
      <w:pPr>
        <w:jc w:val="both"/>
        <w:ind w:left="1980" w:right="859" w:firstLine="294"/>
        <w:spacing w:after="0" w:line="241" w:lineRule="auto"/>
        <w:rPr>
          <w:sz w:val="20"/>
          <w:szCs w:val="20"/>
          <w:color w:val="auto"/>
        </w:rPr>
      </w:pPr>
      <w:r>
        <w:rPr>
          <w:rFonts w:ascii="Arial" w:cs="Arial" w:eastAsia="Arial" w:hAnsi="Arial"/>
          <w:sz w:val="11"/>
          <w:szCs w:val="11"/>
          <w:color w:val="auto"/>
        </w:rPr>
        <w:t>Unless otherwise determined by the Administrator, the Plan shall be unfunded and shall not create, or be construed to create, a trust or a separate fund or funds. The Plan shall not establish any fiduciary relationship between the Company and any Participant or other person. To the extent any person holds any rights by virtue of an Award under the Plan, such rights, unless otherwise determined by the Administrator, shall be no greater than the rights of an unsecured general creditor of the Company.</w:t>
      </w:r>
    </w:p>
    <w:p>
      <w:pPr>
        <w:spacing w:after="0" w:line="85" w:lineRule="exact"/>
        <w:rPr>
          <w:sz w:val="20"/>
          <w:szCs w:val="20"/>
          <w:color w:val="auto"/>
        </w:rPr>
      </w:pPr>
    </w:p>
    <w:p>
      <w:pPr>
        <w:ind w:left="1980" w:right="839" w:firstLine="286"/>
        <w:spacing w:after="0" w:line="241" w:lineRule="auto"/>
        <w:tabs>
          <w:tab w:leader="none" w:pos="2436" w:val="left"/>
        </w:tabs>
        <w:numPr>
          <w:ilvl w:val="0"/>
          <w:numId w:val="135"/>
        </w:numPr>
        <w:rPr>
          <w:rFonts w:ascii="Arial" w:cs="Arial" w:eastAsia="Arial" w:hAnsi="Arial"/>
          <w:sz w:val="11"/>
          <w:szCs w:val="11"/>
          <w:color w:val="auto"/>
        </w:rPr>
      </w:pPr>
      <w:r>
        <w:rPr>
          <w:rFonts w:ascii="Arial" w:cs="Arial" w:eastAsia="Arial" w:hAnsi="Arial"/>
          <w:sz w:val="11"/>
          <w:szCs w:val="11"/>
          <w:i w:val="1"/>
          <w:iCs w:val="1"/>
          <w:color w:val="auto"/>
        </w:rPr>
        <w:t xml:space="preserve">Section 162(m). </w:t>
      </w:r>
      <w:r>
        <w:rPr>
          <w:rFonts w:ascii="Arial" w:cs="Arial" w:eastAsia="Arial" w:hAnsi="Arial"/>
          <w:sz w:val="11"/>
          <w:szCs w:val="11"/>
          <w:color w:val="auto"/>
        </w:rPr>
        <w:t>This Section 7(a)(7) applies to any Performance Award intended to qualify as performance-based for the purposes of</w:t>
      </w:r>
      <w:r>
        <w:rPr>
          <w:rFonts w:ascii="Arial" w:cs="Arial" w:eastAsia="Arial" w:hAnsi="Arial"/>
          <w:sz w:val="11"/>
          <w:szCs w:val="11"/>
          <w:i w:val="1"/>
          <w:iCs w:val="1"/>
          <w:color w:val="auto"/>
        </w:rPr>
        <w:t xml:space="preserve"> </w:t>
      </w:r>
      <w:r>
        <w:rPr>
          <w:rFonts w:ascii="Arial" w:cs="Arial" w:eastAsia="Arial" w:hAnsi="Arial"/>
          <w:sz w:val="11"/>
          <w:szCs w:val="11"/>
          <w:color w:val="auto"/>
        </w:rPr>
        <w:t>Section 162(m), other than a Stock Option or a SAR. In the case of any Performance Award to which this Section 7(a)(7) applies, the Plan and such Award will be construed to the maximum extent permitted by law in a manner consistent with qualifying the Award for such exception. With respect to such Performance Awards, the Administrator will preestablish, in writing, one or more specific Performance Criteria no later than 90 days after the commencement of the period of service to which the performance relates (or at such earlier time as is required to qualify the Award as performance-based under Section 162(m)). The Performance Criteria so established shall serve as a condition to the grant, vesting or payment of the Performance Award, as determined by the Administrator. Prior to grant, vesting or payment of the Performance Award, as the case may be, the Administrator will certify whether the Performance Criteria have been attained and such determination will be final and conclusive. If the Performance Criteria with respect to the Award are not attained, no other Award will be provided in substitution of the Performance Award. No Performance Award to which this Section 7(a)(7) applies may be granted after the fifth anniversary of the approval of the Plan by shareholders of the Company until the Performance Criteria (as originally approved or as subsequently amended) have been resubmitted to and reapproved by the shareholders of the Company in accordance with the requirements of Section 162(m), unless such grant is made contingent upon such approval.</w:t>
      </w:r>
    </w:p>
    <w:p>
      <w:pPr>
        <w:spacing w:after="0" w:line="204" w:lineRule="exact"/>
        <w:rPr>
          <w:sz w:val="20"/>
          <w:szCs w:val="20"/>
          <w:color w:val="auto"/>
        </w:rPr>
      </w:pPr>
    </w:p>
    <w:p>
      <w:pPr>
        <w:ind w:left="2260"/>
        <w:spacing w:after="0"/>
        <w:rPr>
          <w:sz w:val="20"/>
          <w:szCs w:val="20"/>
          <w:color w:val="auto"/>
        </w:rPr>
      </w:pPr>
      <w:r>
        <w:rPr>
          <w:rFonts w:ascii="Arial" w:cs="Arial" w:eastAsia="Arial" w:hAnsi="Arial"/>
          <w:sz w:val="11"/>
          <w:szCs w:val="11"/>
          <w:i w:val="1"/>
          <w:iCs w:val="1"/>
          <w:color w:val="auto"/>
        </w:rPr>
        <w:t>(b) Awards Requiring Exercise</w:t>
      </w:r>
    </w:p>
    <w:p>
      <w:pPr>
        <w:spacing w:after="0" w:line="99" w:lineRule="exact"/>
        <w:rPr>
          <w:sz w:val="20"/>
          <w:szCs w:val="20"/>
          <w:color w:val="auto"/>
        </w:rPr>
      </w:pPr>
    </w:p>
    <w:p>
      <w:pPr>
        <w:ind w:left="1980" w:right="879" w:firstLine="286"/>
        <w:spacing w:after="0" w:line="247" w:lineRule="auto"/>
        <w:tabs>
          <w:tab w:leader="none" w:pos="2436" w:val="left"/>
        </w:tabs>
        <w:numPr>
          <w:ilvl w:val="0"/>
          <w:numId w:val="136"/>
        </w:numPr>
        <w:rPr>
          <w:rFonts w:ascii="Arial" w:cs="Arial" w:eastAsia="Arial" w:hAnsi="Arial"/>
          <w:sz w:val="11"/>
          <w:szCs w:val="11"/>
          <w:color w:val="auto"/>
        </w:rPr>
      </w:pPr>
      <w:r>
        <w:rPr>
          <w:rFonts w:ascii="Arial" w:cs="Arial" w:eastAsia="Arial" w:hAnsi="Arial"/>
          <w:sz w:val="11"/>
          <w:szCs w:val="11"/>
          <w:i w:val="1"/>
          <w:iCs w:val="1"/>
          <w:color w:val="auto"/>
        </w:rPr>
        <w:t xml:space="preserve">Time And Manner Of Exercise. </w:t>
      </w:r>
      <w:r>
        <w:rPr>
          <w:rFonts w:ascii="Arial" w:cs="Arial" w:eastAsia="Arial" w:hAnsi="Arial"/>
          <w:sz w:val="11"/>
          <w:szCs w:val="11"/>
          <w:color w:val="auto"/>
        </w:rPr>
        <w:t>Unless the Administrator expressly provides otherwise, an Award requiring exercise by the holder will not be</w:t>
      </w:r>
      <w:r>
        <w:rPr>
          <w:rFonts w:ascii="Arial" w:cs="Arial" w:eastAsia="Arial" w:hAnsi="Arial"/>
          <w:sz w:val="11"/>
          <w:szCs w:val="11"/>
          <w:i w:val="1"/>
          <w:iCs w:val="1"/>
          <w:color w:val="auto"/>
        </w:rPr>
        <w:t xml:space="preserve"> </w:t>
      </w:r>
      <w:r>
        <w:rPr>
          <w:rFonts w:ascii="Arial" w:cs="Arial" w:eastAsia="Arial" w:hAnsi="Arial"/>
          <w:sz w:val="11"/>
          <w:szCs w:val="11"/>
          <w:color w:val="auto"/>
        </w:rPr>
        <w:t>deemed to have been exercised until the Administrator receives a notice of exercise (in form acceptable to the Administrator) signed by the appropriate person and accompanied by any payment required under the Award. If the Award is exercised by any person other than the Participant, the Administrator may require satisfactory evidence that the person exercising the Award has the right to do so.</w:t>
      </w:r>
    </w:p>
    <w:p>
      <w:pPr>
        <w:spacing w:after="0" w:line="73" w:lineRule="exact"/>
        <w:rPr>
          <w:rFonts w:ascii="Arial" w:cs="Arial" w:eastAsia="Arial" w:hAnsi="Arial"/>
          <w:sz w:val="11"/>
          <w:szCs w:val="11"/>
          <w:color w:val="auto"/>
        </w:rPr>
      </w:pPr>
    </w:p>
    <w:p>
      <w:pPr>
        <w:ind w:left="1980" w:right="1199" w:firstLine="286"/>
        <w:spacing w:after="0" w:line="264" w:lineRule="auto"/>
        <w:tabs>
          <w:tab w:leader="none" w:pos="2436" w:val="left"/>
        </w:tabs>
        <w:numPr>
          <w:ilvl w:val="0"/>
          <w:numId w:val="136"/>
        </w:numPr>
        <w:rPr>
          <w:rFonts w:ascii="Arial" w:cs="Arial" w:eastAsia="Arial" w:hAnsi="Arial"/>
          <w:sz w:val="11"/>
          <w:szCs w:val="11"/>
          <w:color w:val="auto"/>
        </w:rPr>
      </w:pPr>
      <w:r>
        <w:rPr>
          <w:rFonts w:ascii="Arial" w:cs="Arial" w:eastAsia="Arial" w:hAnsi="Arial"/>
          <w:sz w:val="11"/>
          <w:szCs w:val="11"/>
          <w:i w:val="1"/>
          <w:iCs w:val="1"/>
          <w:color w:val="auto"/>
        </w:rPr>
        <w:t xml:space="preserve">Exercise Price. </w:t>
      </w:r>
      <w:r>
        <w:rPr>
          <w:rFonts w:ascii="Arial" w:cs="Arial" w:eastAsia="Arial" w:hAnsi="Arial"/>
          <w:sz w:val="11"/>
          <w:szCs w:val="11"/>
          <w:color w:val="auto"/>
        </w:rPr>
        <w:t>The exercise price of a Stock Option and the strike price of a SAR will not be less than the Fair Market Value of the Stock</w:t>
      </w:r>
      <w:r>
        <w:rPr>
          <w:rFonts w:ascii="Arial" w:cs="Arial" w:eastAsia="Arial" w:hAnsi="Arial"/>
          <w:sz w:val="11"/>
          <w:szCs w:val="11"/>
          <w:i w:val="1"/>
          <w:iCs w:val="1"/>
          <w:color w:val="auto"/>
        </w:rPr>
        <w:t xml:space="preserve"> </w:t>
      </w:r>
      <w:r>
        <w:rPr>
          <w:rFonts w:ascii="Arial" w:cs="Arial" w:eastAsia="Arial" w:hAnsi="Arial"/>
          <w:sz w:val="11"/>
          <w:szCs w:val="11"/>
          <w:color w:val="auto"/>
        </w:rPr>
        <w:t>subject to the Stock Option or the SAR, determined as of the date of grant.</w:t>
      </w:r>
    </w:p>
    <w:p>
      <w:pPr>
        <w:spacing w:after="0" w:line="72" w:lineRule="exact"/>
        <w:rPr>
          <w:rFonts w:ascii="Arial" w:cs="Arial" w:eastAsia="Arial" w:hAnsi="Arial"/>
          <w:sz w:val="11"/>
          <w:szCs w:val="11"/>
          <w:color w:val="auto"/>
        </w:rPr>
      </w:pPr>
    </w:p>
    <w:p>
      <w:pPr>
        <w:ind w:left="1980" w:right="859" w:firstLine="286"/>
        <w:spacing w:after="0" w:line="244" w:lineRule="auto"/>
        <w:tabs>
          <w:tab w:leader="none" w:pos="2436" w:val="left"/>
        </w:tabs>
        <w:numPr>
          <w:ilvl w:val="0"/>
          <w:numId w:val="136"/>
        </w:numPr>
        <w:rPr>
          <w:rFonts w:ascii="Arial" w:cs="Arial" w:eastAsia="Arial" w:hAnsi="Arial"/>
          <w:sz w:val="11"/>
          <w:szCs w:val="11"/>
          <w:color w:val="auto"/>
        </w:rPr>
      </w:pPr>
      <w:r>
        <w:rPr>
          <w:rFonts w:ascii="Arial" w:cs="Arial" w:eastAsia="Arial" w:hAnsi="Arial"/>
          <w:sz w:val="11"/>
          <w:szCs w:val="11"/>
          <w:i w:val="1"/>
          <w:iCs w:val="1"/>
          <w:color w:val="auto"/>
        </w:rPr>
        <w:t xml:space="preserve">Payment Of Exercise Price. </w:t>
      </w:r>
      <w:r>
        <w:rPr>
          <w:rFonts w:ascii="Arial" w:cs="Arial" w:eastAsia="Arial" w:hAnsi="Arial"/>
          <w:sz w:val="11"/>
          <w:szCs w:val="11"/>
          <w:color w:val="auto"/>
        </w:rPr>
        <w:t>Where the exercise of an Award is to be accompanied by payment, the Administrator may determine the required or</w:t>
      </w:r>
      <w:r>
        <w:rPr>
          <w:rFonts w:ascii="Arial" w:cs="Arial" w:eastAsia="Arial" w:hAnsi="Arial"/>
          <w:sz w:val="11"/>
          <w:szCs w:val="11"/>
          <w:i w:val="1"/>
          <w:iCs w:val="1"/>
          <w:color w:val="auto"/>
        </w:rPr>
        <w:t xml:space="preserve"> </w:t>
      </w:r>
      <w:r>
        <w:rPr>
          <w:rFonts w:ascii="Arial" w:cs="Arial" w:eastAsia="Arial" w:hAnsi="Arial"/>
          <w:sz w:val="11"/>
          <w:szCs w:val="11"/>
          <w:color w:val="auto"/>
        </w:rPr>
        <w:t>permitted forms of payment, subject to the following: (a) all payments will be by cash or check acceptable to the Administrator, or, if so permitted by the Administrator and if legally permissible, (i) through the delivery of shares of Stock that have been outstanding for at least six months (unless the Administrator approves a shorter period) and that have a Fair Market Value equal to the exercise price, (ii) through a broker-assisted exercise program acceptable to the Administrator, (iii) by any other means acceptable to the Administrator or (iv) by any combination of the foregoing permissible forms of payment. The delivery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58420</wp:posOffset>
            </wp:positionV>
            <wp:extent cx="3971925" cy="21717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0" w:lineRule="exact"/>
        <w:rPr>
          <w:sz w:val="20"/>
          <w:szCs w:val="20"/>
          <w:color w:val="auto"/>
        </w:rPr>
      </w:pPr>
    </w:p>
    <w:p>
      <w:pPr>
        <w:ind w:left="2040"/>
        <w:spacing w:after="0"/>
        <w:rPr>
          <w:sz w:val="20"/>
          <w:szCs w:val="20"/>
          <w:color w:val="auto"/>
        </w:rPr>
      </w:pPr>
      <w:r>
        <w:rPr>
          <w:rFonts w:ascii="Arial" w:cs="Arial" w:eastAsia="Arial" w:hAnsi="Arial"/>
          <w:sz w:val="12"/>
          <w:szCs w:val="12"/>
          <w:b w:val="1"/>
          <w:bCs w:val="1"/>
          <w:color w:val="FCFCFC"/>
        </w:rPr>
        <w:t>D-4</w:t>
      </w:r>
    </w:p>
    <w:p>
      <w:pPr>
        <w:sectPr>
          <w:pgSz w:w="11900" w:h="16838" w:orient="portrait"/>
          <w:cols w:equalWidth="0" w:num="1">
            <w:col w:w="10159"/>
          </w:cols>
          <w:pgMar w:left="300" w:top="372" w:right="1440" w:bottom="1440" w:gutter="0" w:footer="0" w:header="0"/>
        </w:sectPr>
      </w:pPr>
    </w:p>
    <w:bookmarkStart w:id="136" w:name="page137"/>
    <w:bookmarkEnd w:id="13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899"/>
        <w:spacing w:after="0" w:line="245" w:lineRule="auto"/>
        <w:rPr>
          <w:sz w:val="20"/>
          <w:szCs w:val="20"/>
          <w:color w:val="auto"/>
        </w:rPr>
      </w:pPr>
      <w:r>
        <w:rPr>
          <w:rFonts w:ascii="Arial" w:cs="Arial" w:eastAsia="Arial" w:hAnsi="Arial"/>
          <w:sz w:val="11"/>
          <w:szCs w:val="11"/>
          <w:color w:val="auto"/>
        </w:rPr>
        <w:t>shares in payment of the exercise price under clause (a)(i) above in this Section 7(b)(3) may be accomplished either by actual delivery or by constructive delivery through attestation of ownership, subject to such rules as the Administrator may prescribe.</w:t>
      </w:r>
    </w:p>
    <w:p>
      <w:pPr>
        <w:spacing w:after="0" w:line="200" w:lineRule="exact"/>
        <w:rPr>
          <w:sz w:val="20"/>
          <w:szCs w:val="20"/>
          <w:color w:val="auto"/>
        </w:rPr>
      </w:pPr>
    </w:p>
    <w:p>
      <w:pPr>
        <w:ind w:left="2260"/>
        <w:spacing w:after="0"/>
        <w:rPr>
          <w:sz w:val="20"/>
          <w:szCs w:val="20"/>
          <w:color w:val="auto"/>
        </w:rPr>
      </w:pPr>
      <w:r>
        <w:rPr>
          <w:rFonts w:ascii="Arial" w:cs="Arial" w:eastAsia="Arial" w:hAnsi="Arial"/>
          <w:sz w:val="11"/>
          <w:szCs w:val="11"/>
          <w:i w:val="1"/>
          <w:iCs w:val="1"/>
          <w:color w:val="auto"/>
        </w:rPr>
        <w:t>(c) Awards Not Requiring Exercise</w:t>
      </w:r>
    </w:p>
    <w:p>
      <w:pPr>
        <w:spacing w:after="0" w:line="109"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Awards of Restricted Stock, Deferred Stock and Unrestricted Stock may be made in exchange for past services or other lawful consideration.</w:t>
      </w:r>
    </w:p>
    <w:p>
      <w:pPr>
        <w:spacing w:after="0" w:line="231" w:lineRule="exact"/>
        <w:rPr>
          <w:sz w:val="20"/>
          <w:szCs w:val="20"/>
          <w:color w:val="auto"/>
        </w:rPr>
      </w:pPr>
    </w:p>
    <w:p>
      <w:pPr>
        <w:ind w:left="2260" w:hanging="288"/>
        <w:spacing w:after="0"/>
        <w:tabs>
          <w:tab w:leader="none" w:pos="2260" w:val="left"/>
        </w:tabs>
        <w:numPr>
          <w:ilvl w:val="0"/>
          <w:numId w:val="137"/>
        </w:numPr>
        <w:rPr>
          <w:rFonts w:ascii="Arial" w:cs="Arial" w:eastAsia="Arial" w:hAnsi="Arial"/>
          <w:sz w:val="11"/>
          <w:szCs w:val="11"/>
          <w:b w:val="1"/>
          <w:bCs w:val="1"/>
          <w:color w:val="auto"/>
        </w:rPr>
      </w:pPr>
      <w:r>
        <w:rPr>
          <w:rFonts w:ascii="Arial" w:cs="Arial" w:eastAsia="Arial" w:hAnsi="Arial"/>
          <w:sz w:val="11"/>
          <w:szCs w:val="11"/>
          <w:b w:val="1"/>
          <w:bCs w:val="1"/>
          <w:color w:val="auto"/>
        </w:rPr>
        <w:t>Effect of Certain Transactions</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1"/>
          <w:szCs w:val="11"/>
          <w:i w:val="1"/>
          <w:iCs w:val="1"/>
          <w:color w:val="auto"/>
        </w:rPr>
        <w:t>(a) Change in Control</w:t>
      </w:r>
    </w:p>
    <w:p>
      <w:pPr>
        <w:spacing w:after="0" w:line="100" w:lineRule="exact"/>
        <w:rPr>
          <w:sz w:val="20"/>
          <w:szCs w:val="20"/>
          <w:color w:val="auto"/>
        </w:rPr>
      </w:pPr>
    </w:p>
    <w:p>
      <w:pPr>
        <w:ind w:left="1980" w:right="899" w:firstLine="286"/>
        <w:spacing w:after="0" w:line="267" w:lineRule="auto"/>
        <w:tabs>
          <w:tab w:leader="none" w:pos="2436" w:val="left"/>
        </w:tabs>
        <w:numPr>
          <w:ilvl w:val="0"/>
          <w:numId w:val="138"/>
        </w:numPr>
        <w:rPr>
          <w:rFonts w:ascii="Arial" w:cs="Arial" w:eastAsia="Arial" w:hAnsi="Arial"/>
          <w:sz w:val="10"/>
          <w:szCs w:val="10"/>
          <w:color w:val="auto"/>
        </w:rPr>
      </w:pPr>
      <w:r>
        <w:rPr>
          <w:rFonts w:ascii="Arial" w:cs="Arial" w:eastAsia="Arial" w:hAnsi="Arial"/>
          <w:sz w:val="10"/>
          <w:szCs w:val="10"/>
          <w:color w:val="auto"/>
        </w:rPr>
        <w:t>If a Participant’s Employment by the Company is terminated by the Company without Cause during the twenty-four (24) month period following a Change in Control, or the Participant resigns from the Company with Good Reason during the twenty-four (24) month period following a Change in Control, all of such Participant’s Awards outstanding on such date shall become 100% vested and the then value of such Awards (calculated in the manner set forth in Section 8(a)(2) of the Plan but calculated as of the date of the Participant’s termination of employment based on the then Fair Market Value of the Stock on such date of the termination of employment, rather than based on the date of a Change in Control and based on a CIC Price), less all applicable withholding taxes, shall be paid to the Participant in cash (or, in the case of Stock Options, SARs, Restricted Stock, Unrestricted Stock, Deferred Stock and any other Awards providing for equity in the Company, either in cash or in shares of Stock, or in any combination thereof, as may be determined by the Administrator in its sole and absolute discretion) as soon as may be practicable. Upon such payment, such Awards shall be cancelled.</w:t>
      </w:r>
    </w:p>
    <w:p>
      <w:pPr>
        <w:spacing w:after="0" w:line="83" w:lineRule="exact"/>
        <w:rPr>
          <w:rFonts w:ascii="Arial" w:cs="Arial" w:eastAsia="Arial" w:hAnsi="Arial"/>
          <w:sz w:val="10"/>
          <w:szCs w:val="10"/>
          <w:color w:val="auto"/>
        </w:rPr>
      </w:pPr>
    </w:p>
    <w:p>
      <w:pPr>
        <w:ind w:left="1980" w:right="859" w:firstLine="286"/>
        <w:spacing w:after="0" w:line="239" w:lineRule="auto"/>
        <w:tabs>
          <w:tab w:leader="none" w:pos="2436" w:val="left"/>
        </w:tabs>
        <w:numPr>
          <w:ilvl w:val="0"/>
          <w:numId w:val="138"/>
        </w:numPr>
        <w:rPr>
          <w:rFonts w:ascii="Arial" w:cs="Arial" w:eastAsia="Arial" w:hAnsi="Arial"/>
          <w:sz w:val="11"/>
          <w:szCs w:val="11"/>
          <w:color w:val="auto"/>
        </w:rPr>
      </w:pPr>
      <w:r>
        <w:rPr>
          <w:rFonts w:ascii="Arial" w:cs="Arial" w:eastAsia="Arial" w:hAnsi="Arial"/>
          <w:sz w:val="11"/>
          <w:szCs w:val="11"/>
          <w:color w:val="auto"/>
        </w:rPr>
        <w:t xml:space="preserve">The amount of cash to be paid with respect to Stock Options, SARs, Restricted Stock, Deferred Stock, Unrestricted Stock and Performance Awards providing for shares of Stock shall be determined by multiplying the number of such Awards by (i) in the case of Restricted Stock, Unrestricted Stock, Deferred Stock and Performance Awards providing for shares of Stock, the CIC Price, </w:t>
      </w:r>
      <w:r>
        <w:rPr>
          <w:rFonts w:ascii="Arial" w:cs="Arial" w:eastAsia="Arial" w:hAnsi="Arial"/>
          <w:sz w:val="11"/>
          <w:szCs w:val="11"/>
          <w:i w:val="1"/>
          <w:iCs w:val="1"/>
          <w:color w:val="auto"/>
        </w:rPr>
        <w:t>provided, however</w:t>
      </w:r>
      <w:r>
        <w:rPr>
          <w:rFonts w:ascii="Arial" w:cs="Arial" w:eastAsia="Arial" w:hAnsi="Arial"/>
          <w:sz w:val="11"/>
          <w:szCs w:val="11"/>
          <w:color w:val="auto"/>
        </w:rPr>
        <w:t>, that in the case where the performance period, if any, has been completed on or prior to the occurrence of a Change in Control, the number of Awards to be multiplied shall be the number of shares issued or vested pursuant to the Award as determined in accordance with the Award agreement and in the case where the performance period, if any, has not been completed upon the occurrence of a Change in Control, the number of Awards to be multiplied shall be either, as determined by the Administrator at the time of grant of the Award and set forth in the Award agreement, the (i) target number of such Awards as determined by the Administrator at the time of grant or (ii) higher of the target number of such Awards as determined by the Administrator at the time of grant and the number of shares issuable based on actual performance to date, in each case prorated based on the number of fiscal years then completed during the performance period, unless the Administrator has set forth in the applicable Award agreement that no such proration shall take place, in which case the Award would not be so prorated according to the amount of the performance period completed, (ii) in the case of Stock Options, the difference between the exercise price per share and the CIC Price, if the CIC price is higher, and (iii) in the case of SARs, the difference between the exercise or designated price per share and the CIC Price, if the CIC price is higher. In addition, all accrued dividends and dividend equivalents or interest accrued on deferred settlements shall be paid. In the case of Cash Awards the amount of cash to be paid shall be determined, (i) where the performance period, if any, has been completed on or prior to the occurrence of a Change in Control, the value of such award as determined in accordance with the Award agreement and (ii) where the performance period, if any, has not been completed upon the occurrence of a Change in Control, either, as determined by the Administrator at the time of grant of the Award and set forth in the Award agreement, the (i) target value of such Awards as determined by the Administrator at the time of grant or (ii) the higher of the target value of such Awards as determined by the Administrator at the time of grant and the value of such awards based on actual performance to date, in each case prorated based on the number of fiscal years then completed during the performance period, unless the Administrator has set forth in the applicable Award agreement that no such proration shall take place, in which case the Award would not be so prorated according to the amount of the performance period completed.</w:t>
      </w:r>
    </w:p>
    <w:p>
      <w:pPr>
        <w:spacing w:after="0" w:line="99" w:lineRule="exact"/>
        <w:rPr>
          <w:rFonts w:ascii="Arial" w:cs="Arial" w:eastAsia="Arial" w:hAnsi="Arial"/>
          <w:sz w:val="11"/>
          <w:szCs w:val="11"/>
          <w:color w:val="auto"/>
        </w:rPr>
      </w:pPr>
    </w:p>
    <w:p>
      <w:pPr>
        <w:ind w:left="1980" w:right="1019" w:firstLine="286"/>
        <w:spacing w:after="0" w:line="242" w:lineRule="auto"/>
        <w:tabs>
          <w:tab w:leader="none" w:pos="2436" w:val="left"/>
        </w:tabs>
        <w:numPr>
          <w:ilvl w:val="0"/>
          <w:numId w:val="138"/>
        </w:numPr>
        <w:rPr>
          <w:rFonts w:ascii="Arial" w:cs="Arial" w:eastAsia="Arial" w:hAnsi="Arial"/>
          <w:sz w:val="11"/>
          <w:szCs w:val="11"/>
          <w:color w:val="auto"/>
        </w:rPr>
      </w:pPr>
      <w:r>
        <w:rPr>
          <w:rFonts w:ascii="Arial" w:cs="Arial" w:eastAsia="Arial" w:hAnsi="Arial"/>
          <w:sz w:val="11"/>
          <w:szCs w:val="11"/>
          <w:color w:val="auto"/>
        </w:rPr>
        <w:t>In the event that the Administrator determines pursuant to Section 8(a)(1) above to pay Participants the value of an equity Award in shares of Stock, the number of shares of Stock to be paid to each Participant will be determined by taking the cash value which would have been paid if the Administrator had elected to pay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59055</wp:posOffset>
            </wp:positionV>
            <wp:extent cx="3971925" cy="21717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1" w:lineRule="exact"/>
        <w:rPr>
          <w:sz w:val="20"/>
          <w:szCs w:val="20"/>
          <w:color w:val="auto"/>
        </w:rPr>
      </w:pPr>
    </w:p>
    <w:p>
      <w:pPr>
        <w:ind w:left="2040"/>
        <w:spacing w:after="0"/>
        <w:rPr>
          <w:sz w:val="20"/>
          <w:szCs w:val="20"/>
          <w:color w:val="auto"/>
        </w:rPr>
      </w:pPr>
      <w:r>
        <w:rPr>
          <w:rFonts w:ascii="Arial" w:cs="Arial" w:eastAsia="Arial" w:hAnsi="Arial"/>
          <w:sz w:val="12"/>
          <w:szCs w:val="12"/>
          <w:b w:val="1"/>
          <w:bCs w:val="1"/>
          <w:color w:val="FCFCFC"/>
        </w:rPr>
        <w:t>D-5</w:t>
      </w:r>
    </w:p>
    <w:p>
      <w:pPr>
        <w:sectPr>
          <w:pgSz w:w="11900" w:h="16838" w:orient="portrait"/>
          <w:cols w:equalWidth="0" w:num="1">
            <w:col w:w="10159"/>
          </w:cols>
          <w:pgMar w:left="300" w:top="372" w:right="1440" w:bottom="1440" w:gutter="0" w:footer="0" w:header="0"/>
        </w:sectPr>
      </w:pPr>
    </w:p>
    <w:bookmarkStart w:id="137" w:name="page138"/>
    <w:bookmarkEnd w:id="13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939"/>
        <w:spacing w:after="0" w:line="245" w:lineRule="auto"/>
        <w:rPr>
          <w:sz w:val="20"/>
          <w:szCs w:val="20"/>
          <w:color w:val="auto"/>
        </w:rPr>
      </w:pPr>
      <w:r>
        <w:rPr>
          <w:rFonts w:ascii="Arial" w:cs="Arial" w:eastAsia="Arial" w:hAnsi="Arial"/>
          <w:sz w:val="11"/>
          <w:szCs w:val="11"/>
          <w:color w:val="auto"/>
        </w:rPr>
        <w:t>computed in accordance with Section 8(a)(2) above, and dividing such value by the Payout Fair Market Value of the Stock. No fractional shares of Stock will be issued. The value of any fractional share amount will be paid to the Participant in cash.</w:t>
      </w:r>
    </w:p>
    <w:p>
      <w:pPr>
        <w:spacing w:after="0" w:line="200" w:lineRule="exact"/>
        <w:rPr>
          <w:sz w:val="20"/>
          <w:szCs w:val="20"/>
          <w:color w:val="auto"/>
        </w:rPr>
      </w:pPr>
    </w:p>
    <w:p>
      <w:pPr>
        <w:ind w:left="2260"/>
        <w:spacing w:after="0"/>
        <w:rPr>
          <w:sz w:val="20"/>
          <w:szCs w:val="20"/>
          <w:color w:val="auto"/>
        </w:rPr>
      </w:pPr>
      <w:r>
        <w:rPr>
          <w:rFonts w:ascii="Arial" w:cs="Arial" w:eastAsia="Arial" w:hAnsi="Arial"/>
          <w:sz w:val="11"/>
          <w:szCs w:val="11"/>
          <w:i w:val="1"/>
          <w:iCs w:val="1"/>
          <w:color w:val="auto"/>
        </w:rPr>
        <w:t>(b) Changes in and Distributions with Respect to the Stock</w:t>
      </w:r>
    </w:p>
    <w:p>
      <w:pPr>
        <w:spacing w:after="0" w:line="99" w:lineRule="exact"/>
        <w:rPr>
          <w:sz w:val="20"/>
          <w:szCs w:val="20"/>
          <w:color w:val="auto"/>
        </w:rPr>
      </w:pPr>
    </w:p>
    <w:p>
      <w:pPr>
        <w:ind w:left="1980" w:right="859" w:firstLine="286"/>
        <w:spacing w:after="0" w:line="245" w:lineRule="auto"/>
        <w:tabs>
          <w:tab w:leader="none" w:pos="2436" w:val="left"/>
        </w:tabs>
        <w:numPr>
          <w:ilvl w:val="0"/>
          <w:numId w:val="139"/>
        </w:numPr>
        <w:rPr>
          <w:rFonts w:ascii="Arial" w:cs="Arial" w:eastAsia="Arial" w:hAnsi="Arial"/>
          <w:sz w:val="11"/>
          <w:szCs w:val="11"/>
          <w:color w:val="auto"/>
        </w:rPr>
      </w:pPr>
      <w:r>
        <w:rPr>
          <w:rFonts w:ascii="Arial" w:cs="Arial" w:eastAsia="Arial" w:hAnsi="Arial"/>
          <w:sz w:val="11"/>
          <w:szCs w:val="11"/>
          <w:i w:val="1"/>
          <w:iCs w:val="1"/>
          <w:color w:val="auto"/>
        </w:rPr>
        <w:t>Basic Adjustment Provisions</w:t>
      </w:r>
      <w:r>
        <w:rPr>
          <w:rFonts w:ascii="Arial" w:cs="Arial" w:eastAsia="Arial" w:hAnsi="Arial"/>
          <w:sz w:val="11"/>
          <w:szCs w:val="11"/>
          <w:color w:val="auto"/>
        </w:rPr>
        <w:t>. In the event of a stock dividend, stock split or combination or exchange of shares (including a reverse stock split),</w:t>
      </w:r>
      <w:r>
        <w:rPr>
          <w:rFonts w:ascii="Arial" w:cs="Arial" w:eastAsia="Arial" w:hAnsi="Arial"/>
          <w:sz w:val="11"/>
          <w:szCs w:val="11"/>
          <w:i w:val="1"/>
          <w:iCs w:val="1"/>
          <w:color w:val="auto"/>
        </w:rPr>
        <w:t xml:space="preserve"> </w:t>
      </w:r>
      <w:r>
        <w:rPr>
          <w:rFonts w:ascii="Arial" w:cs="Arial" w:eastAsia="Arial" w:hAnsi="Arial"/>
          <w:sz w:val="11"/>
          <w:szCs w:val="11"/>
          <w:color w:val="auto"/>
        </w:rPr>
        <w:t>recapitalization or other change in the Company’s capital structure, the Administrator will make appropriate adjustments to the maximum numbers of shares that may be delivered under the Plan and certain types of Awards under the Plan under Section 5(a) and to the maximum share limits described in Section 5(c), and will also make appropriate adjustments to the number and kind of shares of stock or securities subject to Awards then outstanding or subsequently granted, any exercise prices relating to Awards and any other provision of Awards affected by such change.</w:t>
      </w:r>
    </w:p>
    <w:p>
      <w:pPr>
        <w:spacing w:after="0" w:line="83" w:lineRule="exact"/>
        <w:rPr>
          <w:rFonts w:ascii="Arial" w:cs="Arial" w:eastAsia="Arial" w:hAnsi="Arial"/>
          <w:sz w:val="11"/>
          <w:szCs w:val="11"/>
          <w:color w:val="auto"/>
        </w:rPr>
      </w:pPr>
    </w:p>
    <w:p>
      <w:pPr>
        <w:jc w:val="both"/>
        <w:ind w:left="1980" w:right="939" w:firstLine="286"/>
        <w:spacing w:after="0" w:line="269" w:lineRule="auto"/>
        <w:tabs>
          <w:tab w:leader="none" w:pos="2436" w:val="left"/>
        </w:tabs>
        <w:numPr>
          <w:ilvl w:val="0"/>
          <w:numId w:val="139"/>
        </w:numPr>
        <w:rPr>
          <w:rFonts w:ascii="Arial" w:cs="Arial" w:eastAsia="Arial" w:hAnsi="Arial"/>
          <w:sz w:val="10"/>
          <w:szCs w:val="10"/>
          <w:color w:val="auto"/>
        </w:rPr>
      </w:pPr>
      <w:r>
        <w:rPr>
          <w:rFonts w:ascii="Arial" w:cs="Arial" w:eastAsia="Arial" w:hAnsi="Arial"/>
          <w:sz w:val="10"/>
          <w:szCs w:val="10"/>
          <w:i w:val="1"/>
          <w:iCs w:val="1"/>
          <w:color w:val="auto"/>
        </w:rPr>
        <w:t>Certain Other Adjustments</w:t>
      </w:r>
      <w:r>
        <w:rPr>
          <w:rFonts w:ascii="Arial" w:cs="Arial" w:eastAsia="Arial" w:hAnsi="Arial"/>
          <w:sz w:val="10"/>
          <w:szCs w:val="10"/>
          <w:color w:val="auto"/>
        </w:rPr>
        <w:t>. To the extent consistent with qualification of ISOs under Section 422 of the Code and with the performance-based</w:t>
      </w:r>
      <w:r>
        <w:rPr>
          <w:rFonts w:ascii="Arial" w:cs="Arial" w:eastAsia="Arial" w:hAnsi="Arial"/>
          <w:sz w:val="10"/>
          <w:szCs w:val="10"/>
          <w:i w:val="1"/>
          <w:iCs w:val="1"/>
          <w:color w:val="auto"/>
        </w:rPr>
        <w:t xml:space="preserve"> </w:t>
      </w:r>
      <w:r>
        <w:rPr>
          <w:rFonts w:ascii="Arial" w:cs="Arial" w:eastAsia="Arial" w:hAnsi="Arial"/>
          <w:sz w:val="10"/>
          <w:szCs w:val="10"/>
          <w:color w:val="auto"/>
        </w:rPr>
        <w:t>compensation rules of Section 162(m), where applicable, the Administrator may also make adjustments of the type described in paragraph (1) above to take into account distributions to shareholders and other changes that impact the Stock or Awards other than those provided for in Section 8(a) and 8(b)</w:t>
      </w:r>
    </w:p>
    <w:p>
      <w:pPr>
        <w:spacing w:after="0" w:line="1" w:lineRule="exact"/>
        <w:rPr>
          <w:rFonts w:ascii="Arial" w:cs="Arial" w:eastAsia="Arial" w:hAnsi="Arial"/>
          <w:sz w:val="10"/>
          <w:szCs w:val="10"/>
          <w:color w:val="auto"/>
        </w:rPr>
      </w:pPr>
    </w:p>
    <w:p>
      <w:pPr>
        <w:ind w:left="1980" w:right="859"/>
        <w:spacing w:after="0" w:line="245" w:lineRule="auto"/>
        <w:rPr>
          <w:rFonts w:ascii="Arial" w:cs="Arial" w:eastAsia="Arial" w:hAnsi="Arial"/>
          <w:sz w:val="10"/>
          <w:szCs w:val="10"/>
          <w:color w:val="auto"/>
        </w:rPr>
      </w:pPr>
      <w:r>
        <w:rPr>
          <w:rFonts w:ascii="Arial" w:cs="Arial" w:eastAsia="Arial" w:hAnsi="Arial"/>
          <w:sz w:val="11"/>
          <w:szCs w:val="11"/>
          <w:color w:val="auto"/>
        </w:rPr>
        <w:t>(1), or any other event, if the Administrator determines that adjustments are appropriate to avoid distortion in the operation of the Plan and to preserve the value of Awards made hereunder.</w:t>
      </w:r>
    </w:p>
    <w:p>
      <w:pPr>
        <w:spacing w:after="0" w:line="73" w:lineRule="exact"/>
        <w:rPr>
          <w:rFonts w:ascii="Arial" w:cs="Arial" w:eastAsia="Arial" w:hAnsi="Arial"/>
          <w:sz w:val="10"/>
          <w:szCs w:val="10"/>
          <w:color w:val="auto"/>
        </w:rPr>
      </w:pPr>
    </w:p>
    <w:p>
      <w:pPr>
        <w:ind w:left="1980" w:right="1059" w:firstLine="286"/>
        <w:spacing w:after="0" w:line="264" w:lineRule="auto"/>
        <w:tabs>
          <w:tab w:leader="none" w:pos="2436" w:val="left"/>
        </w:tabs>
        <w:numPr>
          <w:ilvl w:val="0"/>
          <w:numId w:val="139"/>
        </w:numPr>
        <w:rPr>
          <w:rFonts w:ascii="Arial" w:cs="Arial" w:eastAsia="Arial" w:hAnsi="Arial"/>
          <w:sz w:val="11"/>
          <w:szCs w:val="11"/>
          <w:color w:val="auto"/>
        </w:rPr>
      </w:pPr>
      <w:r>
        <w:rPr>
          <w:rFonts w:ascii="Arial" w:cs="Arial" w:eastAsia="Arial" w:hAnsi="Arial"/>
          <w:sz w:val="11"/>
          <w:szCs w:val="11"/>
          <w:i w:val="1"/>
          <w:iCs w:val="1"/>
          <w:color w:val="auto"/>
        </w:rPr>
        <w:t>Continuing Application of Plan Terms</w:t>
      </w:r>
      <w:r>
        <w:rPr>
          <w:rFonts w:ascii="Arial" w:cs="Arial" w:eastAsia="Arial" w:hAnsi="Arial"/>
          <w:sz w:val="11"/>
          <w:szCs w:val="11"/>
          <w:color w:val="auto"/>
        </w:rPr>
        <w:t>. References in the Plan to shares of Stock will be construed to include any stock or securities resulting</w:t>
      </w:r>
      <w:r>
        <w:rPr>
          <w:rFonts w:ascii="Arial" w:cs="Arial" w:eastAsia="Arial" w:hAnsi="Arial"/>
          <w:sz w:val="11"/>
          <w:szCs w:val="11"/>
          <w:i w:val="1"/>
          <w:iCs w:val="1"/>
          <w:color w:val="auto"/>
        </w:rPr>
        <w:t xml:space="preserve"> </w:t>
      </w:r>
      <w:r>
        <w:rPr>
          <w:rFonts w:ascii="Arial" w:cs="Arial" w:eastAsia="Arial" w:hAnsi="Arial"/>
          <w:sz w:val="11"/>
          <w:szCs w:val="11"/>
          <w:color w:val="auto"/>
        </w:rPr>
        <w:t>from an adjustment pursuant to this Section 8.</w:t>
      </w:r>
    </w:p>
    <w:p>
      <w:pPr>
        <w:spacing w:after="0" w:line="190" w:lineRule="exact"/>
        <w:rPr>
          <w:sz w:val="20"/>
          <w:szCs w:val="20"/>
          <w:color w:val="auto"/>
        </w:rPr>
      </w:pPr>
    </w:p>
    <w:p>
      <w:pPr>
        <w:ind w:left="2260"/>
        <w:spacing w:after="0"/>
        <w:rPr>
          <w:sz w:val="20"/>
          <w:szCs w:val="20"/>
          <w:color w:val="auto"/>
        </w:rPr>
      </w:pPr>
      <w:r>
        <w:rPr>
          <w:rFonts w:ascii="Arial" w:cs="Arial" w:eastAsia="Arial" w:hAnsi="Arial"/>
          <w:sz w:val="11"/>
          <w:szCs w:val="11"/>
          <w:i w:val="1"/>
          <w:iCs w:val="1"/>
          <w:color w:val="auto"/>
        </w:rPr>
        <w:t>(c) Reorganization Events.</w:t>
      </w:r>
    </w:p>
    <w:p>
      <w:pPr>
        <w:spacing w:after="0" w:line="109" w:lineRule="exact"/>
        <w:rPr>
          <w:sz w:val="20"/>
          <w:szCs w:val="20"/>
          <w:color w:val="auto"/>
        </w:rPr>
      </w:pPr>
    </w:p>
    <w:p>
      <w:pPr>
        <w:ind w:left="1980" w:right="839" w:firstLine="286"/>
        <w:spacing w:after="0"/>
        <w:tabs>
          <w:tab w:leader="none" w:pos="2436" w:val="left"/>
        </w:tabs>
        <w:numPr>
          <w:ilvl w:val="0"/>
          <w:numId w:val="140"/>
        </w:numPr>
        <w:rPr>
          <w:rFonts w:ascii="Arial" w:cs="Arial" w:eastAsia="Arial" w:hAnsi="Arial"/>
          <w:sz w:val="11"/>
          <w:szCs w:val="11"/>
          <w:color w:val="auto"/>
        </w:rPr>
      </w:pPr>
      <w:r>
        <w:rPr>
          <w:rFonts w:ascii="Arial" w:cs="Arial" w:eastAsia="Arial" w:hAnsi="Arial"/>
          <w:sz w:val="11"/>
          <w:szCs w:val="11"/>
          <w:color w:val="auto"/>
        </w:rPr>
        <w:t>Definition. A “Reorganization Event” shall mean: (a) any merger or consolidation of the Company with or into another entity as a result of which all of the Stock of the Company is converted into or exchanged for the right to receive cash, securities or other property or is cancelled, (b) any transfer or disposition of all of the Stock of the Company for cash, securities or other property pursuant to a share exchange or other transaction or (c) any liquidation or dissolution of the Company. For purposes of this Section 8(c) and the 2003 Plan, any reference to “Stock” shall include reference to any successor securities resulting from a prior recapitalization of the Company.</w:t>
      </w:r>
    </w:p>
    <w:p>
      <w:pPr>
        <w:spacing w:after="0" w:line="213" w:lineRule="exact"/>
        <w:rPr>
          <w:rFonts w:ascii="Arial" w:cs="Arial" w:eastAsia="Arial" w:hAnsi="Arial"/>
          <w:sz w:val="11"/>
          <w:szCs w:val="11"/>
          <w:color w:val="auto"/>
        </w:rPr>
      </w:pPr>
    </w:p>
    <w:p>
      <w:pPr>
        <w:ind w:left="2420" w:hanging="154"/>
        <w:spacing w:after="0"/>
        <w:tabs>
          <w:tab w:leader="none" w:pos="2420" w:val="left"/>
        </w:tabs>
        <w:numPr>
          <w:ilvl w:val="0"/>
          <w:numId w:val="140"/>
        </w:numPr>
        <w:rPr>
          <w:rFonts w:ascii="Arial" w:cs="Arial" w:eastAsia="Arial" w:hAnsi="Arial"/>
          <w:sz w:val="11"/>
          <w:szCs w:val="11"/>
          <w:color w:val="auto"/>
        </w:rPr>
      </w:pPr>
      <w:r>
        <w:rPr>
          <w:rFonts w:ascii="Arial" w:cs="Arial" w:eastAsia="Arial" w:hAnsi="Arial"/>
          <w:sz w:val="11"/>
          <w:szCs w:val="11"/>
          <w:color w:val="auto"/>
        </w:rPr>
        <w:t>Consequences of a Reorganization Event on Outstanding Awards.</w:t>
      </w:r>
    </w:p>
    <w:p>
      <w:pPr>
        <w:spacing w:after="0" w:line="98" w:lineRule="exact"/>
        <w:rPr>
          <w:rFonts w:ascii="Arial" w:cs="Arial" w:eastAsia="Arial" w:hAnsi="Arial"/>
          <w:sz w:val="11"/>
          <w:szCs w:val="11"/>
          <w:color w:val="auto"/>
        </w:rPr>
      </w:pPr>
    </w:p>
    <w:p>
      <w:pPr>
        <w:ind w:left="1980" w:right="879" w:firstLine="579"/>
        <w:spacing w:after="0" w:line="264" w:lineRule="auto"/>
        <w:tabs>
          <w:tab w:leader="none" w:pos="2741" w:val="left"/>
        </w:tabs>
        <w:numPr>
          <w:ilvl w:val="1"/>
          <w:numId w:val="140"/>
        </w:numPr>
        <w:rPr>
          <w:rFonts w:ascii="Arial" w:cs="Arial" w:eastAsia="Arial" w:hAnsi="Arial"/>
          <w:sz w:val="10"/>
          <w:szCs w:val="10"/>
          <w:color w:val="auto"/>
        </w:rPr>
      </w:pPr>
      <w:r>
        <w:rPr>
          <w:rFonts w:ascii="Arial" w:cs="Arial" w:eastAsia="Arial" w:hAnsi="Arial"/>
          <w:sz w:val="10"/>
          <w:szCs w:val="10"/>
          <w:color w:val="auto"/>
        </w:rPr>
        <w:t>In connection with a Reorganization Event, the Administrator may take any one or more of the following actions as to all or any (or any portion of) outstanding Awards other than Restricted Stock on such terms as the Administrator determines in its sole discretion (except to the extent specifically provided otherwise in an applicable Award agreement or another agreement between the Company and the Participant): (i) provide that such Awards shall be assumed, or other Awards shall be substituted, by the acquiring or succeeding entity (or an affiliate thereof), (ii) upon written notice to a Participant, provide that all of the Participant’s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(but in case of this subsection (iii) only in connection with a termination of the Participant’s Employment), (iv) in the event of a Reorganization Event under the terms of which holders of Stock will receive upon consummation thereof a cash payment for each share of Stock surrendered in the Reorganization Event (the “</w:t>
      </w:r>
      <w:r>
        <w:rPr>
          <w:rFonts w:ascii="Arial" w:cs="Arial" w:eastAsia="Arial" w:hAnsi="Arial"/>
          <w:sz w:val="10"/>
          <w:szCs w:val="10"/>
          <w:i w:val="1"/>
          <w:iCs w:val="1"/>
          <w:color w:val="auto"/>
        </w:rPr>
        <w:t>Acquisition Price</w:t>
      </w:r>
      <w:r>
        <w:rPr>
          <w:rFonts w:ascii="Arial" w:cs="Arial" w:eastAsia="Arial" w:hAnsi="Arial"/>
          <w:sz w:val="10"/>
          <w:szCs w:val="10"/>
          <w:color w:val="auto"/>
        </w:rPr>
        <w:t>”), make or provide for a cash payment to Participants with respect to each Award held by a Participant equal to (A) the number of shares of Stock subject to the vested portion of the Award (after giving effect to any acceleration of vesting that occurs upon or immediately prior to such Reorganization Event in connection with the termination of a Participant’s Employment) multiplied by (B) the excess, if any, of (I) the Acquisition Price over (II) the exercise, measurement or purchase price of such Award and any applicable tax withholdings, in exchange for the termination of such Award, (v) provide that, in connection with a liquidation or dissolution of the Company, Awards that are vested shall convert into the right to receive liquidation proceeds (if applicable, net of the exercise, measurement or purchase price thereof and any applicable tax withholdings) and (vi) any combination of the foregoing. In taking any of the actions permitted under this Section 8(c)(2), the Administrator shall not be obligated by the Plan to treat all Awards, all Awards held by a Participant, or all Awards of the same type, identically.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137160</wp:posOffset>
            </wp:positionV>
            <wp:extent cx="3971925" cy="21717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253" w:lineRule="exact"/>
        <w:rPr>
          <w:sz w:val="20"/>
          <w:szCs w:val="20"/>
          <w:color w:val="auto"/>
        </w:rPr>
      </w:pPr>
    </w:p>
    <w:p>
      <w:pPr>
        <w:ind w:left="2040"/>
        <w:spacing w:after="0"/>
        <w:rPr>
          <w:sz w:val="20"/>
          <w:szCs w:val="20"/>
          <w:color w:val="auto"/>
        </w:rPr>
      </w:pPr>
      <w:r>
        <w:rPr>
          <w:rFonts w:ascii="Arial" w:cs="Arial" w:eastAsia="Arial" w:hAnsi="Arial"/>
          <w:sz w:val="12"/>
          <w:szCs w:val="12"/>
          <w:b w:val="1"/>
          <w:bCs w:val="1"/>
          <w:color w:val="FCFCFC"/>
        </w:rPr>
        <w:t>D-6</w:t>
      </w:r>
    </w:p>
    <w:p>
      <w:pPr>
        <w:sectPr>
          <w:pgSz w:w="11900" w:h="16838" w:orient="portrait"/>
          <w:cols w:equalWidth="0" w:num="1">
            <w:col w:w="10159"/>
          </w:cols>
          <w:pgMar w:left="300" w:top="372" w:right="1440" w:bottom="1440" w:gutter="0" w:footer="0" w:header="0"/>
        </w:sectPr>
      </w:pPr>
    </w:p>
    <w:bookmarkStart w:id="138" w:name="page139"/>
    <w:bookmarkEnd w:id="13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919" w:firstLine="579"/>
        <w:spacing w:after="0" w:line="262" w:lineRule="auto"/>
        <w:tabs>
          <w:tab w:leader="none" w:pos="2741" w:val="left"/>
        </w:tabs>
        <w:numPr>
          <w:ilvl w:val="2"/>
          <w:numId w:val="141"/>
        </w:numPr>
        <w:rPr>
          <w:rFonts w:ascii="Arial" w:cs="Arial" w:eastAsia="Arial" w:hAnsi="Arial"/>
          <w:sz w:val="10"/>
          <w:szCs w:val="10"/>
          <w:color w:val="auto"/>
        </w:rPr>
      </w:pPr>
      <w:r>
        <w:rPr>
          <w:rFonts w:ascii="Arial" w:cs="Arial" w:eastAsia="Arial" w:hAnsi="Arial"/>
          <w:sz w:val="10"/>
          <w:szCs w:val="10"/>
          <w:color w:val="auto"/>
        </w:rPr>
        <w:t>Notwithstanding the terms of Section 8(c)(2)(A), in the case of outstanding Awards that are subject to Section 409A of the Code: (i) if the applicable Award agreement provides that the vested portion of such Award shall be settled upon a Section 409A Change in Control, and the Reorganization Event constitutes such a Section 409A Change in Control, then no assumption or substitution shall be permitted pursuant to Section 8(c)</w:t>
      </w:r>
    </w:p>
    <w:p>
      <w:pPr>
        <w:spacing w:after="0" w:line="1" w:lineRule="exact"/>
        <w:rPr>
          <w:rFonts w:ascii="Arial" w:cs="Arial" w:eastAsia="Arial" w:hAnsi="Arial"/>
          <w:sz w:val="10"/>
          <w:szCs w:val="10"/>
          <w:color w:val="auto"/>
        </w:rPr>
      </w:pPr>
    </w:p>
    <w:p>
      <w:pPr>
        <w:ind w:left="1980" w:right="1019"/>
        <w:spacing w:after="0"/>
        <w:rPr>
          <w:rFonts w:ascii="Arial" w:cs="Arial" w:eastAsia="Arial" w:hAnsi="Arial"/>
          <w:sz w:val="10"/>
          <w:szCs w:val="10"/>
          <w:color w:val="auto"/>
        </w:rPr>
      </w:pPr>
      <w:r>
        <w:rPr>
          <w:rFonts w:ascii="Arial" w:cs="Arial" w:eastAsia="Arial" w:hAnsi="Arial"/>
          <w:sz w:val="11"/>
          <w:szCs w:val="11"/>
          <w:color w:val="auto"/>
        </w:rPr>
        <w:t>(2)(A)(i), and the Awards shall instead be settled in accordance with the terms of the applicable Award agreement; and (ii) the Administrator may only undertake the actions set forth in clauses (iii), (iv) or (v) of Section 8(c)(2)(A) if the Reorganization Event constitutes a Section 409A Change in Control and such action is permitted or required by Section 409A of the Code; if the Reorganization Event is not a Section 409A Change in Control, and the acquiring or succeeding entity does not assume or substitute the Awards pursuant to clause (i) of Section 8(c)(2)(A), then, unless the Administrator provides otherwise, the unvested Awards shall terminate immediately prior to the consummation of the Reorganization Event without any payment in exchange therefore.</w:t>
      </w:r>
    </w:p>
    <w:p>
      <w:pPr>
        <w:spacing w:after="0" w:line="96" w:lineRule="exact"/>
        <w:rPr>
          <w:rFonts w:ascii="Arial" w:cs="Arial" w:eastAsia="Arial" w:hAnsi="Arial"/>
          <w:sz w:val="10"/>
          <w:szCs w:val="10"/>
          <w:color w:val="auto"/>
        </w:rPr>
      </w:pPr>
    </w:p>
    <w:p>
      <w:pPr>
        <w:ind w:left="1980" w:right="839" w:firstLine="579"/>
        <w:spacing w:after="0" w:line="266" w:lineRule="auto"/>
        <w:tabs>
          <w:tab w:leader="none" w:pos="2747" w:val="left"/>
        </w:tabs>
        <w:numPr>
          <w:ilvl w:val="2"/>
          <w:numId w:val="141"/>
        </w:numPr>
        <w:rPr>
          <w:rFonts w:ascii="Arial" w:cs="Arial" w:eastAsia="Arial" w:hAnsi="Arial"/>
          <w:sz w:val="10"/>
          <w:szCs w:val="10"/>
          <w:color w:val="auto"/>
        </w:rPr>
      </w:pPr>
      <w:r>
        <w:rPr>
          <w:rFonts w:ascii="Arial" w:cs="Arial" w:eastAsia="Arial" w:hAnsi="Arial"/>
          <w:sz w:val="10"/>
          <w:szCs w:val="10"/>
          <w:color w:val="auto"/>
        </w:rPr>
        <w:t>For purposes of Section 8(c)(2)(A)(i), an Award (other than Restricted Stock) shall be considered assumed if, following consummation of the Reorganization Event, such Award confers the right to purchase or receive pursuant to the terms of such Award, for each share of Stock subject to the Award immediately prior to the consummation of the Reorganization Event, the consideration (whether cash, securities or other property) received as a result of the Reorganization Event by holders of Stock for each share of Stock held immediately prior to the consummation of the Reorganization Event (and if holders were offered a choice of consideration, the type of consideration chosen by the holders of a majority of the outstanding shares of Stock); provided, however, that if the consideration received as a result of the Reorganization Event is not solely common stock or other equity of the acquiring or succeeding entity (or an affiliate thereof), the Company may, with the consent of the acquiring or succeeding entity, provide for the consideration to be received upon the exercise or settlement of the Award to consist solely of such number of shares of common stock or other equity of the acquiring or succeeding entity (or an affiliate thereof) that the Administrator determined to be equivalent in value (as of the date of such determination or another date specified by the Administrator) to the per share consideration received by holders of outstanding shares of Stock as a result of the Reorganization Event.</w:t>
      </w:r>
    </w:p>
    <w:p>
      <w:pPr>
        <w:spacing w:after="0" w:line="74" w:lineRule="exact"/>
        <w:rPr>
          <w:rFonts w:ascii="Arial" w:cs="Arial" w:eastAsia="Arial" w:hAnsi="Arial"/>
          <w:sz w:val="10"/>
          <w:szCs w:val="10"/>
          <w:color w:val="auto"/>
        </w:rPr>
      </w:pPr>
    </w:p>
    <w:p>
      <w:pPr>
        <w:ind w:left="1980" w:right="859" w:firstLine="286"/>
        <w:spacing w:after="0" w:line="242" w:lineRule="auto"/>
        <w:tabs>
          <w:tab w:leader="none" w:pos="2436" w:val="left"/>
        </w:tabs>
        <w:numPr>
          <w:ilvl w:val="1"/>
          <w:numId w:val="142"/>
        </w:numPr>
        <w:rPr>
          <w:rFonts w:ascii="Arial" w:cs="Arial" w:eastAsia="Arial" w:hAnsi="Arial"/>
          <w:sz w:val="11"/>
          <w:szCs w:val="11"/>
          <w:color w:val="auto"/>
        </w:rPr>
      </w:pPr>
      <w:r>
        <w:rPr>
          <w:rFonts w:ascii="Arial" w:cs="Arial" w:eastAsia="Arial" w:hAnsi="Arial"/>
          <w:sz w:val="11"/>
          <w:szCs w:val="11"/>
          <w:i w:val="1"/>
          <w:iCs w:val="1"/>
          <w:color w:val="auto"/>
        </w:rPr>
        <w:t xml:space="preserve">Consequences of a Reorganization Event on Restricted Stock. </w:t>
      </w:r>
      <w:r>
        <w:rPr>
          <w:rFonts w:ascii="Arial" w:cs="Arial" w:eastAsia="Arial" w:hAnsi="Arial"/>
          <w:sz w:val="11"/>
          <w:szCs w:val="11"/>
          <w:color w:val="auto"/>
        </w:rPr>
        <w:t>Upon the occurrence of a Reorganization Event, other than a liquidation or</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dissolution of the Company, the repurchase and other rights of the Company with respect to outstanding shares of Restricted Stock shall inure to the benefit of the Company’s successor and shall, unless the Administrator determines otherwise, apply to the cash, securities or other property into which the Stock was converted or for which it was exchanged pursuant to such Reorganization Event in the same manner and to the same extent as such repurchase and other rights applied to such Restricted Stock;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the Administrator may provide for termination or deemed satisfaction of such repurchase or other rights under the instrument evidencing any Restricted Stock or any other agreement between a Participant and the Company, either initially or by amendment, in connection with the termination of a Participant’s Employment. Upon the occurrence of a Reorganization Event involving the liquidation or dissolution of the Company, the Administrator may provide that a pro-rata portion of such restricted stock will vest in connection with the termination of the Participant’s Employment.</w:t>
      </w:r>
    </w:p>
    <w:p>
      <w:pPr>
        <w:spacing w:after="0" w:line="227" w:lineRule="exact"/>
        <w:rPr>
          <w:rFonts w:ascii="Arial" w:cs="Arial" w:eastAsia="Arial" w:hAnsi="Arial"/>
          <w:sz w:val="11"/>
          <w:szCs w:val="11"/>
          <w:color w:val="auto"/>
        </w:rPr>
      </w:pPr>
    </w:p>
    <w:p>
      <w:pPr>
        <w:ind w:left="2260" w:hanging="288"/>
        <w:spacing w:after="0"/>
        <w:tabs>
          <w:tab w:leader="none" w:pos="2260" w:val="left"/>
        </w:tabs>
        <w:numPr>
          <w:ilvl w:val="0"/>
          <w:numId w:val="143"/>
        </w:numPr>
        <w:rPr>
          <w:rFonts w:ascii="Arial" w:cs="Arial" w:eastAsia="Arial" w:hAnsi="Arial"/>
          <w:sz w:val="11"/>
          <w:szCs w:val="11"/>
          <w:b w:val="1"/>
          <w:bCs w:val="1"/>
          <w:color w:val="auto"/>
        </w:rPr>
      </w:pPr>
      <w:r>
        <w:rPr>
          <w:rFonts w:ascii="Arial" w:cs="Arial" w:eastAsia="Arial" w:hAnsi="Arial"/>
          <w:sz w:val="11"/>
          <w:szCs w:val="11"/>
          <w:b w:val="1"/>
          <w:bCs w:val="1"/>
          <w:color w:val="auto"/>
        </w:rPr>
        <w:t>Legal Conditions on Delivery of Stock</w:t>
      </w:r>
    </w:p>
    <w:p>
      <w:pPr>
        <w:spacing w:after="0" w:line="101" w:lineRule="exact"/>
        <w:rPr>
          <w:rFonts w:ascii="Arial" w:cs="Arial" w:eastAsia="Arial" w:hAnsi="Arial"/>
          <w:sz w:val="11"/>
          <w:szCs w:val="11"/>
          <w:b w:val="1"/>
          <w:bCs w:val="1"/>
          <w:color w:val="auto"/>
        </w:rPr>
      </w:pPr>
    </w:p>
    <w:p>
      <w:pPr>
        <w:ind w:left="2260"/>
        <w:spacing w:after="0"/>
        <w:rPr>
          <w:rFonts w:ascii="Arial" w:cs="Arial" w:eastAsia="Arial" w:hAnsi="Arial"/>
          <w:sz w:val="11"/>
          <w:szCs w:val="11"/>
          <w:b w:val="1"/>
          <w:bCs w:val="1"/>
          <w:color w:val="auto"/>
        </w:rPr>
      </w:pPr>
      <w:r>
        <w:rPr>
          <w:rFonts w:ascii="Arial" w:cs="Arial" w:eastAsia="Arial" w:hAnsi="Arial"/>
          <w:sz w:val="10"/>
          <w:szCs w:val="10"/>
          <w:color w:val="auto"/>
        </w:rPr>
        <w:t>The Company will not be obligated to deliver any shares of Stock pursuant to the Plan or to remove any restriction from shares of Stock previously</w:t>
      </w:r>
    </w:p>
    <w:p>
      <w:pPr>
        <w:spacing w:after="0" w:line="11" w:lineRule="exact"/>
        <w:rPr>
          <w:sz w:val="20"/>
          <w:szCs w:val="20"/>
          <w:color w:val="auto"/>
        </w:rPr>
      </w:pPr>
    </w:p>
    <w:p>
      <w:pPr>
        <w:ind w:left="1980" w:right="839"/>
        <w:spacing w:after="0"/>
        <w:rPr>
          <w:sz w:val="20"/>
          <w:szCs w:val="20"/>
          <w:color w:val="auto"/>
        </w:rPr>
      </w:pPr>
      <w:r>
        <w:rPr>
          <w:rFonts w:ascii="Arial" w:cs="Arial" w:eastAsia="Arial" w:hAnsi="Arial"/>
          <w:sz w:val="11"/>
          <w:szCs w:val="11"/>
          <w:color w:val="auto"/>
        </w:rPr>
        <w:t>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If the sale of Stock has not been registered under the Securities Act of 1933, as amended, the Company may require, as a condition to exercise of the Award, such representations or agreements as counsel for the Company may consider appropriate to avoid violation of such Act. The Company may require that certificates evidencing Stock issued under the Plan bear an appropriate legend reflecting any restriction on transfer applicable to such Stock, and the Company may hold the certificates pending lapse of the applicable restrictions.</w:t>
      </w:r>
    </w:p>
    <w:p>
      <w:pPr>
        <w:spacing w:after="0" w:line="228" w:lineRule="exact"/>
        <w:rPr>
          <w:sz w:val="20"/>
          <w:szCs w:val="20"/>
          <w:color w:val="auto"/>
        </w:rPr>
      </w:pPr>
    </w:p>
    <w:p>
      <w:pPr>
        <w:ind w:left="2260" w:hanging="288"/>
        <w:spacing w:after="0"/>
        <w:tabs>
          <w:tab w:leader="none" w:pos="2260" w:val="left"/>
        </w:tabs>
        <w:numPr>
          <w:ilvl w:val="0"/>
          <w:numId w:val="144"/>
        </w:numPr>
        <w:rPr>
          <w:rFonts w:ascii="Arial" w:cs="Arial" w:eastAsia="Arial" w:hAnsi="Arial"/>
          <w:sz w:val="11"/>
          <w:szCs w:val="11"/>
          <w:b w:val="1"/>
          <w:bCs w:val="1"/>
          <w:color w:val="auto"/>
        </w:rPr>
      </w:pPr>
      <w:r>
        <w:rPr>
          <w:rFonts w:ascii="Arial" w:cs="Arial" w:eastAsia="Arial" w:hAnsi="Arial"/>
          <w:sz w:val="11"/>
          <w:szCs w:val="11"/>
          <w:b w:val="1"/>
          <w:bCs w:val="1"/>
          <w:color w:val="auto"/>
        </w:rPr>
        <w:t>Amendment and Termination</w:t>
      </w:r>
    </w:p>
    <w:p>
      <w:pPr>
        <w:spacing w:after="0" w:line="111" w:lineRule="exact"/>
        <w:rPr>
          <w:sz w:val="20"/>
          <w:szCs w:val="20"/>
          <w:color w:val="auto"/>
        </w:rPr>
      </w:pPr>
    </w:p>
    <w:p>
      <w:pPr>
        <w:ind w:left="1980" w:right="839" w:firstLine="294"/>
        <w:spacing w:after="0" w:line="245" w:lineRule="auto"/>
        <w:rPr>
          <w:sz w:val="20"/>
          <w:szCs w:val="20"/>
          <w:color w:val="auto"/>
        </w:rPr>
      </w:pPr>
      <w:r>
        <w:rPr>
          <w:rFonts w:ascii="Arial" w:cs="Arial" w:eastAsia="Arial" w:hAnsi="Arial"/>
          <w:sz w:val="11"/>
          <w:szCs w:val="11"/>
          <w:color w:val="auto"/>
        </w:rPr>
        <w:t>The Administrator may at any time terminate the Plan as to any future grants of Awards and may at any time and from time to time amend or modify the Plan or any outstanding Award for any purpose which may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57785</wp:posOffset>
            </wp:positionV>
            <wp:extent cx="3971925" cy="21717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29" w:lineRule="exact"/>
        <w:rPr>
          <w:sz w:val="20"/>
          <w:szCs w:val="20"/>
          <w:color w:val="auto"/>
        </w:rPr>
      </w:pPr>
    </w:p>
    <w:p>
      <w:pPr>
        <w:ind w:left="2040"/>
        <w:spacing w:after="0"/>
        <w:rPr>
          <w:sz w:val="20"/>
          <w:szCs w:val="20"/>
          <w:color w:val="auto"/>
        </w:rPr>
      </w:pPr>
      <w:r>
        <w:rPr>
          <w:rFonts w:ascii="Arial" w:cs="Arial" w:eastAsia="Arial" w:hAnsi="Arial"/>
          <w:sz w:val="12"/>
          <w:szCs w:val="12"/>
          <w:b w:val="1"/>
          <w:bCs w:val="1"/>
          <w:color w:val="FCFCFC"/>
        </w:rPr>
        <w:t>D-7</w:t>
      </w:r>
    </w:p>
    <w:p>
      <w:pPr>
        <w:sectPr>
          <w:pgSz w:w="11900" w:h="16838" w:orient="portrait"/>
          <w:cols w:equalWidth="0" w:num="1">
            <w:col w:w="10159"/>
          </w:cols>
          <w:pgMar w:left="300" w:top="372" w:right="1440" w:bottom="1440" w:gutter="0" w:footer="0" w:header="0"/>
        </w:sectPr>
      </w:pPr>
    </w:p>
    <w:bookmarkStart w:id="139" w:name="page140"/>
    <w:bookmarkEnd w:id="13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6" w:lineRule="exact"/>
        <w:rPr>
          <w:sz w:val="20"/>
          <w:szCs w:val="20"/>
          <w:color w:val="auto"/>
        </w:rPr>
      </w:pPr>
    </w:p>
    <w:p>
      <w:pPr>
        <w:ind w:left="1980" w:right="859"/>
        <w:spacing w:after="0" w:line="266" w:lineRule="auto"/>
        <w:rPr>
          <w:sz w:val="20"/>
          <w:szCs w:val="20"/>
          <w:color w:val="auto"/>
        </w:rPr>
      </w:pPr>
      <w:r>
        <w:rPr>
          <w:rFonts w:ascii="Arial" w:cs="Arial" w:eastAsia="Arial" w:hAnsi="Arial"/>
          <w:sz w:val="10"/>
          <w:szCs w:val="10"/>
          <w:color w:val="auto"/>
        </w:rPr>
        <w:t xml:space="preserve">be permitted by law; </w:t>
      </w:r>
      <w:r>
        <w:rPr>
          <w:rFonts w:ascii="Arial" w:cs="Arial" w:eastAsia="Arial" w:hAnsi="Arial"/>
          <w:sz w:val="10"/>
          <w:szCs w:val="10"/>
          <w:i w:val="1"/>
          <w:iCs w:val="1"/>
          <w:color w:val="auto"/>
        </w:rPr>
        <w:t>provided, however</w:t>
      </w:r>
      <w:r>
        <w:rPr>
          <w:rFonts w:ascii="Arial" w:cs="Arial" w:eastAsia="Arial" w:hAnsi="Arial"/>
          <w:sz w:val="10"/>
          <w:szCs w:val="10"/>
          <w:color w:val="auto"/>
        </w:rPr>
        <w:t xml:space="preserve">, that no material amendment to the Plan (including an amendment to reprice Stock Options or SARs granted under the Plan) shall become effective without shareholder approval; </w:t>
      </w:r>
      <w:r>
        <w:rPr>
          <w:rFonts w:ascii="Arial" w:cs="Arial" w:eastAsia="Arial" w:hAnsi="Arial"/>
          <w:sz w:val="10"/>
          <w:szCs w:val="10"/>
          <w:i w:val="1"/>
          <w:iCs w:val="1"/>
          <w:color w:val="auto"/>
        </w:rPr>
        <w:t>and further provided</w:t>
      </w:r>
      <w:r>
        <w:rPr>
          <w:rFonts w:ascii="Arial" w:cs="Arial" w:eastAsia="Arial" w:hAnsi="Arial"/>
          <w:sz w:val="10"/>
          <w:szCs w:val="10"/>
          <w:color w:val="auto"/>
        </w:rPr>
        <w:t>, that except as otherwise expressly provided in the Plan or required by law, the Administrator may not, without the Participant’s consent, alter the terms of an Award so as to affect adversely the Participant’s rights under the Award, unless the Administrator expressly reserved the right to do so at the time of the Award. For purposes of this Section 10 the following shall be considered material amendments to the Plan: (i) increasing benefits already accrued to participants under the Plan (other than in compliance with clause (iv) of this sentence), (ii) increasing the number of shares that may be issued under the Plan, (iii) modifying the requirements for participation in the Plan or (iv) waiving restrictions (such as accelerating the vesting period or waiving other Award restrictions), except in the case of death, disability, retirement, termination of employment or a Change in Control, provided that the Administrator may waive restrictions with respect to Awards covering up to an aggregate of 5% of the total shares authorized under the Plan for reasons other than those specified in the exceptions set forth in this clause (iv). For purposes of this Section 10, neither a termination of the Plan nor any amendment or modification to an outstanding Award under the Plan (other than to reprice Stock Options or SARs or to otherwise effect a change deemed material under the prior sentences of this Section 10) shall be considered a material amendment to the Plan. The following actions are considered material amendments under the Plan and the Company may not (except as provided for under Section 8(c) in connection with a Reorganization Event) take any such actions unless they are approved by the Company’s shareholders: (1) amend any outstanding Stock Option or SAR granted under the Plan to provide an exercise price per share that is lower than the then-current exercise price per share of such outstanding Stock Option or SAR, (2) cancel any outstanding Stock Option or SAR (whether or not granted under the Plan) and grant in substitution therefore new Awards under the Plan (other than substitute Awards granted by the Administrator pursuant to</w:t>
      </w:r>
    </w:p>
    <w:p>
      <w:pPr>
        <w:spacing w:after="0" w:line="114" w:lineRule="exact"/>
        <w:rPr>
          <w:sz w:val="20"/>
          <w:szCs w:val="20"/>
          <w:color w:val="auto"/>
        </w:rPr>
      </w:pPr>
    </w:p>
    <w:p>
      <w:pPr>
        <w:ind w:left="1980" w:right="939"/>
        <w:spacing w:after="0"/>
        <w:rPr>
          <w:sz w:val="20"/>
          <w:szCs w:val="20"/>
          <w:color w:val="auto"/>
        </w:rPr>
      </w:pPr>
      <w:r>
        <w:rPr>
          <w:rFonts w:ascii="Arial" w:cs="Arial" w:eastAsia="Arial" w:hAnsi="Arial"/>
          <w:sz w:val="11"/>
          <w:szCs w:val="11"/>
          <w:color w:val="auto"/>
        </w:rPr>
        <w:t>Section 8(c) in connection with a merger or consolidation of an entity with the Company or the acquisition by the Company of property or stock of an entity) covering the same or a different number of shares of Stock and having an exercise price per share lower than the then-current exercise price per share of the cancelled Stock Option or SAR, (3) cancel in exchange for a cash payment any outstanding Stock Option or SAR with an exercise price per share above the then-current Fair Market Value, other than pursuant to Section 8(c), or (4) take any other action under the Plan that constitutes a “repricing” within the meaning of the rules of the NASDAQ Stock Market.</w:t>
      </w:r>
    </w:p>
    <w:p>
      <w:pPr>
        <w:spacing w:after="0" w:line="97" w:lineRule="exact"/>
        <w:rPr>
          <w:sz w:val="20"/>
          <w:szCs w:val="20"/>
          <w:color w:val="auto"/>
        </w:rPr>
      </w:pPr>
    </w:p>
    <w:p>
      <w:pPr>
        <w:ind w:left="1980" w:right="959" w:firstLine="294"/>
        <w:spacing w:after="0"/>
        <w:rPr>
          <w:sz w:val="20"/>
          <w:szCs w:val="20"/>
          <w:color w:val="auto"/>
        </w:rPr>
      </w:pPr>
      <w:r>
        <w:rPr>
          <w:rFonts w:ascii="Arial" w:cs="Arial" w:eastAsia="Arial" w:hAnsi="Arial"/>
          <w:sz w:val="11"/>
          <w:szCs w:val="11"/>
          <w:color w:val="auto"/>
        </w:rPr>
        <w:t>The Administrator may, subject to the provisions of the Plan, create sub-plans to the Plan that may incorporate such terms as it considers necessary or desirable to operate the Plan in any non-United States jurisdiction in which Participants are situated and may implement such sub-plans in the form of schedules to the Plan applicable to the specified jurisdiction, provided that any Stock issued pursuant to such sub-plans shall be counted against the limits set forth in Section 5 of the Plan. Any such sub-plans created by the Administrator may provide for greater restrictions on Awards than those set forth in the Plan, but may not provide for greater benefits to Participants than the benefits permitted under the Plan itself.</w:t>
      </w:r>
    </w:p>
    <w:p>
      <w:pPr>
        <w:spacing w:after="0" w:line="229" w:lineRule="exact"/>
        <w:rPr>
          <w:sz w:val="20"/>
          <w:szCs w:val="20"/>
          <w:color w:val="auto"/>
        </w:rPr>
      </w:pPr>
    </w:p>
    <w:p>
      <w:pPr>
        <w:ind w:left="2260" w:hanging="288"/>
        <w:spacing w:after="0"/>
        <w:tabs>
          <w:tab w:leader="none" w:pos="2260" w:val="left"/>
        </w:tabs>
        <w:numPr>
          <w:ilvl w:val="0"/>
          <w:numId w:val="145"/>
        </w:numPr>
        <w:rPr>
          <w:rFonts w:ascii="Arial" w:cs="Arial" w:eastAsia="Arial" w:hAnsi="Arial"/>
          <w:sz w:val="11"/>
          <w:szCs w:val="11"/>
          <w:b w:val="1"/>
          <w:bCs w:val="1"/>
          <w:color w:val="auto"/>
        </w:rPr>
      </w:pPr>
      <w:r>
        <w:rPr>
          <w:rFonts w:ascii="Arial" w:cs="Arial" w:eastAsia="Arial" w:hAnsi="Arial"/>
          <w:sz w:val="11"/>
          <w:szCs w:val="11"/>
          <w:b w:val="1"/>
          <w:bCs w:val="1"/>
          <w:color w:val="auto"/>
        </w:rPr>
        <w:t>Other Compensation Arrangements</w:t>
      </w:r>
    </w:p>
    <w:p>
      <w:pPr>
        <w:spacing w:after="0" w:line="111" w:lineRule="exact"/>
        <w:rPr>
          <w:sz w:val="20"/>
          <w:szCs w:val="20"/>
          <w:color w:val="auto"/>
        </w:rPr>
      </w:pPr>
    </w:p>
    <w:p>
      <w:pPr>
        <w:ind w:left="1980" w:right="1519" w:firstLine="294"/>
        <w:spacing w:after="0" w:line="245" w:lineRule="auto"/>
        <w:rPr>
          <w:sz w:val="20"/>
          <w:szCs w:val="20"/>
          <w:color w:val="auto"/>
        </w:rPr>
      </w:pPr>
      <w:r>
        <w:rPr>
          <w:rFonts w:ascii="Arial" w:cs="Arial" w:eastAsia="Arial" w:hAnsi="Arial"/>
          <w:sz w:val="11"/>
          <w:szCs w:val="11"/>
          <w:color w:val="auto"/>
        </w:rPr>
        <w:t>The existence of the Plan or the grant of any Award will not in any way affect the Company’s right to award a person bonuses or other compensation in addition to Awards under the Plan.</w:t>
      </w:r>
    </w:p>
    <w:p>
      <w:pPr>
        <w:spacing w:after="0" w:line="225" w:lineRule="exact"/>
        <w:rPr>
          <w:sz w:val="20"/>
          <w:szCs w:val="20"/>
          <w:color w:val="auto"/>
        </w:rPr>
      </w:pPr>
    </w:p>
    <w:p>
      <w:pPr>
        <w:ind w:left="2260" w:hanging="288"/>
        <w:spacing w:after="0"/>
        <w:tabs>
          <w:tab w:leader="none" w:pos="2260" w:val="left"/>
        </w:tabs>
        <w:numPr>
          <w:ilvl w:val="0"/>
          <w:numId w:val="146"/>
        </w:numPr>
        <w:rPr>
          <w:rFonts w:ascii="Arial" w:cs="Arial" w:eastAsia="Arial" w:hAnsi="Arial"/>
          <w:sz w:val="11"/>
          <w:szCs w:val="11"/>
          <w:b w:val="1"/>
          <w:bCs w:val="1"/>
          <w:color w:val="auto"/>
        </w:rPr>
      </w:pPr>
      <w:r>
        <w:rPr>
          <w:rFonts w:ascii="Arial" w:cs="Arial" w:eastAsia="Arial" w:hAnsi="Arial"/>
          <w:sz w:val="11"/>
          <w:szCs w:val="11"/>
          <w:b w:val="1"/>
          <w:bCs w:val="1"/>
          <w:color w:val="auto"/>
        </w:rPr>
        <w:t>Governing Law</w:t>
      </w:r>
    </w:p>
    <w:p>
      <w:pPr>
        <w:spacing w:after="0" w:line="102" w:lineRule="exact"/>
        <w:rPr>
          <w:sz w:val="20"/>
          <w:szCs w:val="20"/>
          <w:color w:val="auto"/>
        </w:rPr>
      </w:pPr>
    </w:p>
    <w:p>
      <w:pPr>
        <w:ind w:left="1980" w:right="959" w:firstLine="294"/>
        <w:spacing w:after="0" w:line="245" w:lineRule="auto"/>
        <w:rPr>
          <w:sz w:val="20"/>
          <w:szCs w:val="20"/>
          <w:color w:val="auto"/>
        </w:rPr>
      </w:pPr>
      <w:r>
        <w:rPr>
          <w:rFonts w:ascii="Arial" w:cs="Arial" w:eastAsia="Arial" w:hAnsi="Arial"/>
          <w:sz w:val="11"/>
          <w:szCs w:val="11"/>
          <w:color w:val="auto"/>
        </w:rPr>
        <w:t>The validity, construction and effect of the Plan and any action taken or relating to the Plan shall be determined in accordance with the laws of the State of Rhode Island and applicable federal law.</w:t>
      </w:r>
    </w:p>
    <w:p>
      <w:pPr>
        <w:spacing w:after="0" w:line="225" w:lineRule="exact"/>
        <w:rPr>
          <w:sz w:val="20"/>
          <w:szCs w:val="20"/>
          <w:color w:val="auto"/>
        </w:rPr>
      </w:pPr>
    </w:p>
    <w:p>
      <w:pPr>
        <w:ind w:left="2260" w:hanging="288"/>
        <w:spacing w:after="0"/>
        <w:tabs>
          <w:tab w:leader="none" w:pos="2260" w:val="left"/>
        </w:tabs>
        <w:numPr>
          <w:ilvl w:val="0"/>
          <w:numId w:val="147"/>
        </w:numPr>
        <w:rPr>
          <w:rFonts w:ascii="Arial" w:cs="Arial" w:eastAsia="Arial" w:hAnsi="Arial"/>
          <w:sz w:val="11"/>
          <w:szCs w:val="11"/>
          <w:b w:val="1"/>
          <w:bCs w:val="1"/>
          <w:color w:val="auto"/>
        </w:rPr>
      </w:pPr>
      <w:r>
        <w:rPr>
          <w:rFonts w:ascii="Arial" w:cs="Arial" w:eastAsia="Arial" w:hAnsi="Arial"/>
          <w:sz w:val="11"/>
          <w:szCs w:val="11"/>
          <w:b w:val="1"/>
          <w:bCs w:val="1"/>
          <w:color w:val="auto"/>
        </w:rPr>
        <w:t>Other Provisions</w:t>
      </w:r>
    </w:p>
    <w:p>
      <w:pPr>
        <w:spacing w:after="0" w:line="100" w:lineRule="exact"/>
        <w:rPr>
          <w:rFonts w:ascii="Arial" w:cs="Arial" w:eastAsia="Arial" w:hAnsi="Arial"/>
          <w:sz w:val="11"/>
          <w:szCs w:val="11"/>
          <w:b w:val="1"/>
          <w:bCs w:val="1"/>
          <w:color w:val="auto"/>
        </w:rPr>
      </w:pPr>
    </w:p>
    <w:p>
      <w:pPr>
        <w:ind w:left="2420" w:hanging="154"/>
        <w:spacing w:after="0"/>
        <w:tabs>
          <w:tab w:leader="none" w:pos="2420" w:val="left"/>
        </w:tabs>
        <w:numPr>
          <w:ilvl w:val="1"/>
          <w:numId w:val="147"/>
        </w:numPr>
        <w:rPr>
          <w:rFonts w:ascii="Arial" w:cs="Arial" w:eastAsia="Arial" w:hAnsi="Arial"/>
          <w:sz w:val="11"/>
          <w:szCs w:val="11"/>
          <w:color w:val="auto"/>
        </w:rPr>
      </w:pPr>
      <w:r>
        <w:rPr>
          <w:rFonts w:ascii="Arial" w:cs="Arial" w:eastAsia="Arial" w:hAnsi="Arial"/>
          <w:sz w:val="11"/>
          <w:szCs w:val="11"/>
          <w:i w:val="1"/>
          <w:iCs w:val="1"/>
          <w:color w:val="auto"/>
        </w:rPr>
        <w:t>Compliance with Section 409A of the Code</w:t>
      </w:r>
      <w:r>
        <w:rPr>
          <w:rFonts w:ascii="Arial" w:cs="Arial" w:eastAsia="Arial" w:hAnsi="Arial"/>
          <w:sz w:val="11"/>
          <w:szCs w:val="11"/>
          <w:color w:val="auto"/>
        </w:rPr>
        <w:t>. Except as provided in individual Award agreements initially or by amendment, if and to the extent</w:t>
      </w:r>
    </w:p>
    <w:p>
      <w:pPr>
        <w:spacing w:after="0" w:line="9" w:lineRule="exact"/>
        <w:rPr>
          <w:rFonts w:ascii="Arial" w:cs="Arial" w:eastAsia="Arial" w:hAnsi="Arial"/>
          <w:sz w:val="11"/>
          <w:szCs w:val="11"/>
          <w:color w:val="auto"/>
        </w:rPr>
      </w:pPr>
    </w:p>
    <w:p>
      <w:pPr>
        <w:ind w:left="1980" w:right="919"/>
        <w:spacing w:after="0"/>
        <w:rPr>
          <w:rFonts w:ascii="Arial" w:cs="Arial" w:eastAsia="Arial" w:hAnsi="Arial"/>
          <w:sz w:val="11"/>
          <w:szCs w:val="11"/>
          <w:color w:val="auto"/>
        </w:rPr>
      </w:pPr>
      <w:r>
        <w:rPr>
          <w:rFonts w:ascii="Arial" w:cs="Arial" w:eastAsia="Arial" w:hAnsi="Arial"/>
          <w:sz w:val="11"/>
          <w:szCs w:val="11"/>
          <w:color w:val="auto"/>
        </w:rPr>
        <w:t>(i) any portion of any payment, compensation or other benefit provided to a Participant pursuant to the Plan in connection with his or her employment termination constitutes “nonqualified deferred compensation” within the meaning of Section 409A of the Code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60325</wp:posOffset>
            </wp:positionV>
            <wp:extent cx="3971925" cy="21717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3" w:lineRule="exact"/>
        <w:rPr>
          <w:sz w:val="20"/>
          <w:szCs w:val="20"/>
          <w:color w:val="auto"/>
        </w:rPr>
      </w:pPr>
    </w:p>
    <w:p>
      <w:pPr>
        <w:ind w:left="2040"/>
        <w:spacing w:after="0"/>
        <w:rPr>
          <w:sz w:val="20"/>
          <w:szCs w:val="20"/>
          <w:color w:val="auto"/>
        </w:rPr>
      </w:pPr>
      <w:r>
        <w:rPr>
          <w:rFonts w:ascii="Arial" w:cs="Arial" w:eastAsia="Arial" w:hAnsi="Arial"/>
          <w:sz w:val="12"/>
          <w:szCs w:val="12"/>
          <w:b w:val="1"/>
          <w:bCs w:val="1"/>
          <w:color w:val="FCFCFC"/>
        </w:rPr>
        <w:t>D-8</w:t>
      </w:r>
    </w:p>
    <w:p>
      <w:pPr>
        <w:sectPr>
          <w:pgSz w:w="11900" w:h="16838" w:orient="portrait"/>
          <w:cols w:equalWidth="0" w:num="1">
            <w:col w:w="10159"/>
          </w:cols>
          <w:pgMar w:left="300" w:top="372" w:right="1440" w:bottom="1440" w:gutter="0" w:footer="0" w:header="0"/>
        </w:sectPr>
      </w:pPr>
    </w:p>
    <w:bookmarkStart w:id="140" w:name="page141"/>
    <w:bookmarkEnd w:id="14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6" w:lineRule="exact"/>
        <w:rPr>
          <w:sz w:val="20"/>
          <w:szCs w:val="20"/>
          <w:color w:val="auto"/>
        </w:rPr>
      </w:pPr>
    </w:p>
    <w:p>
      <w:pPr>
        <w:ind w:left="1980" w:right="939"/>
        <w:spacing w:after="0" w:line="247" w:lineRule="auto"/>
        <w:rPr>
          <w:sz w:val="20"/>
          <w:szCs w:val="20"/>
          <w:color w:val="auto"/>
        </w:rPr>
      </w:pPr>
      <w:r>
        <w:rPr>
          <w:rFonts w:ascii="Arial" w:cs="Arial" w:eastAsia="Arial" w:hAnsi="Arial"/>
          <w:sz w:val="11"/>
          <w:szCs w:val="11"/>
          <w:color w:val="auto"/>
        </w:rPr>
        <w:t>that is six months plus one day after the date of “separation from service” (as determined under Section 409A of the Code) (the “</w:t>
      </w:r>
      <w:r>
        <w:rPr>
          <w:rFonts w:ascii="Arial" w:cs="Arial" w:eastAsia="Arial" w:hAnsi="Arial"/>
          <w:sz w:val="11"/>
          <w:szCs w:val="11"/>
          <w:i w:val="1"/>
          <w:iCs w:val="1"/>
          <w:color w:val="auto"/>
        </w:rPr>
        <w:t>New Payment Date</w:t>
      </w:r>
      <w:r>
        <w:rPr>
          <w:rFonts w:ascii="Arial" w:cs="Arial" w:eastAsia="Arial" w:hAnsi="Arial"/>
          <w:sz w:val="11"/>
          <w:szCs w:val="11"/>
          <w:color w:val="auto"/>
        </w:rPr>
        <w:t>”), except as Section 409A of the Code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in accordance with their original schedule.</w:t>
      </w:r>
    </w:p>
    <w:p>
      <w:pPr>
        <w:spacing w:after="0" w:line="92" w:lineRule="exact"/>
        <w:rPr>
          <w:sz w:val="20"/>
          <w:szCs w:val="20"/>
          <w:color w:val="auto"/>
        </w:rPr>
      </w:pPr>
    </w:p>
    <w:p>
      <w:pPr>
        <w:ind w:left="1980" w:right="1159" w:firstLine="294"/>
        <w:spacing w:after="0" w:line="245" w:lineRule="auto"/>
        <w:rPr>
          <w:sz w:val="20"/>
          <w:szCs w:val="20"/>
          <w:color w:val="auto"/>
        </w:rPr>
      </w:pPr>
      <w:r>
        <w:rPr>
          <w:rFonts w:ascii="Arial" w:cs="Arial" w:eastAsia="Arial" w:hAnsi="Arial"/>
          <w:sz w:val="11"/>
          <w:szCs w:val="11"/>
          <w:color w:val="auto"/>
        </w:rPr>
        <w:t>All terms in the Plan and in any Award agreement will be construed in compliance with the requirements of Section 409A of the Code and the regulations promulgated thereunder to the maximum extent possible.</w:t>
      </w:r>
    </w:p>
    <w:p>
      <w:pPr>
        <w:spacing w:after="0" w:line="93" w:lineRule="exact"/>
        <w:rPr>
          <w:sz w:val="20"/>
          <w:szCs w:val="20"/>
          <w:color w:val="auto"/>
        </w:rPr>
      </w:pPr>
    </w:p>
    <w:p>
      <w:pPr>
        <w:ind w:left="1980" w:right="859" w:firstLine="294"/>
        <w:spacing w:after="0" w:line="242" w:lineRule="auto"/>
        <w:rPr>
          <w:sz w:val="20"/>
          <w:szCs w:val="20"/>
          <w:color w:val="auto"/>
        </w:rPr>
      </w:pPr>
      <w:r>
        <w:rPr>
          <w:rFonts w:ascii="Arial" w:cs="Arial" w:eastAsia="Arial" w:hAnsi="Arial"/>
          <w:sz w:val="11"/>
          <w:szCs w:val="11"/>
          <w:color w:val="auto"/>
        </w:rPr>
        <w:t>The Company makes no representations or warranties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w:t>
      </w:r>
    </w:p>
    <w:p>
      <w:pPr>
        <w:spacing w:after="0" w:line="75" w:lineRule="exact"/>
        <w:rPr>
          <w:sz w:val="20"/>
          <w:szCs w:val="20"/>
          <w:color w:val="auto"/>
        </w:rPr>
      </w:pPr>
    </w:p>
    <w:p>
      <w:pPr>
        <w:ind w:left="1980" w:right="959" w:firstLine="286"/>
        <w:spacing w:after="0" w:line="243" w:lineRule="auto"/>
        <w:tabs>
          <w:tab w:leader="none" w:pos="2436" w:val="left"/>
        </w:tabs>
        <w:numPr>
          <w:ilvl w:val="0"/>
          <w:numId w:val="148"/>
        </w:numPr>
        <w:rPr>
          <w:rFonts w:ascii="Arial" w:cs="Arial" w:eastAsia="Arial" w:hAnsi="Arial"/>
          <w:sz w:val="11"/>
          <w:szCs w:val="11"/>
          <w:i w:val="1"/>
          <w:iCs w:val="1"/>
          <w:color w:val="auto"/>
        </w:rPr>
      </w:pPr>
      <w:r>
        <w:rPr>
          <w:rFonts w:ascii="Arial" w:cs="Arial" w:eastAsia="Arial" w:hAnsi="Arial"/>
          <w:sz w:val="11"/>
          <w:szCs w:val="11"/>
          <w:i w:val="1"/>
          <w:iCs w:val="1"/>
          <w:color w:val="auto"/>
        </w:rPr>
        <w:t>Limitations on Liability</w:t>
      </w:r>
      <w:r>
        <w:rPr>
          <w:rFonts w:ascii="Arial" w:cs="Arial" w:eastAsia="Arial" w:hAnsi="Arial"/>
          <w:sz w:val="11"/>
          <w:szCs w:val="11"/>
          <w:color w:val="auto"/>
        </w:rPr>
        <w:t>. Notwithstanding any other provisions of the Plan, no individual acting as a director, officer, employee or agent of the</w:t>
      </w:r>
      <w:r>
        <w:rPr>
          <w:rFonts w:ascii="Arial" w:cs="Arial" w:eastAsia="Arial" w:hAnsi="Arial"/>
          <w:sz w:val="11"/>
          <w:szCs w:val="11"/>
          <w:i w:val="1"/>
          <w:iCs w:val="1"/>
          <w:color w:val="auto"/>
        </w:rPr>
        <w:t xml:space="preserve"> </w:t>
      </w:r>
      <w:r>
        <w:rPr>
          <w:rFonts w:ascii="Arial" w:cs="Arial" w:eastAsia="Arial" w:hAnsi="Arial"/>
          <w:sz w:val="11"/>
          <w:szCs w:val="11"/>
          <w:color w:val="auto"/>
        </w:rPr>
        <w:t>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59055</wp:posOffset>
            </wp:positionV>
            <wp:extent cx="3971925" cy="21717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0" w:lineRule="exact"/>
        <w:rPr>
          <w:sz w:val="20"/>
          <w:szCs w:val="20"/>
          <w:color w:val="auto"/>
        </w:rPr>
      </w:pPr>
    </w:p>
    <w:p>
      <w:pPr>
        <w:ind w:left="2040"/>
        <w:spacing w:after="0"/>
        <w:rPr>
          <w:sz w:val="20"/>
          <w:szCs w:val="20"/>
          <w:color w:val="auto"/>
        </w:rPr>
      </w:pPr>
      <w:r>
        <w:rPr>
          <w:rFonts w:ascii="Arial" w:cs="Arial" w:eastAsia="Arial" w:hAnsi="Arial"/>
          <w:sz w:val="12"/>
          <w:szCs w:val="12"/>
          <w:b w:val="1"/>
          <w:bCs w:val="1"/>
          <w:color w:val="FCFCFC"/>
        </w:rPr>
        <w:t>D-9</w:t>
      </w:r>
    </w:p>
    <w:p>
      <w:pPr>
        <w:sectPr>
          <w:pgSz w:w="11900" w:h="16838" w:orient="portrait"/>
          <w:cols w:equalWidth="0" w:num="1">
            <w:col w:w="10159"/>
          </w:cols>
          <w:pgMar w:left="300" w:top="372" w:right="1440" w:bottom="1440" w:gutter="0" w:footer="0" w:header="0"/>
        </w:sectPr>
      </w:pPr>
    </w:p>
    <w:bookmarkStart w:id="141" w:name="page142"/>
    <w:bookmarkEnd w:id="14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right"/>
        <w:ind w:right="839"/>
        <w:spacing w:after="0"/>
        <w:rPr>
          <w:sz w:val="20"/>
          <w:szCs w:val="20"/>
          <w:color w:val="auto"/>
        </w:rPr>
      </w:pPr>
      <w:r>
        <w:rPr>
          <w:rFonts w:ascii="Arial" w:cs="Arial" w:eastAsia="Arial" w:hAnsi="Arial"/>
          <w:sz w:val="11"/>
          <w:szCs w:val="11"/>
          <w:b w:val="1"/>
          <w:bCs w:val="1"/>
          <w:color w:val="auto"/>
        </w:rPr>
        <w:t>Exhibit A</w:t>
      </w:r>
    </w:p>
    <w:p>
      <w:pPr>
        <w:spacing w:after="0" w:line="288" w:lineRule="exact"/>
        <w:rPr>
          <w:sz w:val="20"/>
          <w:szCs w:val="20"/>
          <w:color w:val="auto"/>
        </w:rPr>
      </w:pPr>
    </w:p>
    <w:p>
      <w:pPr>
        <w:ind w:left="5160"/>
        <w:spacing w:after="0"/>
        <w:rPr>
          <w:sz w:val="20"/>
          <w:szCs w:val="20"/>
          <w:color w:val="auto"/>
        </w:rPr>
      </w:pPr>
      <w:r>
        <w:rPr>
          <w:rFonts w:ascii="Arial" w:cs="Arial" w:eastAsia="Arial" w:hAnsi="Arial"/>
          <w:sz w:val="11"/>
          <w:szCs w:val="11"/>
          <w:b w:val="1"/>
          <w:bCs w:val="1"/>
          <w:color w:val="auto"/>
        </w:rPr>
        <w:t>Definition of Terms</w:t>
      </w:r>
    </w:p>
    <w:p>
      <w:pPr>
        <w:spacing w:after="0" w:line="111"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following terms, when used in the Plan, will have the meanings and be subject to the provisions set forth below:</w:t>
      </w:r>
    </w:p>
    <w:p>
      <w:pPr>
        <w:spacing w:after="0" w:line="87" w:lineRule="exact"/>
        <w:rPr>
          <w:sz w:val="20"/>
          <w:szCs w:val="20"/>
          <w:color w:val="auto"/>
        </w:rPr>
      </w:pPr>
    </w:p>
    <w:p>
      <w:pPr>
        <w:ind w:left="1980" w:right="879" w:firstLine="294"/>
        <w:spacing w:after="0" w:line="253" w:lineRule="auto"/>
        <w:rPr>
          <w:sz w:val="20"/>
          <w:szCs w:val="20"/>
          <w:color w:val="auto"/>
        </w:rPr>
      </w:pPr>
      <w:r>
        <w:rPr>
          <w:rFonts w:ascii="Arial" w:cs="Arial" w:eastAsia="Arial" w:hAnsi="Arial"/>
          <w:sz w:val="11"/>
          <w:szCs w:val="11"/>
          <w:b w:val="1"/>
          <w:bCs w:val="1"/>
          <w:color w:val="auto"/>
        </w:rPr>
        <w:t xml:space="preserve">“Administrator”: </w:t>
      </w:r>
      <w:r>
        <w:rPr>
          <w:rFonts w:ascii="Arial" w:cs="Arial" w:eastAsia="Arial" w:hAnsi="Arial"/>
          <w:sz w:val="11"/>
          <w:szCs w:val="11"/>
          <w:color w:val="auto"/>
        </w:rPr>
        <w:t>A Committee appointed by the Board to be the Administrator which is composed entirely of independent directors. The</w:t>
      </w:r>
      <w:r>
        <w:rPr>
          <w:rFonts w:ascii="Arial" w:cs="Arial" w:eastAsia="Arial" w:hAnsi="Arial"/>
          <w:sz w:val="11"/>
          <w:szCs w:val="11"/>
          <w:b w:val="1"/>
          <w:bCs w:val="1"/>
          <w:color w:val="auto"/>
        </w:rPr>
        <w:t xml:space="preserve"> </w:t>
      </w:r>
      <w:r>
        <w:rPr>
          <w:rFonts w:ascii="Arial" w:cs="Arial" w:eastAsia="Arial" w:hAnsi="Arial"/>
          <w:sz w:val="11"/>
          <w:szCs w:val="11"/>
          <w:color w:val="auto"/>
        </w:rPr>
        <w:t>Administrator may delegate ministerial tasks to such persons as it deems appropriate. For any Awards subject to the requirements of Section 162(m), the composition of any Committee functioning as the Administrator with respect to such Awards will meet all of the requirements of Section 162(m).</w:t>
      </w:r>
    </w:p>
    <w:p>
      <w:pPr>
        <w:spacing w:after="0" w:line="68" w:lineRule="exact"/>
        <w:rPr>
          <w:sz w:val="20"/>
          <w:szCs w:val="20"/>
          <w:color w:val="auto"/>
        </w:rPr>
      </w:pPr>
    </w:p>
    <w:p>
      <w:pPr>
        <w:ind w:left="1980" w:right="919" w:firstLine="294"/>
        <w:spacing w:after="0" w:line="253" w:lineRule="auto"/>
        <w:rPr>
          <w:sz w:val="20"/>
          <w:szCs w:val="20"/>
          <w:color w:val="auto"/>
        </w:rPr>
      </w:pPr>
      <w:r>
        <w:rPr>
          <w:rFonts w:ascii="Arial" w:cs="Arial" w:eastAsia="Arial" w:hAnsi="Arial"/>
          <w:sz w:val="11"/>
          <w:szCs w:val="11"/>
          <w:b w:val="1"/>
          <w:bCs w:val="1"/>
          <w:color w:val="auto"/>
        </w:rPr>
        <w:t xml:space="preserve">“Affiliate”: </w:t>
      </w:r>
      <w:r>
        <w:rPr>
          <w:rFonts w:ascii="Arial" w:cs="Arial" w:eastAsia="Arial" w:hAnsi="Arial"/>
          <w:sz w:val="11"/>
          <w:szCs w:val="11"/>
          <w:color w:val="auto"/>
        </w:rPr>
        <w:t>Any corporation or other entity owning, directly or indirectly, 50% or more of the outstanding Stock of the Company, or in which the</w:t>
      </w:r>
      <w:r>
        <w:rPr>
          <w:rFonts w:ascii="Arial" w:cs="Arial" w:eastAsia="Arial" w:hAnsi="Arial"/>
          <w:sz w:val="11"/>
          <w:szCs w:val="11"/>
          <w:b w:val="1"/>
          <w:bCs w:val="1"/>
          <w:color w:val="auto"/>
        </w:rPr>
        <w:t xml:space="preserve"> </w:t>
      </w:r>
      <w:r>
        <w:rPr>
          <w:rFonts w:ascii="Arial" w:cs="Arial" w:eastAsia="Arial" w:hAnsi="Arial"/>
          <w:sz w:val="11"/>
          <w:szCs w:val="11"/>
          <w:color w:val="auto"/>
        </w:rPr>
        <w:t>Company or any such corporation or other entity owns, directly or indirectly, 50% of the outstanding capital stock (determined by aggregate voting rights) or other voting interests.</w:t>
      </w:r>
    </w:p>
    <w:p>
      <w:pPr>
        <w:spacing w:after="0" w:line="77" w:lineRule="exact"/>
        <w:rPr>
          <w:sz w:val="20"/>
          <w:szCs w:val="20"/>
          <w:color w:val="auto"/>
        </w:rPr>
      </w:pPr>
    </w:p>
    <w:p>
      <w:pPr>
        <w:ind w:left="2260"/>
        <w:spacing w:after="0"/>
        <w:rPr>
          <w:sz w:val="20"/>
          <w:szCs w:val="20"/>
          <w:color w:val="auto"/>
        </w:rPr>
      </w:pPr>
      <w:r>
        <w:rPr>
          <w:rFonts w:ascii="Arial" w:cs="Arial" w:eastAsia="Arial" w:hAnsi="Arial"/>
          <w:sz w:val="11"/>
          <w:szCs w:val="11"/>
          <w:b w:val="1"/>
          <w:bCs w:val="1"/>
          <w:color w:val="auto"/>
        </w:rPr>
        <w:t xml:space="preserve">“Award”: </w:t>
      </w:r>
      <w:r>
        <w:rPr>
          <w:rFonts w:ascii="Arial" w:cs="Arial" w:eastAsia="Arial" w:hAnsi="Arial"/>
          <w:sz w:val="11"/>
          <w:szCs w:val="11"/>
          <w:color w:val="auto"/>
        </w:rPr>
        <w:t>Any or a combination of the following:</w:t>
      </w:r>
    </w:p>
    <w:p>
      <w:pPr>
        <w:spacing w:after="0" w:line="111" w:lineRule="exact"/>
        <w:rPr>
          <w:sz w:val="20"/>
          <w:szCs w:val="20"/>
          <w:color w:val="auto"/>
        </w:rPr>
      </w:pPr>
    </w:p>
    <w:p>
      <w:pPr>
        <w:ind w:left="2400" w:hanging="134"/>
        <w:spacing w:after="0"/>
        <w:tabs>
          <w:tab w:leader="none" w:pos="2400" w:val="left"/>
        </w:tabs>
        <w:numPr>
          <w:ilvl w:val="0"/>
          <w:numId w:val="149"/>
        </w:numPr>
        <w:rPr>
          <w:rFonts w:ascii="Arial" w:cs="Arial" w:eastAsia="Arial" w:hAnsi="Arial"/>
          <w:sz w:val="11"/>
          <w:szCs w:val="11"/>
          <w:color w:val="auto"/>
        </w:rPr>
      </w:pPr>
      <w:r>
        <w:rPr>
          <w:rFonts w:ascii="Arial" w:cs="Arial" w:eastAsia="Arial" w:hAnsi="Arial"/>
          <w:sz w:val="11"/>
          <w:szCs w:val="11"/>
          <w:color w:val="auto"/>
        </w:rPr>
        <w:t>Stock Options.</w:t>
      </w:r>
    </w:p>
    <w:p>
      <w:pPr>
        <w:spacing w:after="0" w:line="89" w:lineRule="exact"/>
        <w:rPr>
          <w:rFonts w:ascii="Arial" w:cs="Arial" w:eastAsia="Arial" w:hAnsi="Arial"/>
          <w:sz w:val="11"/>
          <w:szCs w:val="11"/>
          <w:color w:val="auto"/>
        </w:rPr>
      </w:pPr>
    </w:p>
    <w:p>
      <w:pPr>
        <w:ind w:left="2420" w:hanging="154"/>
        <w:spacing w:after="0"/>
        <w:tabs>
          <w:tab w:leader="none" w:pos="2420" w:val="left"/>
        </w:tabs>
        <w:numPr>
          <w:ilvl w:val="0"/>
          <w:numId w:val="149"/>
        </w:numPr>
        <w:rPr>
          <w:rFonts w:ascii="Arial" w:cs="Arial" w:eastAsia="Arial" w:hAnsi="Arial"/>
          <w:sz w:val="11"/>
          <w:szCs w:val="11"/>
          <w:color w:val="auto"/>
        </w:rPr>
      </w:pPr>
      <w:r>
        <w:rPr>
          <w:rFonts w:ascii="Arial" w:cs="Arial" w:eastAsia="Arial" w:hAnsi="Arial"/>
          <w:sz w:val="11"/>
          <w:szCs w:val="11"/>
          <w:color w:val="auto"/>
        </w:rPr>
        <w:t>SARs.</w:t>
      </w:r>
    </w:p>
    <w:p>
      <w:pPr>
        <w:spacing w:after="0" w:line="98" w:lineRule="exact"/>
        <w:rPr>
          <w:rFonts w:ascii="Arial" w:cs="Arial" w:eastAsia="Arial" w:hAnsi="Arial"/>
          <w:sz w:val="11"/>
          <w:szCs w:val="11"/>
          <w:color w:val="auto"/>
        </w:rPr>
      </w:pPr>
    </w:p>
    <w:p>
      <w:pPr>
        <w:ind w:left="2440" w:hanging="174"/>
        <w:spacing w:after="0"/>
        <w:tabs>
          <w:tab w:leader="none" w:pos="2440" w:val="left"/>
        </w:tabs>
        <w:numPr>
          <w:ilvl w:val="0"/>
          <w:numId w:val="149"/>
        </w:numPr>
        <w:rPr>
          <w:rFonts w:ascii="Arial" w:cs="Arial" w:eastAsia="Arial" w:hAnsi="Arial"/>
          <w:sz w:val="11"/>
          <w:szCs w:val="11"/>
          <w:color w:val="auto"/>
        </w:rPr>
      </w:pPr>
      <w:r>
        <w:rPr>
          <w:rFonts w:ascii="Arial" w:cs="Arial" w:eastAsia="Arial" w:hAnsi="Arial"/>
          <w:sz w:val="11"/>
          <w:szCs w:val="11"/>
          <w:color w:val="auto"/>
        </w:rPr>
        <w:t>Restricted Stock.</w:t>
      </w:r>
    </w:p>
    <w:p>
      <w:pPr>
        <w:spacing w:after="0" w:line="98" w:lineRule="exact"/>
        <w:rPr>
          <w:rFonts w:ascii="Arial" w:cs="Arial" w:eastAsia="Arial" w:hAnsi="Arial"/>
          <w:sz w:val="11"/>
          <w:szCs w:val="11"/>
          <w:color w:val="auto"/>
        </w:rPr>
      </w:pPr>
    </w:p>
    <w:p>
      <w:pPr>
        <w:ind w:left="2440" w:hanging="174"/>
        <w:spacing w:after="0"/>
        <w:tabs>
          <w:tab w:leader="none" w:pos="2440" w:val="left"/>
        </w:tabs>
        <w:numPr>
          <w:ilvl w:val="0"/>
          <w:numId w:val="149"/>
        </w:numPr>
        <w:rPr>
          <w:rFonts w:ascii="Arial" w:cs="Arial" w:eastAsia="Arial" w:hAnsi="Arial"/>
          <w:sz w:val="11"/>
          <w:szCs w:val="11"/>
          <w:color w:val="auto"/>
        </w:rPr>
      </w:pPr>
      <w:r>
        <w:rPr>
          <w:rFonts w:ascii="Arial" w:cs="Arial" w:eastAsia="Arial" w:hAnsi="Arial"/>
          <w:sz w:val="11"/>
          <w:szCs w:val="11"/>
          <w:color w:val="auto"/>
        </w:rPr>
        <w:t>Unrestricted Stock.</w:t>
      </w:r>
    </w:p>
    <w:p>
      <w:pPr>
        <w:spacing w:after="0" w:line="89" w:lineRule="exact"/>
        <w:rPr>
          <w:rFonts w:ascii="Arial" w:cs="Arial" w:eastAsia="Arial" w:hAnsi="Arial"/>
          <w:sz w:val="11"/>
          <w:szCs w:val="11"/>
          <w:color w:val="auto"/>
        </w:rPr>
      </w:pPr>
    </w:p>
    <w:p>
      <w:pPr>
        <w:ind w:left="2420" w:hanging="154"/>
        <w:spacing w:after="0"/>
        <w:tabs>
          <w:tab w:leader="none" w:pos="2420" w:val="left"/>
        </w:tabs>
        <w:numPr>
          <w:ilvl w:val="0"/>
          <w:numId w:val="149"/>
        </w:numPr>
        <w:rPr>
          <w:rFonts w:ascii="Arial" w:cs="Arial" w:eastAsia="Arial" w:hAnsi="Arial"/>
          <w:sz w:val="11"/>
          <w:szCs w:val="11"/>
          <w:color w:val="auto"/>
        </w:rPr>
      </w:pPr>
      <w:r>
        <w:rPr>
          <w:rFonts w:ascii="Arial" w:cs="Arial" w:eastAsia="Arial" w:hAnsi="Arial"/>
          <w:sz w:val="11"/>
          <w:szCs w:val="11"/>
          <w:color w:val="auto"/>
        </w:rPr>
        <w:t>Deferred Stock.</w:t>
      </w:r>
    </w:p>
    <w:p>
      <w:pPr>
        <w:spacing w:after="0" w:line="98" w:lineRule="exact"/>
        <w:rPr>
          <w:rFonts w:ascii="Arial" w:cs="Arial" w:eastAsia="Arial" w:hAnsi="Arial"/>
          <w:sz w:val="11"/>
          <w:szCs w:val="11"/>
          <w:color w:val="auto"/>
        </w:rPr>
      </w:pPr>
    </w:p>
    <w:p>
      <w:pPr>
        <w:ind w:left="2440" w:hanging="174"/>
        <w:spacing w:after="0"/>
        <w:tabs>
          <w:tab w:leader="none" w:pos="2440" w:val="left"/>
        </w:tabs>
        <w:numPr>
          <w:ilvl w:val="0"/>
          <w:numId w:val="149"/>
        </w:numPr>
        <w:rPr>
          <w:rFonts w:ascii="Arial" w:cs="Arial" w:eastAsia="Arial" w:hAnsi="Arial"/>
          <w:sz w:val="11"/>
          <w:szCs w:val="11"/>
          <w:color w:val="auto"/>
        </w:rPr>
      </w:pPr>
      <w:r>
        <w:rPr>
          <w:rFonts w:ascii="Arial" w:cs="Arial" w:eastAsia="Arial" w:hAnsi="Arial"/>
          <w:sz w:val="11"/>
          <w:szCs w:val="11"/>
          <w:color w:val="auto"/>
        </w:rPr>
        <w:t>Performance Awards.</w:t>
      </w:r>
    </w:p>
    <w:p>
      <w:pPr>
        <w:spacing w:after="0" w:line="98" w:lineRule="exact"/>
        <w:rPr>
          <w:rFonts w:ascii="Arial" w:cs="Arial" w:eastAsia="Arial" w:hAnsi="Arial"/>
          <w:sz w:val="11"/>
          <w:szCs w:val="11"/>
          <w:color w:val="auto"/>
        </w:rPr>
      </w:pPr>
    </w:p>
    <w:p>
      <w:pPr>
        <w:ind w:left="2460" w:hanging="194"/>
        <w:spacing w:after="0"/>
        <w:tabs>
          <w:tab w:leader="none" w:pos="2460" w:val="left"/>
        </w:tabs>
        <w:numPr>
          <w:ilvl w:val="0"/>
          <w:numId w:val="149"/>
        </w:numPr>
        <w:rPr>
          <w:rFonts w:ascii="Arial" w:cs="Arial" w:eastAsia="Arial" w:hAnsi="Arial"/>
          <w:sz w:val="11"/>
          <w:szCs w:val="11"/>
          <w:color w:val="auto"/>
        </w:rPr>
      </w:pPr>
      <w:r>
        <w:rPr>
          <w:rFonts w:ascii="Arial" w:cs="Arial" w:eastAsia="Arial" w:hAnsi="Arial"/>
          <w:sz w:val="11"/>
          <w:szCs w:val="11"/>
          <w:color w:val="auto"/>
        </w:rPr>
        <w:t>Cash Awards.</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1"/>
          <w:szCs w:val="11"/>
          <w:b w:val="1"/>
          <w:bCs w:val="1"/>
          <w:color w:val="auto"/>
        </w:rPr>
        <w:t xml:space="preserve">“Board”: </w:t>
      </w:r>
      <w:r>
        <w:rPr>
          <w:rFonts w:ascii="Arial" w:cs="Arial" w:eastAsia="Arial" w:hAnsi="Arial"/>
          <w:sz w:val="11"/>
          <w:szCs w:val="11"/>
          <w:color w:val="auto"/>
        </w:rPr>
        <w:t>The Board of Directors of the Company.</w:t>
      </w:r>
    </w:p>
    <w:p>
      <w:pPr>
        <w:spacing w:after="0" w:line="99" w:lineRule="exact"/>
        <w:rPr>
          <w:sz w:val="20"/>
          <w:szCs w:val="20"/>
          <w:color w:val="auto"/>
        </w:rPr>
      </w:pPr>
    </w:p>
    <w:p>
      <w:pPr>
        <w:ind w:left="1980" w:right="1159" w:firstLine="294"/>
        <w:spacing w:after="0" w:line="268" w:lineRule="auto"/>
        <w:rPr>
          <w:sz w:val="20"/>
          <w:szCs w:val="20"/>
          <w:color w:val="auto"/>
        </w:rPr>
      </w:pPr>
      <w:r>
        <w:rPr>
          <w:rFonts w:ascii="Arial" w:cs="Arial" w:eastAsia="Arial" w:hAnsi="Arial"/>
          <w:sz w:val="11"/>
          <w:szCs w:val="11"/>
          <w:b w:val="1"/>
          <w:bCs w:val="1"/>
          <w:color w:val="auto"/>
        </w:rPr>
        <w:t xml:space="preserve">“Cash Award”: </w:t>
      </w:r>
      <w:r>
        <w:rPr>
          <w:rFonts w:ascii="Arial" w:cs="Arial" w:eastAsia="Arial" w:hAnsi="Arial"/>
          <w:sz w:val="11"/>
          <w:szCs w:val="11"/>
          <w:color w:val="auto"/>
        </w:rPr>
        <w:t>An award denominated in cash. The payment of a Cash Award may be subject to such restrictions and conditions as may be</w:t>
      </w:r>
      <w:r>
        <w:rPr>
          <w:rFonts w:ascii="Arial" w:cs="Arial" w:eastAsia="Arial" w:hAnsi="Arial"/>
          <w:sz w:val="11"/>
          <w:szCs w:val="11"/>
          <w:b w:val="1"/>
          <w:bCs w:val="1"/>
          <w:color w:val="auto"/>
        </w:rPr>
        <w:t xml:space="preserve"> </w:t>
      </w:r>
      <w:r>
        <w:rPr>
          <w:rFonts w:ascii="Arial" w:cs="Arial" w:eastAsia="Arial" w:hAnsi="Arial"/>
          <w:sz w:val="11"/>
          <w:szCs w:val="11"/>
          <w:color w:val="auto"/>
        </w:rPr>
        <w:t>established by the Administrator.”</w:t>
      </w:r>
    </w:p>
    <w:p>
      <w:pPr>
        <w:spacing w:after="0" w:line="69" w:lineRule="exact"/>
        <w:rPr>
          <w:sz w:val="20"/>
          <w:szCs w:val="20"/>
          <w:color w:val="auto"/>
        </w:rPr>
      </w:pPr>
    </w:p>
    <w:p>
      <w:pPr>
        <w:ind w:left="2260"/>
        <w:spacing w:after="0"/>
        <w:rPr>
          <w:sz w:val="20"/>
          <w:szCs w:val="20"/>
          <w:color w:val="auto"/>
        </w:rPr>
      </w:pPr>
      <w:r>
        <w:rPr>
          <w:rFonts w:ascii="Arial" w:cs="Arial" w:eastAsia="Arial" w:hAnsi="Arial"/>
          <w:sz w:val="11"/>
          <w:szCs w:val="11"/>
          <w:b w:val="1"/>
          <w:bCs w:val="1"/>
          <w:color w:val="auto"/>
        </w:rPr>
        <w:t xml:space="preserve">“Cause”: </w:t>
      </w:r>
      <w:r>
        <w:rPr>
          <w:rFonts w:ascii="Arial" w:cs="Arial" w:eastAsia="Arial" w:hAnsi="Arial"/>
          <w:sz w:val="11"/>
          <w:szCs w:val="11"/>
          <w:color w:val="auto"/>
        </w:rPr>
        <w:t>means a termination of a Participant’s Employment if such termination involves:</w:t>
      </w:r>
    </w:p>
    <w:p>
      <w:pPr>
        <w:spacing w:after="0" w:line="102" w:lineRule="exact"/>
        <w:rPr>
          <w:sz w:val="20"/>
          <w:szCs w:val="20"/>
          <w:color w:val="auto"/>
        </w:rPr>
      </w:pPr>
    </w:p>
    <w:p>
      <w:pPr>
        <w:ind w:left="1980" w:right="999" w:firstLine="286"/>
        <w:spacing w:after="0" w:line="245" w:lineRule="auto"/>
        <w:tabs>
          <w:tab w:leader="none" w:pos="2400" w:val="left"/>
        </w:tabs>
        <w:numPr>
          <w:ilvl w:val="0"/>
          <w:numId w:val="150"/>
        </w:numPr>
        <w:rPr>
          <w:rFonts w:ascii="Arial" w:cs="Arial" w:eastAsia="Arial" w:hAnsi="Arial"/>
          <w:sz w:val="11"/>
          <w:szCs w:val="11"/>
          <w:color w:val="auto"/>
        </w:rPr>
      </w:pPr>
      <w:r>
        <w:rPr>
          <w:rFonts w:ascii="Arial" w:cs="Arial" w:eastAsia="Arial" w:hAnsi="Arial"/>
          <w:sz w:val="11"/>
          <w:szCs w:val="11"/>
          <w:color w:val="auto"/>
        </w:rPr>
        <w:t>an unauthorized use or disclosure of the Company’s confidential information or trade secrets, which use or disclosure causes material harm to the Company;</w:t>
      </w:r>
    </w:p>
    <w:p>
      <w:pPr>
        <w:spacing w:after="0" w:line="92" w:lineRule="exact"/>
        <w:rPr>
          <w:rFonts w:ascii="Arial" w:cs="Arial" w:eastAsia="Arial" w:hAnsi="Arial"/>
          <w:sz w:val="11"/>
          <w:szCs w:val="11"/>
          <w:color w:val="auto"/>
        </w:rPr>
      </w:pPr>
    </w:p>
    <w:p>
      <w:pPr>
        <w:ind w:left="2420" w:hanging="154"/>
        <w:spacing w:after="0"/>
        <w:tabs>
          <w:tab w:leader="none" w:pos="2420" w:val="left"/>
        </w:tabs>
        <w:numPr>
          <w:ilvl w:val="0"/>
          <w:numId w:val="150"/>
        </w:numPr>
        <w:rPr>
          <w:rFonts w:ascii="Arial" w:cs="Arial" w:eastAsia="Arial" w:hAnsi="Arial"/>
          <w:sz w:val="11"/>
          <w:szCs w:val="11"/>
          <w:color w:val="auto"/>
        </w:rPr>
      </w:pPr>
      <w:r>
        <w:rPr>
          <w:rFonts w:ascii="Arial" w:cs="Arial" w:eastAsia="Arial" w:hAnsi="Arial"/>
          <w:sz w:val="11"/>
          <w:szCs w:val="11"/>
          <w:color w:val="auto"/>
        </w:rPr>
        <w:t>a material breach of a material agreement with the Company;</w:t>
      </w:r>
    </w:p>
    <w:p>
      <w:pPr>
        <w:spacing w:after="0" w:line="98" w:lineRule="exact"/>
        <w:rPr>
          <w:rFonts w:ascii="Arial" w:cs="Arial" w:eastAsia="Arial" w:hAnsi="Arial"/>
          <w:sz w:val="11"/>
          <w:szCs w:val="11"/>
          <w:color w:val="auto"/>
        </w:rPr>
      </w:pPr>
    </w:p>
    <w:p>
      <w:pPr>
        <w:ind w:left="2440" w:hanging="174"/>
        <w:spacing w:after="0"/>
        <w:tabs>
          <w:tab w:leader="none" w:pos="2440" w:val="left"/>
        </w:tabs>
        <w:numPr>
          <w:ilvl w:val="0"/>
          <w:numId w:val="150"/>
        </w:numPr>
        <w:rPr>
          <w:rFonts w:ascii="Arial" w:cs="Arial" w:eastAsia="Arial" w:hAnsi="Arial"/>
          <w:sz w:val="11"/>
          <w:szCs w:val="11"/>
          <w:color w:val="auto"/>
        </w:rPr>
      </w:pPr>
      <w:r>
        <w:rPr>
          <w:rFonts w:ascii="Arial" w:cs="Arial" w:eastAsia="Arial" w:hAnsi="Arial"/>
          <w:sz w:val="11"/>
          <w:szCs w:val="11"/>
          <w:color w:val="auto"/>
        </w:rPr>
        <w:t>a material failure to comply with the Company’s written policies or rules, which failure results in material harm to the Company;</w:t>
      </w:r>
    </w:p>
    <w:p>
      <w:pPr>
        <w:spacing w:after="0" w:line="89" w:lineRule="exact"/>
        <w:rPr>
          <w:rFonts w:ascii="Arial" w:cs="Arial" w:eastAsia="Arial" w:hAnsi="Arial"/>
          <w:sz w:val="11"/>
          <w:szCs w:val="11"/>
          <w:color w:val="auto"/>
        </w:rPr>
      </w:pPr>
    </w:p>
    <w:p>
      <w:pPr>
        <w:ind w:left="1980" w:right="879" w:firstLine="286"/>
        <w:spacing w:after="0" w:line="245" w:lineRule="auto"/>
        <w:tabs>
          <w:tab w:leader="none" w:pos="2454" w:val="left"/>
        </w:tabs>
        <w:numPr>
          <w:ilvl w:val="0"/>
          <w:numId w:val="150"/>
        </w:numPr>
        <w:rPr>
          <w:rFonts w:ascii="Arial" w:cs="Arial" w:eastAsia="Arial" w:hAnsi="Arial"/>
          <w:sz w:val="11"/>
          <w:szCs w:val="11"/>
          <w:color w:val="auto"/>
        </w:rPr>
      </w:pPr>
      <w:r>
        <w:rPr>
          <w:rFonts w:ascii="Arial" w:cs="Arial" w:eastAsia="Arial" w:hAnsi="Arial"/>
          <w:sz w:val="11"/>
          <w:szCs w:val="11"/>
          <w:color w:val="auto"/>
        </w:rPr>
        <w:t>a conviction of, or plea of “guilty” or “no contest” to, a felony under the laws of the United States or any State thereof or the equivalent under the applicable laws of foreign jurisdictions;</w:t>
      </w:r>
    </w:p>
    <w:p>
      <w:pPr>
        <w:spacing w:after="0" w:line="92" w:lineRule="exact"/>
        <w:rPr>
          <w:rFonts w:ascii="Arial" w:cs="Arial" w:eastAsia="Arial" w:hAnsi="Arial"/>
          <w:sz w:val="11"/>
          <w:szCs w:val="11"/>
          <w:color w:val="auto"/>
        </w:rPr>
      </w:pPr>
    </w:p>
    <w:p>
      <w:pPr>
        <w:ind w:left="2420" w:hanging="154"/>
        <w:spacing w:after="0"/>
        <w:tabs>
          <w:tab w:leader="none" w:pos="2420" w:val="left"/>
        </w:tabs>
        <w:numPr>
          <w:ilvl w:val="0"/>
          <w:numId w:val="150"/>
        </w:numPr>
        <w:rPr>
          <w:rFonts w:ascii="Arial" w:cs="Arial" w:eastAsia="Arial" w:hAnsi="Arial"/>
          <w:sz w:val="11"/>
          <w:szCs w:val="11"/>
          <w:color w:val="auto"/>
        </w:rPr>
      </w:pPr>
      <w:r>
        <w:rPr>
          <w:rFonts w:ascii="Arial" w:cs="Arial" w:eastAsia="Arial" w:hAnsi="Arial"/>
          <w:sz w:val="11"/>
          <w:szCs w:val="11"/>
          <w:color w:val="auto"/>
        </w:rPr>
        <w:t>gross negligence or willful misconduct that results in material harm to the Company;</w:t>
      </w:r>
    </w:p>
    <w:p>
      <w:pPr>
        <w:spacing w:after="0" w:line="89" w:lineRule="exact"/>
        <w:rPr>
          <w:rFonts w:ascii="Arial" w:cs="Arial" w:eastAsia="Arial" w:hAnsi="Arial"/>
          <w:sz w:val="11"/>
          <w:szCs w:val="11"/>
          <w:color w:val="auto"/>
        </w:rPr>
      </w:pPr>
    </w:p>
    <w:p>
      <w:pPr>
        <w:ind w:left="2440" w:hanging="174"/>
        <w:spacing w:after="0"/>
        <w:tabs>
          <w:tab w:leader="none" w:pos="2440" w:val="left"/>
        </w:tabs>
        <w:numPr>
          <w:ilvl w:val="0"/>
          <w:numId w:val="150"/>
        </w:numPr>
        <w:rPr>
          <w:rFonts w:ascii="Arial" w:cs="Arial" w:eastAsia="Arial" w:hAnsi="Arial"/>
          <w:sz w:val="11"/>
          <w:szCs w:val="11"/>
          <w:color w:val="auto"/>
        </w:rPr>
      </w:pPr>
      <w:r>
        <w:rPr>
          <w:rFonts w:ascii="Arial" w:cs="Arial" w:eastAsia="Arial" w:hAnsi="Arial"/>
          <w:sz w:val="11"/>
          <w:szCs w:val="11"/>
          <w:color w:val="auto"/>
        </w:rPr>
        <w:t>continuing failure to perform assigned duties;</w:t>
      </w:r>
    </w:p>
    <w:p>
      <w:pPr>
        <w:spacing w:after="0" w:line="98" w:lineRule="exact"/>
        <w:rPr>
          <w:rFonts w:ascii="Arial" w:cs="Arial" w:eastAsia="Arial" w:hAnsi="Arial"/>
          <w:sz w:val="11"/>
          <w:szCs w:val="11"/>
          <w:color w:val="auto"/>
        </w:rPr>
      </w:pPr>
    </w:p>
    <w:p>
      <w:pPr>
        <w:ind w:left="1980" w:right="1139" w:firstLine="286"/>
        <w:spacing w:after="0" w:line="245" w:lineRule="auto"/>
        <w:tabs>
          <w:tab w:leader="none" w:pos="2478" w:val="left"/>
        </w:tabs>
        <w:numPr>
          <w:ilvl w:val="0"/>
          <w:numId w:val="150"/>
        </w:numPr>
        <w:rPr>
          <w:rFonts w:ascii="Arial" w:cs="Arial" w:eastAsia="Arial" w:hAnsi="Arial"/>
          <w:sz w:val="11"/>
          <w:szCs w:val="11"/>
          <w:color w:val="auto"/>
        </w:rPr>
      </w:pPr>
      <w:r>
        <w:rPr>
          <w:rFonts w:ascii="Arial" w:cs="Arial" w:eastAsia="Arial" w:hAnsi="Arial"/>
          <w:sz w:val="11"/>
          <w:szCs w:val="11"/>
          <w:color w:val="auto"/>
        </w:rPr>
        <w:t>failure to cooperate in good faith with a governmental or internal investigation of the Company or its directors, officers or employees, if the Company has requested such cooperation;</w:t>
      </w:r>
    </w:p>
    <w:p>
      <w:pPr>
        <w:spacing w:after="0" w:line="92" w:lineRule="exact"/>
        <w:rPr>
          <w:rFonts w:ascii="Arial" w:cs="Arial" w:eastAsia="Arial" w:hAnsi="Arial"/>
          <w:sz w:val="11"/>
          <w:szCs w:val="11"/>
          <w:color w:val="auto"/>
        </w:rPr>
      </w:pPr>
    </w:p>
    <w:p>
      <w:pPr>
        <w:ind w:left="2500" w:hanging="234"/>
        <w:spacing w:after="0"/>
        <w:tabs>
          <w:tab w:leader="none" w:pos="2500" w:val="left"/>
        </w:tabs>
        <w:numPr>
          <w:ilvl w:val="0"/>
          <w:numId w:val="150"/>
        </w:numPr>
        <w:rPr>
          <w:rFonts w:ascii="Arial" w:cs="Arial" w:eastAsia="Arial" w:hAnsi="Arial"/>
          <w:sz w:val="11"/>
          <w:szCs w:val="11"/>
          <w:color w:val="auto"/>
        </w:rPr>
      </w:pPr>
      <w:r>
        <w:rPr>
          <w:rFonts w:ascii="Arial" w:cs="Arial" w:eastAsia="Arial" w:hAnsi="Arial"/>
          <w:sz w:val="11"/>
          <w:szCs w:val="11"/>
          <w:color w:val="auto"/>
        </w:rPr>
        <w:t>an intentional violation of Federal or state securities laws; or</w:t>
      </w:r>
    </w:p>
    <w:p>
      <w:pPr>
        <w:spacing w:after="0" w:line="89" w:lineRule="exact"/>
        <w:rPr>
          <w:rFonts w:ascii="Arial" w:cs="Arial" w:eastAsia="Arial" w:hAnsi="Arial"/>
          <w:sz w:val="11"/>
          <w:szCs w:val="11"/>
          <w:color w:val="auto"/>
        </w:rPr>
      </w:pPr>
    </w:p>
    <w:p>
      <w:pPr>
        <w:ind w:left="2440" w:hanging="174"/>
        <w:spacing w:after="0"/>
        <w:tabs>
          <w:tab w:leader="none" w:pos="2440" w:val="left"/>
        </w:tabs>
        <w:numPr>
          <w:ilvl w:val="0"/>
          <w:numId w:val="150"/>
        </w:numPr>
        <w:rPr>
          <w:rFonts w:ascii="Arial" w:cs="Arial" w:eastAsia="Arial" w:hAnsi="Arial"/>
          <w:sz w:val="11"/>
          <w:szCs w:val="11"/>
          <w:color w:val="auto"/>
        </w:rPr>
      </w:pPr>
      <w:r>
        <w:rPr>
          <w:rFonts w:ascii="Arial" w:cs="Arial" w:eastAsia="Arial" w:hAnsi="Arial"/>
          <w:sz w:val="11"/>
          <w:szCs w:val="11"/>
          <w:color w:val="auto"/>
        </w:rPr>
        <w:t>fraud, embezzlement, theft or dishonesty against the Company.</w:t>
      </w:r>
    </w:p>
    <w:p>
      <w:pPr>
        <w:spacing w:after="0" w:line="99" w:lineRule="exact"/>
        <w:rPr>
          <w:sz w:val="20"/>
          <w:szCs w:val="20"/>
          <w:color w:val="auto"/>
        </w:rPr>
      </w:pPr>
    </w:p>
    <w:p>
      <w:pPr>
        <w:ind w:left="1980" w:right="1019" w:firstLine="294"/>
        <w:spacing w:after="0" w:line="241" w:lineRule="auto"/>
        <w:rPr>
          <w:sz w:val="20"/>
          <w:szCs w:val="20"/>
          <w:color w:val="auto"/>
        </w:rPr>
      </w:pPr>
      <w:r>
        <w:rPr>
          <w:rFonts w:ascii="Arial" w:cs="Arial" w:eastAsia="Arial" w:hAnsi="Arial"/>
          <w:sz w:val="11"/>
          <w:szCs w:val="11"/>
          <w:color w:val="auto"/>
        </w:rPr>
        <w:t>Provided that no finding of Cause shall be made pursuant to subsections (ii), (iii), (vi) or (vii) above unless the Company has provided the Participant with written notice stating the facts and circumstances underlying the allegations of Cause, and the Participant has failed to cure such violation, if curable, within 30 calendar days following receipt thereof. The Administrator will determine whether a violation is curable and/or cured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3971925" cy="21717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4" w:lineRule="exact"/>
        <w:rPr>
          <w:sz w:val="20"/>
          <w:szCs w:val="20"/>
          <w:color w:val="auto"/>
        </w:rPr>
      </w:pPr>
    </w:p>
    <w:p>
      <w:pPr>
        <w:ind w:left="2040"/>
        <w:spacing w:after="0"/>
        <w:rPr>
          <w:sz w:val="20"/>
          <w:szCs w:val="20"/>
          <w:color w:val="auto"/>
        </w:rPr>
      </w:pPr>
      <w:r>
        <w:rPr>
          <w:rFonts w:ascii="Arial" w:cs="Arial" w:eastAsia="Arial" w:hAnsi="Arial"/>
          <w:sz w:val="11"/>
          <w:szCs w:val="11"/>
          <w:b w:val="1"/>
          <w:bCs w:val="1"/>
          <w:color w:val="FCFCFC"/>
        </w:rPr>
        <w:t>D-10</w:t>
      </w:r>
    </w:p>
    <w:p>
      <w:pPr>
        <w:sectPr>
          <w:pgSz w:w="11900" w:h="16838" w:orient="portrait"/>
          <w:cols w:equalWidth="0" w:num="1">
            <w:col w:w="10159"/>
          </w:cols>
          <w:pgMar w:left="300" w:top="372" w:right="1440" w:bottom="1440" w:gutter="0" w:footer="0" w:header="0"/>
        </w:sectPr>
      </w:pPr>
    </w:p>
    <w:bookmarkStart w:id="142" w:name="page143"/>
    <w:bookmarkEnd w:id="14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2260"/>
        <w:spacing w:after="0"/>
        <w:rPr>
          <w:sz w:val="20"/>
          <w:szCs w:val="20"/>
          <w:color w:val="auto"/>
        </w:rPr>
      </w:pPr>
      <w:r>
        <w:rPr>
          <w:rFonts w:ascii="Arial" w:cs="Arial" w:eastAsia="Arial" w:hAnsi="Arial"/>
          <w:sz w:val="11"/>
          <w:szCs w:val="11"/>
          <w:b w:val="1"/>
          <w:bCs w:val="1"/>
          <w:color w:val="auto"/>
        </w:rPr>
        <w:t xml:space="preserve">“Change in Control”: </w:t>
      </w:r>
      <w:r>
        <w:rPr>
          <w:rFonts w:ascii="Arial" w:cs="Arial" w:eastAsia="Arial" w:hAnsi="Arial"/>
          <w:sz w:val="11"/>
          <w:szCs w:val="11"/>
          <w:color w:val="auto"/>
        </w:rPr>
        <w:t>means the occurrence of any one of the following events:</w:t>
      </w:r>
    </w:p>
    <w:p>
      <w:pPr>
        <w:spacing w:after="0" w:line="12" w:lineRule="exact"/>
        <w:rPr>
          <w:sz w:val="20"/>
          <w:szCs w:val="20"/>
          <w:color w:val="auto"/>
        </w:rPr>
      </w:pPr>
    </w:p>
    <w:p>
      <w:pPr>
        <w:ind w:left="1980" w:right="1079" w:firstLine="286"/>
        <w:spacing w:after="0" w:line="245" w:lineRule="auto"/>
        <w:tabs>
          <w:tab w:leader="none" w:pos="2400" w:val="left"/>
        </w:tabs>
        <w:numPr>
          <w:ilvl w:val="0"/>
          <w:numId w:val="151"/>
        </w:numPr>
        <w:rPr>
          <w:rFonts w:ascii="Arial" w:cs="Arial" w:eastAsia="Arial" w:hAnsi="Arial"/>
          <w:sz w:val="11"/>
          <w:szCs w:val="11"/>
          <w:color w:val="auto"/>
        </w:rPr>
      </w:pPr>
      <w:r>
        <w:rPr>
          <w:rFonts w:ascii="Arial" w:cs="Arial" w:eastAsia="Arial" w:hAnsi="Arial"/>
          <w:sz w:val="11"/>
          <w:szCs w:val="11"/>
          <w:color w:val="auto"/>
        </w:rPr>
        <w:t>consummation of the sale of all or substantially all (at least 85%) of the assets of the Company to one or more individuals, entities, or groups (other than an Excluded Owner);</w:t>
      </w:r>
    </w:p>
    <w:p>
      <w:pPr>
        <w:spacing w:after="0" w:line="92" w:lineRule="exact"/>
        <w:rPr>
          <w:rFonts w:ascii="Arial" w:cs="Arial" w:eastAsia="Arial" w:hAnsi="Arial"/>
          <w:sz w:val="11"/>
          <w:szCs w:val="11"/>
          <w:color w:val="auto"/>
        </w:rPr>
      </w:pPr>
    </w:p>
    <w:p>
      <w:pPr>
        <w:ind w:left="1980" w:right="959" w:firstLine="286"/>
        <w:spacing w:after="0" w:line="293" w:lineRule="auto"/>
        <w:tabs>
          <w:tab w:leader="none" w:pos="2424" w:val="left"/>
        </w:tabs>
        <w:numPr>
          <w:ilvl w:val="0"/>
          <w:numId w:val="151"/>
        </w:numPr>
        <w:rPr>
          <w:rFonts w:ascii="Arial" w:cs="Arial" w:eastAsia="Arial" w:hAnsi="Arial"/>
          <w:sz w:val="10"/>
          <w:szCs w:val="10"/>
          <w:color w:val="auto"/>
        </w:rPr>
      </w:pPr>
      <w:r>
        <w:rPr>
          <w:rFonts w:ascii="Arial" w:cs="Arial" w:eastAsia="Arial" w:hAnsi="Arial"/>
          <w:sz w:val="10"/>
          <w:szCs w:val="10"/>
          <w:color w:val="auto"/>
        </w:rPr>
        <w:t>consummation of the acquisition or attainment of ownership by a person, entity, or group (other than an Excluded Owner) of more than 50% of the total voting power of the Company’s then-outstanding securities eligible to vote to elect members of the Board (</w:t>
      </w:r>
      <w:r>
        <w:rPr>
          <w:rFonts w:ascii="Arial" w:cs="Arial" w:eastAsia="Arial" w:hAnsi="Arial"/>
          <w:sz w:val="10"/>
          <w:szCs w:val="10"/>
          <w:b w:val="1"/>
          <w:bCs w:val="1"/>
          <w:color w:val="auto"/>
        </w:rPr>
        <w:t>“Company Voting Securities</w:t>
      </w:r>
      <w:r>
        <w:rPr>
          <w:rFonts w:ascii="Arial" w:cs="Arial" w:eastAsia="Arial" w:hAnsi="Arial"/>
          <w:sz w:val="10"/>
          <w:szCs w:val="10"/>
          <w:color w:val="auto"/>
        </w:rPr>
        <w:t>”);</w:t>
      </w:r>
    </w:p>
    <w:p>
      <w:pPr>
        <w:spacing w:after="0" w:line="70" w:lineRule="exact"/>
        <w:rPr>
          <w:rFonts w:ascii="Arial" w:cs="Arial" w:eastAsia="Arial" w:hAnsi="Arial"/>
          <w:sz w:val="10"/>
          <w:szCs w:val="10"/>
          <w:color w:val="auto"/>
        </w:rPr>
      </w:pPr>
    </w:p>
    <w:p>
      <w:pPr>
        <w:ind w:left="1980" w:right="879" w:firstLine="286"/>
        <w:spacing w:after="0"/>
        <w:tabs>
          <w:tab w:leader="none" w:pos="2448" w:val="left"/>
        </w:tabs>
        <w:numPr>
          <w:ilvl w:val="0"/>
          <w:numId w:val="151"/>
        </w:numPr>
        <w:rPr>
          <w:rFonts w:ascii="Arial" w:cs="Arial" w:eastAsia="Arial" w:hAnsi="Arial"/>
          <w:sz w:val="11"/>
          <w:szCs w:val="11"/>
          <w:color w:val="auto"/>
        </w:rPr>
      </w:pPr>
      <w:r>
        <w:rPr>
          <w:rFonts w:ascii="Arial" w:cs="Arial" w:eastAsia="Arial" w:hAnsi="Arial"/>
          <w:sz w:val="11"/>
          <w:szCs w:val="11"/>
          <w:color w:val="auto"/>
        </w:rPr>
        <w:t>consummation of a merger or consolidation of the Company with or into any other entity (other than an Excluded Owner) unless the holders of the Company Voting Securities outstanding immediately before such merger or consolidation, together with any trustee or other fiduciary holding securities under a Company benefit plan, hold securities that represent immediately after such merger or consolidation more than 50% of the combined voting power of the Company Voting Securities and the then outstanding voting securities of the other surviving entity or its ultimate parent, as applicable; or</w:t>
      </w:r>
    </w:p>
    <w:p>
      <w:pPr>
        <w:spacing w:after="0" w:line="75" w:lineRule="exact"/>
        <w:rPr>
          <w:rFonts w:ascii="Arial" w:cs="Arial" w:eastAsia="Arial" w:hAnsi="Arial"/>
          <w:sz w:val="11"/>
          <w:szCs w:val="11"/>
          <w:color w:val="auto"/>
        </w:rPr>
      </w:pPr>
    </w:p>
    <w:p>
      <w:pPr>
        <w:ind w:left="1980" w:right="979" w:firstLine="286"/>
        <w:spacing w:after="0" w:line="248" w:lineRule="auto"/>
        <w:tabs>
          <w:tab w:leader="none" w:pos="2454" w:val="left"/>
        </w:tabs>
        <w:numPr>
          <w:ilvl w:val="0"/>
          <w:numId w:val="151"/>
        </w:numPr>
        <w:rPr>
          <w:rFonts w:ascii="Arial" w:cs="Arial" w:eastAsia="Arial" w:hAnsi="Arial"/>
          <w:sz w:val="11"/>
          <w:szCs w:val="11"/>
          <w:color w:val="auto"/>
        </w:rPr>
      </w:pPr>
      <w:r>
        <w:rPr>
          <w:rFonts w:ascii="Arial" w:cs="Arial" w:eastAsia="Arial" w:hAnsi="Arial"/>
          <w:sz w:val="11"/>
          <w:szCs w:val="11"/>
          <w:color w:val="auto"/>
        </w:rPr>
        <w:t>individuals who constitute the Board on the date hereof (</w:t>
      </w:r>
      <w:r>
        <w:rPr>
          <w:rFonts w:ascii="Arial" w:cs="Arial" w:eastAsia="Arial" w:hAnsi="Arial"/>
          <w:sz w:val="11"/>
          <w:szCs w:val="11"/>
          <w:b w:val="1"/>
          <w:bCs w:val="1"/>
          <w:color w:val="auto"/>
        </w:rPr>
        <w:t>“Incumbent Directors</w:t>
      </w:r>
      <w:r>
        <w:rPr>
          <w:rFonts w:ascii="Arial" w:cs="Arial" w:eastAsia="Arial" w:hAnsi="Arial"/>
          <w:sz w:val="11"/>
          <w:szCs w:val="11"/>
          <w:color w:val="auto"/>
        </w:rPr>
        <w:t xml:space="preserve">”) cease for any reason during a twelve-month period to constitute at least a majority of the Board; </w:t>
      </w:r>
      <w:r>
        <w:rPr>
          <w:rFonts w:ascii="Arial" w:cs="Arial" w:eastAsia="Arial" w:hAnsi="Arial"/>
          <w:sz w:val="11"/>
          <w:szCs w:val="11"/>
          <w:i w:val="1"/>
          <w:iCs w:val="1"/>
          <w:color w:val="auto"/>
        </w:rPr>
        <w:t>provided</w:t>
      </w:r>
      <w:r>
        <w:rPr>
          <w:rFonts w:ascii="Arial" w:cs="Arial" w:eastAsia="Arial" w:hAnsi="Arial"/>
          <w:sz w:val="11"/>
          <w:szCs w:val="11"/>
          <w:color w:val="auto"/>
        </w:rPr>
        <w:t>, that any individual who becomes a member of the Board subsequent to the date hereof and whose election or nomination for election was approved by a vote of at least a majority of the Incumbent Directors shall be treated as an Incumbent Director unless he or she assumed office as a result of an actual or threatened election contest with respect to the election or removal of directors.</w:t>
      </w:r>
    </w:p>
    <w:p>
      <w:pPr>
        <w:spacing w:after="0" w:line="92" w:lineRule="exact"/>
        <w:rPr>
          <w:sz w:val="20"/>
          <w:szCs w:val="20"/>
          <w:color w:val="auto"/>
        </w:rPr>
      </w:pPr>
    </w:p>
    <w:p>
      <w:pPr>
        <w:ind w:left="1980" w:right="959" w:firstLine="294"/>
        <w:spacing w:after="0" w:line="242" w:lineRule="auto"/>
        <w:rPr>
          <w:sz w:val="20"/>
          <w:szCs w:val="20"/>
          <w:color w:val="auto"/>
        </w:rPr>
      </w:pPr>
      <w:r>
        <w:rPr>
          <w:rFonts w:ascii="Arial" w:cs="Arial" w:eastAsia="Arial" w:hAnsi="Arial"/>
          <w:sz w:val="11"/>
          <w:szCs w:val="11"/>
          <w:color w:val="auto"/>
        </w:rPr>
        <w:t xml:space="preserve">Notwithstanding the foregoing, where required to avoid extra taxation under Section 409A, a “Change in Control” must also constitute a change in control as defined in Code section 409A(2)(A)(v) and the regulations thereunder (a </w:t>
      </w:r>
      <w:r>
        <w:rPr>
          <w:rFonts w:ascii="Arial" w:cs="Arial" w:eastAsia="Arial" w:hAnsi="Arial"/>
          <w:sz w:val="11"/>
          <w:szCs w:val="11"/>
          <w:b w:val="1"/>
          <w:bCs w:val="1"/>
          <w:color w:val="auto"/>
        </w:rPr>
        <w:t>“Section 409A Change in Control”</w:t>
      </w:r>
      <w:r>
        <w:rPr>
          <w:rFonts w:ascii="Arial" w:cs="Arial" w:eastAsia="Arial" w:hAnsi="Arial"/>
          <w:sz w:val="11"/>
          <w:szCs w:val="11"/>
          <w:color w:val="auto"/>
        </w:rPr>
        <w:t>) unless the Administrator determines otherwise.</w:t>
      </w:r>
    </w:p>
    <w:p>
      <w:pPr>
        <w:spacing w:after="0" w:line="82" w:lineRule="exact"/>
        <w:rPr>
          <w:sz w:val="20"/>
          <w:szCs w:val="20"/>
          <w:color w:val="auto"/>
        </w:rPr>
      </w:pPr>
    </w:p>
    <w:p>
      <w:pPr>
        <w:ind w:left="1980" w:right="859" w:firstLine="294"/>
        <w:spacing w:after="0" w:line="246" w:lineRule="auto"/>
        <w:rPr>
          <w:sz w:val="20"/>
          <w:szCs w:val="20"/>
          <w:color w:val="auto"/>
        </w:rPr>
      </w:pPr>
      <w:r>
        <w:rPr>
          <w:rFonts w:ascii="Arial" w:cs="Arial" w:eastAsia="Arial" w:hAnsi="Arial"/>
          <w:sz w:val="11"/>
          <w:szCs w:val="11"/>
          <w:b w:val="1"/>
          <w:bCs w:val="1"/>
          <w:color w:val="auto"/>
        </w:rPr>
        <w:t xml:space="preserve">“CIC Price”: </w:t>
      </w:r>
      <w:r>
        <w:rPr>
          <w:rFonts w:ascii="Arial" w:cs="Arial" w:eastAsia="Arial" w:hAnsi="Arial"/>
          <w:sz w:val="11"/>
          <w:szCs w:val="11"/>
          <w:color w:val="auto"/>
        </w:rPr>
        <w:t>The higher of (i) the highest price paid for a share of the Stock in the transaction or series of transactions pursuant to which a Change</w:t>
      </w:r>
      <w:r>
        <w:rPr>
          <w:rFonts w:ascii="Arial" w:cs="Arial" w:eastAsia="Arial" w:hAnsi="Arial"/>
          <w:sz w:val="11"/>
          <w:szCs w:val="11"/>
          <w:b w:val="1"/>
          <w:bCs w:val="1"/>
          <w:color w:val="auto"/>
        </w:rPr>
        <w:t xml:space="preserve"> </w:t>
      </w:r>
      <w:r>
        <w:rPr>
          <w:rFonts w:ascii="Arial" w:cs="Arial" w:eastAsia="Arial" w:hAnsi="Arial"/>
          <w:sz w:val="11"/>
          <w:szCs w:val="11"/>
          <w:color w:val="auto"/>
        </w:rPr>
        <w:t>in Control shall have occurred, or (ii) the highest reported sales price of a share of the Stock during the 60 day period immediately preceding the date upon which the event constituting a Change in Control shall have occurred. To the extent that the consideration paid in any transaction or series of transactions described in (i) above consists in whole or in part of non-cash consideration, the value of such non-cash consideration shall be determined in the sole discretion of the Administrator.</w:t>
      </w:r>
    </w:p>
    <w:p>
      <w:pPr>
        <w:spacing w:after="0" w:line="72" w:lineRule="exact"/>
        <w:rPr>
          <w:sz w:val="20"/>
          <w:szCs w:val="20"/>
          <w:color w:val="auto"/>
        </w:rPr>
      </w:pPr>
    </w:p>
    <w:p>
      <w:pPr>
        <w:ind w:left="2260"/>
        <w:spacing w:after="0"/>
        <w:rPr>
          <w:sz w:val="20"/>
          <w:szCs w:val="20"/>
          <w:color w:val="auto"/>
        </w:rPr>
      </w:pPr>
      <w:r>
        <w:rPr>
          <w:rFonts w:ascii="Arial" w:cs="Arial" w:eastAsia="Arial" w:hAnsi="Arial"/>
          <w:sz w:val="11"/>
          <w:szCs w:val="11"/>
          <w:b w:val="1"/>
          <w:bCs w:val="1"/>
          <w:color w:val="auto"/>
        </w:rPr>
        <w:t xml:space="preserve">“Code”: </w:t>
      </w:r>
      <w:r>
        <w:rPr>
          <w:rFonts w:ascii="Arial" w:cs="Arial" w:eastAsia="Arial" w:hAnsi="Arial"/>
          <w:sz w:val="11"/>
          <w:szCs w:val="11"/>
          <w:color w:val="auto"/>
        </w:rPr>
        <w:t>The U.S. Internal Revenue Code of 1986 as from time to time amended and in effect, or any successor statute as from time to time in</w:t>
      </w:r>
    </w:p>
    <w:p>
      <w:pPr>
        <w:spacing w:after="0" w:line="1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effect.</w:t>
      </w:r>
    </w:p>
    <w:p>
      <w:pPr>
        <w:spacing w:after="0" w:line="87" w:lineRule="exact"/>
        <w:rPr>
          <w:sz w:val="20"/>
          <w:szCs w:val="20"/>
          <w:color w:val="auto"/>
        </w:rPr>
      </w:pPr>
    </w:p>
    <w:p>
      <w:pPr>
        <w:ind w:left="2260"/>
        <w:spacing w:after="0"/>
        <w:rPr>
          <w:sz w:val="20"/>
          <w:szCs w:val="20"/>
          <w:color w:val="auto"/>
        </w:rPr>
      </w:pPr>
      <w:r>
        <w:rPr>
          <w:rFonts w:ascii="Arial" w:cs="Arial" w:eastAsia="Arial" w:hAnsi="Arial"/>
          <w:sz w:val="11"/>
          <w:szCs w:val="11"/>
          <w:b w:val="1"/>
          <w:bCs w:val="1"/>
          <w:color w:val="auto"/>
        </w:rPr>
        <w:t xml:space="preserve">“Committee”: </w:t>
      </w:r>
      <w:r>
        <w:rPr>
          <w:rFonts w:ascii="Arial" w:cs="Arial" w:eastAsia="Arial" w:hAnsi="Arial"/>
          <w:sz w:val="11"/>
          <w:szCs w:val="11"/>
          <w:color w:val="auto"/>
        </w:rPr>
        <w:t>One or more committees of the Board meeting any applicable legal and other requirements.</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1"/>
          <w:szCs w:val="11"/>
          <w:b w:val="1"/>
          <w:bCs w:val="1"/>
          <w:color w:val="auto"/>
        </w:rPr>
        <w:t xml:space="preserve">“Company”: </w:t>
      </w:r>
      <w:r>
        <w:rPr>
          <w:rFonts w:ascii="Arial" w:cs="Arial" w:eastAsia="Arial" w:hAnsi="Arial"/>
          <w:sz w:val="11"/>
          <w:szCs w:val="11"/>
          <w:color w:val="auto"/>
        </w:rPr>
        <w:t>Hasbro, Inc.</w:t>
      </w:r>
    </w:p>
    <w:p>
      <w:pPr>
        <w:spacing w:after="0" w:line="9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Deferred Stock”:</w:t>
      </w:r>
      <w:r>
        <w:rPr>
          <w:rFonts w:ascii="Arial" w:cs="Arial" w:eastAsia="Arial" w:hAnsi="Arial"/>
          <w:sz w:val="11"/>
          <w:szCs w:val="11"/>
          <w:color w:val="auto"/>
        </w:rPr>
        <w:t xml:space="preserve"> An unfunded and unsecured promise to deliver Stock or other securities in the future on specified terms.</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1"/>
          <w:szCs w:val="11"/>
          <w:b w:val="1"/>
          <w:bCs w:val="1"/>
          <w:color w:val="auto"/>
        </w:rPr>
        <w:t xml:space="preserve">“Employee”: </w:t>
      </w:r>
      <w:r>
        <w:rPr>
          <w:rFonts w:ascii="Arial" w:cs="Arial" w:eastAsia="Arial" w:hAnsi="Arial"/>
          <w:sz w:val="11"/>
          <w:szCs w:val="11"/>
          <w:color w:val="auto"/>
        </w:rPr>
        <w:t>Any person who has an Employment relationship with the Company or an Affiliate.</w:t>
      </w:r>
    </w:p>
    <w:p>
      <w:pPr>
        <w:spacing w:after="0" w:line="99" w:lineRule="exact"/>
        <w:rPr>
          <w:sz w:val="20"/>
          <w:szCs w:val="20"/>
          <w:color w:val="auto"/>
        </w:rPr>
      </w:pPr>
    </w:p>
    <w:p>
      <w:pPr>
        <w:ind w:left="1980" w:right="839" w:firstLine="294"/>
        <w:spacing w:after="0" w:line="244" w:lineRule="auto"/>
        <w:rPr>
          <w:sz w:val="20"/>
          <w:szCs w:val="20"/>
          <w:color w:val="auto"/>
        </w:rPr>
      </w:pPr>
      <w:r>
        <w:rPr>
          <w:rFonts w:ascii="Arial" w:cs="Arial" w:eastAsia="Arial" w:hAnsi="Arial"/>
          <w:sz w:val="11"/>
          <w:szCs w:val="11"/>
          <w:b w:val="1"/>
          <w:bCs w:val="1"/>
          <w:color w:val="auto"/>
        </w:rPr>
        <w:t xml:space="preserve">“Employment”: </w:t>
      </w:r>
      <w:r>
        <w:rPr>
          <w:rFonts w:ascii="Arial" w:cs="Arial" w:eastAsia="Arial" w:hAnsi="Arial"/>
          <w:sz w:val="11"/>
          <w:szCs w:val="11"/>
          <w:color w:val="auto"/>
        </w:rPr>
        <w:t>A Participant’s employment or other service relationship with the Company and/or its Affiliates. Employment will be deemed to</w:t>
      </w:r>
      <w:r>
        <w:rPr>
          <w:rFonts w:ascii="Arial" w:cs="Arial" w:eastAsia="Arial" w:hAnsi="Arial"/>
          <w:sz w:val="11"/>
          <w:szCs w:val="11"/>
          <w:b w:val="1"/>
          <w:bCs w:val="1"/>
          <w:color w:val="auto"/>
        </w:rPr>
        <w:t xml:space="preserve"> </w:t>
      </w:r>
      <w:r>
        <w:rPr>
          <w:rFonts w:ascii="Arial" w:cs="Arial" w:eastAsia="Arial" w:hAnsi="Arial"/>
          <w:sz w:val="11"/>
          <w:szCs w:val="11"/>
          <w:color w:val="auto"/>
        </w:rPr>
        <w:t>continue, unless the Administrator expressly provides otherwise, so long as the Participant is employed by, or otherwise is providing services in a capacity described in the instructions to Form S-8 promulgated by the Securities and Exchange Commission to the Company or any of its Affiliates.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w:t>
      </w:r>
    </w:p>
    <w:p>
      <w:pPr>
        <w:spacing w:after="0" w:line="74" w:lineRule="exact"/>
        <w:rPr>
          <w:sz w:val="20"/>
          <w:szCs w:val="20"/>
          <w:color w:val="auto"/>
        </w:rPr>
      </w:pPr>
    </w:p>
    <w:p>
      <w:pPr>
        <w:ind w:left="1980" w:right="859" w:firstLine="294"/>
        <w:spacing w:after="0" w:line="248" w:lineRule="auto"/>
        <w:rPr>
          <w:sz w:val="20"/>
          <w:szCs w:val="20"/>
          <w:color w:val="auto"/>
        </w:rPr>
      </w:pPr>
      <w:r>
        <w:rPr>
          <w:rFonts w:ascii="Arial" w:cs="Arial" w:eastAsia="Arial" w:hAnsi="Arial"/>
          <w:sz w:val="11"/>
          <w:szCs w:val="11"/>
          <w:b w:val="1"/>
          <w:bCs w:val="1"/>
          <w:color w:val="auto"/>
        </w:rPr>
        <w:t xml:space="preserve">“Excluded Owner”: </w:t>
      </w:r>
      <w:r>
        <w:rPr>
          <w:rFonts w:ascii="Arial" w:cs="Arial" w:eastAsia="Arial" w:hAnsi="Arial"/>
          <w:sz w:val="11"/>
          <w:szCs w:val="11"/>
          <w:color w:val="auto"/>
        </w:rPr>
        <w:t>consists of (i) the Company, (ii) any entity in which the Company holds, directly or indirectly, stock or other ownership interests</w:t>
      </w:r>
      <w:r>
        <w:rPr>
          <w:rFonts w:ascii="Arial" w:cs="Arial" w:eastAsia="Arial" w:hAnsi="Arial"/>
          <w:sz w:val="11"/>
          <w:szCs w:val="11"/>
          <w:b w:val="1"/>
          <w:bCs w:val="1"/>
          <w:color w:val="auto"/>
        </w:rPr>
        <w:t xml:space="preserve"> </w:t>
      </w:r>
      <w:r>
        <w:rPr>
          <w:rFonts w:ascii="Arial" w:cs="Arial" w:eastAsia="Arial" w:hAnsi="Arial"/>
          <w:sz w:val="11"/>
          <w:szCs w:val="11"/>
          <w:color w:val="auto"/>
        </w:rPr>
        <w:t>representing at least 50% of the voting power of all outstanding stock or ownership interests of such entity, (iii) any entity that holds, directly or indirectly, stock or other ownership interests representing at least 50% of the voting power of all stock or ownership interests of the Company, (iv) any Company benefit plan, and (v) any underwriter temporarily holding securities for an offering of such securities.”</w:t>
      </w:r>
    </w:p>
    <w:p>
      <w:pPr>
        <w:spacing w:after="0" w:line="80" w:lineRule="exact"/>
        <w:rPr>
          <w:sz w:val="20"/>
          <w:szCs w:val="20"/>
          <w:color w:val="auto"/>
        </w:rPr>
      </w:pPr>
    </w:p>
    <w:p>
      <w:pPr>
        <w:ind w:left="1980" w:right="979" w:firstLine="294"/>
        <w:spacing w:after="0" w:line="248" w:lineRule="auto"/>
        <w:rPr>
          <w:sz w:val="20"/>
          <w:szCs w:val="20"/>
          <w:color w:val="auto"/>
        </w:rPr>
      </w:pPr>
      <w:r>
        <w:rPr>
          <w:rFonts w:ascii="Arial" w:cs="Arial" w:eastAsia="Arial" w:hAnsi="Arial"/>
          <w:sz w:val="11"/>
          <w:szCs w:val="11"/>
          <w:b w:val="1"/>
          <w:bCs w:val="1"/>
          <w:color w:val="auto"/>
        </w:rPr>
        <w:t xml:space="preserve">“Fair Market Value”: </w:t>
      </w:r>
      <w:r>
        <w:rPr>
          <w:rFonts w:ascii="Arial" w:cs="Arial" w:eastAsia="Arial" w:hAnsi="Arial"/>
          <w:sz w:val="11"/>
          <w:szCs w:val="11"/>
          <w:color w:val="auto"/>
        </w:rPr>
        <w:t>The average of the high and low sales prices of the Stock as reported in The Wall Street Journal for New York Stock</w:t>
      </w:r>
      <w:r>
        <w:rPr>
          <w:rFonts w:ascii="Arial" w:cs="Arial" w:eastAsia="Arial" w:hAnsi="Arial"/>
          <w:sz w:val="11"/>
          <w:szCs w:val="11"/>
          <w:b w:val="1"/>
          <w:bCs w:val="1"/>
          <w:color w:val="auto"/>
        </w:rPr>
        <w:t xml:space="preserve"> </w:t>
      </w:r>
      <w:r>
        <w:rPr>
          <w:rFonts w:ascii="Arial" w:cs="Arial" w:eastAsia="Arial" w:hAnsi="Arial"/>
          <w:sz w:val="11"/>
          <w:szCs w:val="11"/>
          <w:color w:val="auto"/>
        </w:rPr>
        <w:t>Exchange Transactions or similar successor consolidated transactions reports for the relevant date (or the comparable consolidated transaction reports for any other national securities exchange or NASDAQ National Market Issues, if the Stock is admitted for trading or quotation on said exchange or market), or,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57785</wp:posOffset>
            </wp:positionV>
            <wp:extent cx="3971925" cy="21717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1" w:lineRule="exact"/>
        <w:rPr>
          <w:sz w:val="20"/>
          <w:szCs w:val="20"/>
          <w:color w:val="auto"/>
        </w:rPr>
      </w:pPr>
    </w:p>
    <w:p>
      <w:pPr>
        <w:ind w:left="2040"/>
        <w:spacing w:after="0"/>
        <w:rPr>
          <w:sz w:val="20"/>
          <w:szCs w:val="20"/>
          <w:color w:val="auto"/>
        </w:rPr>
      </w:pPr>
      <w:r>
        <w:rPr>
          <w:rFonts w:ascii="Arial" w:cs="Arial" w:eastAsia="Arial" w:hAnsi="Arial"/>
          <w:sz w:val="11"/>
          <w:szCs w:val="11"/>
          <w:b w:val="1"/>
          <w:bCs w:val="1"/>
          <w:color w:val="FCFCFC"/>
        </w:rPr>
        <w:t>D-11</w:t>
      </w:r>
    </w:p>
    <w:p>
      <w:pPr>
        <w:sectPr>
          <w:pgSz w:w="11900" w:h="16838" w:orient="portrait"/>
          <w:cols w:equalWidth="0" w:num="1">
            <w:col w:w="10159"/>
          </w:cols>
          <w:pgMar w:left="300" w:top="372" w:right="1440" w:bottom="1440" w:gutter="0" w:footer="0" w:header="0"/>
        </w:sectPr>
      </w:pPr>
    </w:p>
    <w:bookmarkStart w:id="143" w:name="page144"/>
    <w:bookmarkEnd w:id="14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859"/>
        <w:spacing w:after="0" w:line="266" w:lineRule="auto"/>
        <w:rPr>
          <w:sz w:val="20"/>
          <w:szCs w:val="20"/>
          <w:color w:val="auto"/>
        </w:rPr>
      </w:pPr>
      <w:r>
        <w:rPr>
          <w:rFonts w:ascii="Arial" w:cs="Arial" w:eastAsia="Arial" w:hAnsi="Arial"/>
          <w:sz w:val="10"/>
          <w:szCs w:val="10"/>
          <w:color w:val="auto"/>
        </w:rPr>
        <w:t>no sales of the Stock were made on said exchange or market on that date, the average of the high and low prices of the Stock as reported in said composite transactions report for the preceding day on which sales of the Stock were made on said exchange or market. If the Stock is not then trading on an exchange or quoted in NASDAQ National Market Issues, then Fair Market Value shall be the mean between the bid and asked prices for the relevant over-the-counter transaction on such date or the preceding day on which sales of Stock were made over-the-counter, or if there are not such transactions, Fair Market Value shall be determined in good faith by the Administrator. Notwithstanding the foregoing, for purposes of valuing Stock delivered to the Company by a Participant in payment of the exercise price of a Stock Option or Stock delivered or withheld in payment of applicable tax withholding, if the Participant sells, on a national securities exchange, or on NASDAQ or over-the-counter, the Stock acquired on the same day as the date of exercise, the Administrator shall have the discretion to deem the per share Fair Market Value of the Stock so delivered or withheld to be the actual sales price per share of the Stock so sold. Under no circumstances shall Fair Market Value be less than the par value of the Stock.</w:t>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11"/>
          <w:szCs w:val="11"/>
          <w:b w:val="1"/>
          <w:bCs w:val="1"/>
          <w:color w:val="auto"/>
        </w:rPr>
        <w:t xml:space="preserve">“Good Reason”: </w:t>
      </w:r>
      <w:r>
        <w:rPr>
          <w:rFonts w:ascii="Arial" w:cs="Arial" w:eastAsia="Arial" w:hAnsi="Arial"/>
          <w:sz w:val="11"/>
          <w:szCs w:val="11"/>
          <w:color w:val="auto"/>
        </w:rPr>
        <w:t>means, without the Participant’s written consent, the occurrence of any of the following events or actions during the twenty four</w:t>
      </w:r>
    </w:p>
    <w:p>
      <w:pPr>
        <w:spacing w:after="0" w:line="12" w:lineRule="exact"/>
        <w:rPr>
          <w:sz w:val="20"/>
          <w:szCs w:val="20"/>
          <w:color w:val="auto"/>
        </w:rPr>
      </w:pPr>
    </w:p>
    <w:p>
      <w:pPr>
        <w:ind w:left="2200" w:hanging="228"/>
        <w:spacing w:after="0"/>
        <w:tabs>
          <w:tab w:leader="none" w:pos="2200" w:val="left"/>
        </w:tabs>
        <w:numPr>
          <w:ilvl w:val="0"/>
          <w:numId w:val="152"/>
        </w:numPr>
        <w:rPr>
          <w:rFonts w:ascii="Arial" w:cs="Arial" w:eastAsia="Arial" w:hAnsi="Arial"/>
          <w:sz w:val="11"/>
          <w:szCs w:val="11"/>
          <w:color w:val="auto"/>
        </w:rPr>
      </w:pPr>
      <w:r>
        <w:rPr>
          <w:rFonts w:ascii="Arial" w:cs="Arial" w:eastAsia="Arial" w:hAnsi="Arial"/>
          <w:sz w:val="11"/>
          <w:szCs w:val="11"/>
          <w:color w:val="auto"/>
        </w:rPr>
        <w:t>months following a Change in Control:</w:t>
      </w:r>
    </w:p>
    <w:p>
      <w:pPr>
        <w:spacing w:after="0" w:line="98" w:lineRule="exact"/>
        <w:rPr>
          <w:rFonts w:ascii="Arial" w:cs="Arial" w:eastAsia="Arial" w:hAnsi="Arial"/>
          <w:sz w:val="11"/>
          <w:szCs w:val="11"/>
          <w:color w:val="auto"/>
        </w:rPr>
      </w:pPr>
    </w:p>
    <w:p>
      <w:pPr>
        <w:ind w:left="1980" w:right="1039" w:firstLine="286"/>
        <w:spacing w:after="0" w:line="245" w:lineRule="auto"/>
        <w:tabs>
          <w:tab w:leader="none" w:pos="2400" w:val="left"/>
        </w:tabs>
        <w:numPr>
          <w:ilvl w:val="1"/>
          <w:numId w:val="152"/>
        </w:numPr>
        <w:rPr>
          <w:rFonts w:ascii="Arial" w:cs="Arial" w:eastAsia="Arial" w:hAnsi="Arial"/>
          <w:sz w:val="11"/>
          <w:szCs w:val="11"/>
          <w:color w:val="auto"/>
        </w:rPr>
      </w:pPr>
      <w:r>
        <w:rPr>
          <w:rFonts w:ascii="Arial" w:cs="Arial" w:eastAsia="Arial" w:hAnsi="Arial"/>
          <w:sz w:val="11"/>
          <w:szCs w:val="11"/>
          <w:color w:val="auto"/>
        </w:rPr>
        <w:t>a material reduction in the aggregate amount of Participant’s base compensation in effect immediately preceding the Change in Control other than in connection with a general reduction that is also applied to other similarly situated employees;</w:t>
      </w:r>
    </w:p>
    <w:p>
      <w:pPr>
        <w:spacing w:after="0" w:line="83" w:lineRule="exact"/>
        <w:rPr>
          <w:rFonts w:ascii="Arial" w:cs="Arial" w:eastAsia="Arial" w:hAnsi="Arial"/>
          <w:sz w:val="11"/>
          <w:szCs w:val="11"/>
          <w:color w:val="auto"/>
        </w:rPr>
      </w:pPr>
    </w:p>
    <w:p>
      <w:pPr>
        <w:ind w:left="1980" w:right="1079" w:firstLine="286"/>
        <w:spacing w:after="0" w:line="242" w:lineRule="auto"/>
        <w:tabs>
          <w:tab w:leader="none" w:pos="2424" w:val="left"/>
        </w:tabs>
        <w:numPr>
          <w:ilvl w:val="1"/>
          <w:numId w:val="152"/>
        </w:numPr>
        <w:rPr>
          <w:rFonts w:ascii="Arial" w:cs="Arial" w:eastAsia="Arial" w:hAnsi="Arial"/>
          <w:sz w:val="11"/>
          <w:szCs w:val="11"/>
          <w:color w:val="auto"/>
        </w:rPr>
      </w:pPr>
      <w:r>
        <w:rPr>
          <w:rFonts w:ascii="Arial" w:cs="Arial" w:eastAsia="Arial" w:hAnsi="Arial"/>
          <w:sz w:val="11"/>
          <w:szCs w:val="11"/>
          <w:color w:val="auto"/>
        </w:rPr>
        <w:t>a material reduction in the Participant’s position or reporting status in effect immediately prior to the Change in Control, or any material diminution in the Participant’s duties, responsibilities, powers or authorities relative to the Participant’s duties, responsibilities, powers or authorities in effect immediately prior to the Change in Control;</w:t>
      </w:r>
    </w:p>
    <w:p>
      <w:pPr>
        <w:spacing w:after="0" w:line="94" w:lineRule="exact"/>
        <w:rPr>
          <w:rFonts w:ascii="Arial" w:cs="Arial" w:eastAsia="Arial" w:hAnsi="Arial"/>
          <w:sz w:val="11"/>
          <w:szCs w:val="11"/>
          <w:color w:val="auto"/>
        </w:rPr>
      </w:pPr>
    </w:p>
    <w:p>
      <w:pPr>
        <w:ind w:left="2440" w:hanging="174"/>
        <w:spacing w:after="0"/>
        <w:tabs>
          <w:tab w:leader="none" w:pos="2440" w:val="left"/>
        </w:tabs>
        <w:numPr>
          <w:ilvl w:val="1"/>
          <w:numId w:val="152"/>
        </w:numPr>
        <w:rPr>
          <w:rFonts w:ascii="Arial" w:cs="Arial" w:eastAsia="Arial" w:hAnsi="Arial"/>
          <w:sz w:val="11"/>
          <w:szCs w:val="11"/>
          <w:color w:val="auto"/>
        </w:rPr>
      </w:pPr>
      <w:r>
        <w:rPr>
          <w:rFonts w:ascii="Arial" w:cs="Arial" w:eastAsia="Arial" w:hAnsi="Arial"/>
          <w:sz w:val="11"/>
          <w:szCs w:val="11"/>
          <w:color w:val="auto"/>
        </w:rPr>
        <w:t>any relocation of the Participant’s principal place of employment by more than 50 miles; or</w:t>
      </w:r>
    </w:p>
    <w:p>
      <w:pPr>
        <w:spacing w:after="0" w:line="98" w:lineRule="exact"/>
        <w:rPr>
          <w:rFonts w:ascii="Arial" w:cs="Arial" w:eastAsia="Arial" w:hAnsi="Arial"/>
          <w:sz w:val="11"/>
          <w:szCs w:val="11"/>
          <w:color w:val="auto"/>
        </w:rPr>
      </w:pPr>
    </w:p>
    <w:p>
      <w:pPr>
        <w:ind w:left="1980" w:right="1019" w:firstLine="286"/>
        <w:spacing w:after="0" w:line="245" w:lineRule="auto"/>
        <w:tabs>
          <w:tab w:leader="none" w:pos="2454" w:val="left"/>
        </w:tabs>
        <w:numPr>
          <w:ilvl w:val="1"/>
          <w:numId w:val="152"/>
        </w:numPr>
        <w:rPr>
          <w:rFonts w:ascii="Arial" w:cs="Arial" w:eastAsia="Arial" w:hAnsi="Arial"/>
          <w:sz w:val="11"/>
          <w:szCs w:val="11"/>
          <w:color w:val="auto"/>
        </w:rPr>
      </w:pPr>
      <w:r>
        <w:rPr>
          <w:rFonts w:ascii="Arial" w:cs="Arial" w:eastAsia="Arial" w:hAnsi="Arial"/>
          <w:sz w:val="11"/>
          <w:szCs w:val="11"/>
          <w:color w:val="auto"/>
        </w:rPr>
        <w:t>a material breach by the Company or any successor of any material provision of an employment agreement or other agreement under which the Participant provides services to the Company.</w:t>
      </w:r>
    </w:p>
    <w:p>
      <w:pPr>
        <w:spacing w:after="0" w:line="84" w:lineRule="exact"/>
        <w:rPr>
          <w:sz w:val="20"/>
          <w:szCs w:val="20"/>
          <w:color w:val="auto"/>
        </w:rPr>
      </w:pPr>
    </w:p>
    <w:p>
      <w:pPr>
        <w:ind w:left="1980" w:right="919" w:firstLine="294"/>
        <w:spacing w:after="0"/>
        <w:rPr>
          <w:sz w:val="20"/>
          <w:szCs w:val="20"/>
          <w:color w:val="auto"/>
        </w:rPr>
      </w:pPr>
      <w:r>
        <w:rPr>
          <w:rFonts w:ascii="Arial" w:cs="Arial" w:eastAsia="Arial" w:hAnsi="Arial"/>
          <w:sz w:val="11"/>
          <w:szCs w:val="11"/>
          <w:color w:val="auto"/>
        </w:rPr>
        <w:t>No resignation will be treated as resignation for Good Reason unless (1) the Participant has given written notice to the Company of his or her intention to terminate his or her employment for Good Reason, describing the grounds for such action, no later than sixty (60) days after the first occurrence of such circumstances, (2) the Participant has provided the Company with at least thirty (30) days in which to cure the circumstances giving rise to the Good Reason, and (3) provided that the Company is not successful in curing the circumstance giving rise to the Good Reason, the Participant ends his or her employment within 180 days following the end of the cure period.”</w:t>
      </w:r>
    </w:p>
    <w:p>
      <w:pPr>
        <w:spacing w:after="0" w:line="85" w:lineRule="exact"/>
        <w:rPr>
          <w:sz w:val="20"/>
          <w:szCs w:val="20"/>
          <w:color w:val="auto"/>
        </w:rPr>
      </w:pPr>
    </w:p>
    <w:p>
      <w:pPr>
        <w:ind w:left="1980" w:right="879" w:firstLine="294"/>
        <w:spacing w:after="0" w:line="318" w:lineRule="auto"/>
        <w:rPr>
          <w:sz w:val="20"/>
          <w:szCs w:val="20"/>
          <w:color w:val="auto"/>
        </w:rPr>
      </w:pPr>
      <w:r>
        <w:rPr>
          <w:rFonts w:ascii="Arial" w:cs="Arial" w:eastAsia="Arial" w:hAnsi="Arial"/>
          <w:sz w:val="10"/>
          <w:szCs w:val="10"/>
          <w:b w:val="1"/>
          <w:bCs w:val="1"/>
          <w:color w:val="auto"/>
        </w:rPr>
        <w:t xml:space="preserve">“ISO”: </w:t>
      </w:r>
      <w:r>
        <w:rPr>
          <w:rFonts w:ascii="Arial" w:cs="Arial" w:eastAsia="Arial" w:hAnsi="Arial"/>
          <w:sz w:val="10"/>
          <w:szCs w:val="10"/>
          <w:color w:val="auto"/>
        </w:rPr>
        <w:t>A Stock Option intended to be an “incentive stock option” within the meaning of Section 422 of the Code. Each option granted pursuant to</w:t>
      </w:r>
      <w:r>
        <w:rPr>
          <w:rFonts w:ascii="Arial" w:cs="Arial" w:eastAsia="Arial" w:hAnsi="Arial"/>
          <w:sz w:val="10"/>
          <w:szCs w:val="10"/>
          <w:b w:val="1"/>
          <w:bCs w:val="1"/>
          <w:color w:val="auto"/>
        </w:rPr>
        <w:t xml:space="preserve"> </w:t>
      </w:r>
      <w:r>
        <w:rPr>
          <w:rFonts w:ascii="Arial" w:cs="Arial" w:eastAsia="Arial" w:hAnsi="Arial"/>
          <w:sz w:val="10"/>
          <w:szCs w:val="10"/>
          <w:color w:val="auto"/>
        </w:rPr>
        <w:t>the Plan will be treated as providing by its terms that it is to be a non-incentive option unless, as of the date of grant, it is expressly designated as an ISO.</w:t>
      </w:r>
    </w:p>
    <w:p>
      <w:pPr>
        <w:spacing w:after="0" w:line="46" w:lineRule="exact"/>
        <w:rPr>
          <w:sz w:val="20"/>
          <w:szCs w:val="20"/>
          <w:color w:val="auto"/>
        </w:rPr>
      </w:pPr>
    </w:p>
    <w:p>
      <w:pPr>
        <w:ind w:left="2260"/>
        <w:spacing w:after="0"/>
        <w:rPr>
          <w:sz w:val="20"/>
          <w:szCs w:val="20"/>
          <w:color w:val="auto"/>
        </w:rPr>
      </w:pPr>
      <w:r>
        <w:rPr>
          <w:rFonts w:ascii="Arial" w:cs="Arial" w:eastAsia="Arial" w:hAnsi="Arial"/>
          <w:sz w:val="11"/>
          <w:szCs w:val="11"/>
          <w:b w:val="1"/>
          <w:bCs w:val="1"/>
          <w:color w:val="auto"/>
        </w:rPr>
        <w:t xml:space="preserve">“Participant”: </w:t>
      </w:r>
      <w:r>
        <w:rPr>
          <w:rFonts w:ascii="Arial" w:cs="Arial" w:eastAsia="Arial" w:hAnsi="Arial"/>
          <w:sz w:val="11"/>
          <w:szCs w:val="11"/>
          <w:color w:val="auto"/>
        </w:rPr>
        <w:t>A person who is granted an Award under the Plan.</w:t>
      </w:r>
    </w:p>
    <w:p>
      <w:pPr>
        <w:spacing w:after="0" w:line="90" w:lineRule="exact"/>
        <w:rPr>
          <w:sz w:val="20"/>
          <w:szCs w:val="20"/>
          <w:color w:val="auto"/>
        </w:rPr>
      </w:pPr>
    </w:p>
    <w:p>
      <w:pPr>
        <w:ind w:left="1980" w:right="879" w:firstLine="294"/>
        <w:spacing w:after="0" w:line="268" w:lineRule="auto"/>
        <w:rPr>
          <w:sz w:val="20"/>
          <w:szCs w:val="20"/>
          <w:color w:val="auto"/>
        </w:rPr>
      </w:pPr>
      <w:r>
        <w:rPr>
          <w:rFonts w:ascii="Arial" w:cs="Arial" w:eastAsia="Arial" w:hAnsi="Arial"/>
          <w:sz w:val="11"/>
          <w:szCs w:val="11"/>
          <w:b w:val="1"/>
          <w:bCs w:val="1"/>
          <w:color w:val="auto"/>
        </w:rPr>
        <w:t xml:space="preserve">“Payout Fair Market Value”: </w:t>
      </w:r>
      <w:r>
        <w:rPr>
          <w:rFonts w:ascii="Arial" w:cs="Arial" w:eastAsia="Arial" w:hAnsi="Arial"/>
          <w:sz w:val="11"/>
          <w:szCs w:val="11"/>
          <w:color w:val="auto"/>
        </w:rPr>
        <w:t>The average of the Fair Market Values of the Stock for the ten trading days immediately preceding the date on which</w:t>
      </w:r>
      <w:r>
        <w:rPr>
          <w:rFonts w:ascii="Arial" w:cs="Arial" w:eastAsia="Arial" w:hAnsi="Arial"/>
          <w:sz w:val="11"/>
          <w:szCs w:val="11"/>
          <w:b w:val="1"/>
          <w:bCs w:val="1"/>
          <w:color w:val="auto"/>
        </w:rPr>
        <w:t xml:space="preserve"> </w:t>
      </w:r>
      <w:r>
        <w:rPr>
          <w:rFonts w:ascii="Arial" w:cs="Arial" w:eastAsia="Arial" w:hAnsi="Arial"/>
          <w:sz w:val="11"/>
          <w:szCs w:val="11"/>
          <w:color w:val="auto"/>
        </w:rPr>
        <w:t>the Change in Control shall have occurred.</w:t>
      </w:r>
    </w:p>
    <w:p>
      <w:pPr>
        <w:spacing w:after="0" w:line="69" w:lineRule="exact"/>
        <w:rPr>
          <w:sz w:val="20"/>
          <w:szCs w:val="20"/>
          <w:color w:val="auto"/>
        </w:rPr>
      </w:pPr>
    </w:p>
    <w:p>
      <w:pPr>
        <w:jc w:val="center"/>
        <w:ind w:right="-1160"/>
        <w:spacing w:after="0"/>
        <w:rPr>
          <w:sz w:val="20"/>
          <w:szCs w:val="20"/>
          <w:color w:val="auto"/>
        </w:rPr>
      </w:pPr>
      <w:r>
        <w:rPr>
          <w:rFonts w:ascii="Arial" w:cs="Arial" w:eastAsia="Arial" w:hAnsi="Arial"/>
          <w:sz w:val="11"/>
          <w:szCs w:val="11"/>
          <w:b w:val="1"/>
          <w:bCs w:val="1"/>
          <w:color w:val="auto"/>
        </w:rPr>
        <w:t xml:space="preserve">“Performance Award”: </w:t>
      </w:r>
      <w:r>
        <w:rPr>
          <w:rFonts w:ascii="Arial" w:cs="Arial" w:eastAsia="Arial" w:hAnsi="Arial"/>
          <w:sz w:val="11"/>
          <w:szCs w:val="11"/>
          <w:color w:val="auto"/>
        </w:rPr>
        <w:t>An Award subject to Performance Criteria. The Administrator in its discretion may grant Performance Awards that are</w:t>
      </w:r>
    </w:p>
    <w:p>
      <w:pPr>
        <w:spacing w:after="0" w:line="12" w:lineRule="exact"/>
        <w:rPr>
          <w:sz w:val="20"/>
          <w:szCs w:val="20"/>
          <w:color w:val="auto"/>
        </w:rPr>
      </w:pPr>
    </w:p>
    <w:p>
      <w:pPr>
        <w:jc w:val="center"/>
        <w:ind w:right="-1140"/>
        <w:spacing w:after="0"/>
        <w:rPr>
          <w:sz w:val="20"/>
          <w:szCs w:val="20"/>
          <w:color w:val="auto"/>
        </w:rPr>
      </w:pPr>
      <w:r>
        <w:rPr>
          <w:rFonts w:ascii="Arial" w:cs="Arial" w:eastAsia="Arial" w:hAnsi="Arial"/>
          <w:sz w:val="10"/>
          <w:szCs w:val="10"/>
          <w:color w:val="auto"/>
        </w:rPr>
        <w:t>intended to qualify for the performance-based compensation exception under Section 162(m) and Performance Awards that are not intended so to qualify.</w:t>
      </w:r>
    </w:p>
    <w:p>
      <w:pPr>
        <w:spacing w:after="0" w:line="98" w:lineRule="exact"/>
        <w:rPr>
          <w:sz w:val="20"/>
          <w:szCs w:val="20"/>
          <w:color w:val="auto"/>
        </w:rPr>
      </w:pPr>
    </w:p>
    <w:p>
      <w:pPr>
        <w:ind w:left="1980" w:right="879" w:firstLine="294"/>
        <w:spacing w:after="0" w:line="242" w:lineRule="auto"/>
        <w:rPr>
          <w:sz w:val="20"/>
          <w:szCs w:val="20"/>
          <w:color w:val="auto"/>
        </w:rPr>
      </w:pPr>
      <w:r>
        <w:rPr>
          <w:rFonts w:ascii="Arial" w:cs="Arial" w:eastAsia="Arial" w:hAnsi="Arial"/>
          <w:sz w:val="11"/>
          <w:szCs w:val="11"/>
          <w:b w:val="1"/>
          <w:bCs w:val="1"/>
          <w:color w:val="auto"/>
        </w:rPr>
        <w:t xml:space="preserve">“Performance Criteria”: </w:t>
      </w:r>
      <w:r>
        <w:rPr>
          <w:rFonts w:ascii="Arial" w:cs="Arial" w:eastAsia="Arial" w:hAnsi="Arial"/>
          <w:sz w:val="11"/>
          <w:szCs w:val="11"/>
          <w:color w:val="auto"/>
        </w:rPr>
        <w:t>Specified criteria the satisfaction of which is a condition for the grant, exercisability, vesting or full enjoyment of an Award.</w:t>
      </w:r>
      <w:r>
        <w:rPr>
          <w:rFonts w:ascii="Arial" w:cs="Arial" w:eastAsia="Arial" w:hAnsi="Arial"/>
          <w:sz w:val="11"/>
          <w:szCs w:val="11"/>
          <w:b w:val="1"/>
          <w:bCs w:val="1"/>
          <w:color w:val="auto"/>
        </w:rPr>
        <w:t xml:space="preserve"> </w:t>
      </w:r>
      <w:r>
        <w:rPr>
          <w:rFonts w:ascii="Arial" w:cs="Arial" w:eastAsia="Arial" w:hAnsi="Arial"/>
          <w:sz w:val="11"/>
          <w:szCs w:val="11"/>
          <w:color w:val="auto"/>
        </w:rPr>
        <w:t>For purposes of Awards that are intended to qualify for the performance- based compensation exception under Section 162(m), a Performance Criterion will mean an objectively determinable measure of performance relating to any one or any combination of the following criteria (determined either (i) on a consolidated basis or (ii) as the context permits and as determined by the Administrator, on a segment, divisional, sector, subsidiary, business unit, line of business, project or geographical basis or on the basis of one or more designated products or brands (herein collectively “business unit”), or in combinations thereof, all as selected by the Administrator in each individual case): net earnings; earnings per share; net earnings per share; stock price; net revenues; gross profit; operating profit; earnings before income taxes; earnings before interest and taxes; earnings before interest, taxes and depreciation; earnings before interest, taxes, depreciation and amortization; cost control; cash net earnings; return on assets; return on capital; return on capital investment; return on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60960</wp:posOffset>
            </wp:positionV>
            <wp:extent cx="3971925" cy="21717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46" w:lineRule="exact"/>
        <w:rPr>
          <w:sz w:val="20"/>
          <w:szCs w:val="20"/>
          <w:color w:val="auto"/>
        </w:rPr>
      </w:pPr>
    </w:p>
    <w:p>
      <w:pPr>
        <w:ind w:left="2040"/>
        <w:spacing w:after="0"/>
        <w:rPr>
          <w:sz w:val="20"/>
          <w:szCs w:val="20"/>
          <w:color w:val="auto"/>
        </w:rPr>
      </w:pPr>
      <w:r>
        <w:rPr>
          <w:rFonts w:ascii="Arial" w:cs="Arial" w:eastAsia="Arial" w:hAnsi="Arial"/>
          <w:sz w:val="11"/>
          <w:szCs w:val="11"/>
          <w:b w:val="1"/>
          <w:bCs w:val="1"/>
          <w:color w:val="FCFCFC"/>
        </w:rPr>
        <w:t>D-12</w:t>
      </w:r>
    </w:p>
    <w:p>
      <w:pPr>
        <w:sectPr>
          <w:pgSz w:w="11900" w:h="16838" w:orient="portrait"/>
          <w:cols w:equalWidth="0" w:num="1">
            <w:col w:w="10159"/>
          </w:cols>
          <w:pgMar w:left="300" w:top="372" w:right="1440" w:bottom="1440" w:gutter="0" w:footer="0" w:header="0"/>
        </w:sectPr>
      </w:pPr>
    </w:p>
    <w:bookmarkStart w:id="144" w:name="page145"/>
    <w:bookmarkEnd w:id="14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899"/>
        <w:spacing w:after="0" w:line="265" w:lineRule="auto"/>
        <w:rPr>
          <w:sz w:val="20"/>
          <w:szCs w:val="20"/>
          <w:color w:val="auto"/>
        </w:rPr>
      </w:pPr>
      <w:r>
        <w:rPr>
          <w:rFonts w:ascii="Arial" w:cs="Arial" w:eastAsia="Arial" w:hAnsi="Arial"/>
          <w:sz w:val="10"/>
          <w:szCs w:val="10"/>
          <w:color w:val="auto"/>
        </w:rPr>
        <w:t>return on net revenues; net cash provided by operating activities; working capital; economic value added; total shareholder return on common stock relative to S&amp;P 500 Index; total shareholder return on common stock relative to the Russell 1000 Consumer Discretionary Index; total shareholder return on common stock relative to any index of companies or group of companies, such index or group either being assembled by a third party or by the Administrator, or one or more specific companies, all as selected by the Administrator; sales; core brands growth; core brands net revenues; operating margin; and free cash flow. Performance goals utilizing the foregoing business criteria may be based upon the achievement of specified levels of consolidated or other business unit performance under one or more of the measures described above relative to internal targets, the past performance of the Company or relevant business unit, or the past, present or future performance of other corporations or their relevant business units. A Performance Criterion measure and any targets with respect thereto determined by the Administrator need not be based upon an increase, a positive or improved result or avoidance of loss. In setting the Performance Criteria the Administrator intends to set goals which are indicative of strong performance. Satisfaction of Performance Criteria may, in the Administrator’s discretion, be determined to the extent applicable, (i) in accordance with generally accepted accounting principles applied on a consistent basis and/or (ii) exclusive of designated (a) changes in accounting principles, (b) extraordinary items, (c) material restructurings, (d) material nonrecurring items, (e) material non-budgeted items and (f) results of operations of acquisitions or divestitures consummated during the fiscal year; each of the items in this section (ii) being excluded to the extent authorized by the Administrator.</w:t>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11"/>
          <w:szCs w:val="11"/>
          <w:b w:val="1"/>
          <w:bCs w:val="1"/>
          <w:color w:val="auto"/>
        </w:rPr>
        <w:t xml:space="preserve">“Plan”: </w:t>
      </w:r>
      <w:r>
        <w:rPr>
          <w:rFonts w:ascii="Arial" w:cs="Arial" w:eastAsia="Arial" w:hAnsi="Arial"/>
          <w:sz w:val="11"/>
          <w:szCs w:val="11"/>
          <w:color w:val="auto"/>
        </w:rPr>
        <w:t>The Hasbro, Inc. Restated 2003 Stock Incentive Performance Plan as from time to time amended and in effect.</w:t>
      </w:r>
    </w:p>
    <w:p>
      <w:pPr>
        <w:spacing w:after="0" w:line="99" w:lineRule="exact"/>
        <w:rPr>
          <w:sz w:val="20"/>
          <w:szCs w:val="20"/>
          <w:color w:val="auto"/>
        </w:rPr>
      </w:pPr>
    </w:p>
    <w:p>
      <w:pPr>
        <w:ind w:left="1980" w:right="919" w:firstLine="294"/>
        <w:spacing w:after="0" w:line="268" w:lineRule="auto"/>
        <w:rPr>
          <w:sz w:val="20"/>
          <w:szCs w:val="20"/>
          <w:color w:val="auto"/>
        </w:rPr>
      </w:pPr>
      <w:r>
        <w:rPr>
          <w:rFonts w:ascii="Arial" w:cs="Arial" w:eastAsia="Arial" w:hAnsi="Arial"/>
          <w:sz w:val="11"/>
          <w:szCs w:val="11"/>
          <w:b w:val="1"/>
          <w:bCs w:val="1"/>
          <w:color w:val="auto"/>
        </w:rPr>
        <w:t xml:space="preserve">“Restricted Stock”: </w:t>
      </w:r>
      <w:r>
        <w:rPr>
          <w:rFonts w:ascii="Arial" w:cs="Arial" w:eastAsia="Arial" w:hAnsi="Arial"/>
          <w:sz w:val="11"/>
          <w:szCs w:val="11"/>
          <w:color w:val="auto"/>
        </w:rPr>
        <w:t>An Award of Stock for so long as the Stock remains subject to restrictions requiring that it be redelivered or offered for sale to</w:t>
      </w:r>
      <w:r>
        <w:rPr>
          <w:rFonts w:ascii="Arial" w:cs="Arial" w:eastAsia="Arial" w:hAnsi="Arial"/>
          <w:sz w:val="11"/>
          <w:szCs w:val="11"/>
          <w:b w:val="1"/>
          <w:bCs w:val="1"/>
          <w:color w:val="auto"/>
        </w:rPr>
        <w:t xml:space="preserve"> </w:t>
      </w:r>
      <w:r>
        <w:rPr>
          <w:rFonts w:ascii="Arial" w:cs="Arial" w:eastAsia="Arial" w:hAnsi="Arial"/>
          <w:sz w:val="11"/>
          <w:szCs w:val="11"/>
          <w:color w:val="auto"/>
        </w:rPr>
        <w:t>the Company if specified conditions are not satisfied.</w:t>
      </w:r>
    </w:p>
    <w:p>
      <w:pPr>
        <w:spacing w:after="0" w:line="60" w:lineRule="exact"/>
        <w:rPr>
          <w:sz w:val="20"/>
          <w:szCs w:val="20"/>
          <w:color w:val="auto"/>
        </w:rPr>
      </w:pPr>
    </w:p>
    <w:p>
      <w:pPr>
        <w:ind w:left="2260"/>
        <w:spacing w:after="0"/>
        <w:rPr>
          <w:sz w:val="20"/>
          <w:szCs w:val="20"/>
          <w:color w:val="auto"/>
        </w:rPr>
      </w:pPr>
      <w:r>
        <w:rPr>
          <w:rFonts w:ascii="Arial" w:cs="Arial" w:eastAsia="Arial" w:hAnsi="Arial"/>
          <w:sz w:val="11"/>
          <w:szCs w:val="11"/>
          <w:b w:val="1"/>
          <w:bCs w:val="1"/>
          <w:color w:val="auto"/>
        </w:rPr>
        <w:t xml:space="preserve">“Section 162(m)”: </w:t>
      </w:r>
      <w:r>
        <w:rPr>
          <w:rFonts w:ascii="Arial" w:cs="Arial" w:eastAsia="Arial" w:hAnsi="Arial"/>
          <w:sz w:val="11"/>
          <w:szCs w:val="11"/>
          <w:color w:val="auto"/>
        </w:rPr>
        <w:t>Section 162(m) of the Code, or any successor provision.</w:t>
      </w:r>
    </w:p>
    <w:p>
      <w:pPr>
        <w:spacing w:after="0" w:line="99" w:lineRule="exact"/>
        <w:rPr>
          <w:sz w:val="20"/>
          <w:szCs w:val="20"/>
          <w:color w:val="auto"/>
        </w:rPr>
      </w:pPr>
    </w:p>
    <w:p>
      <w:pPr>
        <w:jc w:val="both"/>
        <w:ind w:left="1980" w:right="879" w:firstLine="294"/>
        <w:spacing w:after="0" w:line="268" w:lineRule="auto"/>
        <w:rPr>
          <w:sz w:val="20"/>
          <w:szCs w:val="20"/>
          <w:color w:val="auto"/>
        </w:rPr>
      </w:pPr>
      <w:r>
        <w:rPr>
          <w:rFonts w:ascii="Arial" w:cs="Arial" w:eastAsia="Arial" w:hAnsi="Arial"/>
          <w:sz w:val="11"/>
          <w:szCs w:val="11"/>
          <w:b w:val="1"/>
          <w:bCs w:val="1"/>
          <w:color w:val="auto"/>
        </w:rPr>
        <w:t xml:space="preserve">“SARs”: </w:t>
      </w:r>
      <w:r>
        <w:rPr>
          <w:rFonts w:ascii="Arial" w:cs="Arial" w:eastAsia="Arial" w:hAnsi="Arial"/>
          <w:sz w:val="11"/>
          <w:szCs w:val="11"/>
          <w:color w:val="auto"/>
        </w:rPr>
        <w:t>Rights entitling the holder upon exercise to receive cash or Stock, as the Administrator determines, equal to a function (determined by the</w:t>
      </w:r>
      <w:r>
        <w:rPr>
          <w:rFonts w:ascii="Arial" w:cs="Arial" w:eastAsia="Arial" w:hAnsi="Arial"/>
          <w:sz w:val="11"/>
          <w:szCs w:val="11"/>
          <w:b w:val="1"/>
          <w:bCs w:val="1"/>
          <w:color w:val="auto"/>
        </w:rPr>
        <w:t xml:space="preserve"> </w:t>
      </w:r>
      <w:r>
        <w:rPr>
          <w:rFonts w:ascii="Arial" w:cs="Arial" w:eastAsia="Arial" w:hAnsi="Arial"/>
          <w:sz w:val="11"/>
          <w:szCs w:val="11"/>
          <w:color w:val="auto"/>
        </w:rPr>
        <w:t>Administrator using such factors as it deems appropriate) of the amount by which the Stock has appreciated in value since the date of the Award.</w:t>
      </w:r>
    </w:p>
    <w:p>
      <w:pPr>
        <w:spacing w:after="0" w:line="69" w:lineRule="exact"/>
        <w:rPr>
          <w:sz w:val="20"/>
          <w:szCs w:val="20"/>
          <w:color w:val="auto"/>
        </w:rPr>
      </w:pPr>
    </w:p>
    <w:p>
      <w:pPr>
        <w:ind w:left="2260"/>
        <w:spacing w:after="0"/>
        <w:rPr>
          <w:sz w:val="20"/>
          <w:szCs w:val="20"/>
          <w:color w:val="auto"/>
        </w:rPr>
      </w:pPr>
      <w:r>
        <w:rPr>
          <w:rFonts w:ascii="Arial" w:cs="Arial" w:eastAsia="Arial" w:hAnsi="Arial"/>
          <w:sz w:val="11"/>
          <w:szCs w:val="11"/>
          <w:b w:val="1"/>
          <w:bCs w:val="1"/>
          <w:color w:val="auto"/>
        </w:rPr>
        <w:t xml:space="preserve">“Stock”: </w:t>
      </w:r>
      <w:r>
        <w:rPr>
          <w:rFonts w:ascii="Arial" w:cs="Arial" w:eastAsia="Arial" w:hAnsi="Arial"/>
          <w:sz w:val="11"/>
          <w:szCs w:val="11"/>
          <w:color w:val="auto"/>
        </w:rPr>
        <w:t>Common Stock of the Company, par value $.50 per share.</w:t>
      </w:r>
    </w:p>
    <w:p>
      <w:pPr>
        <w:spacing w:after="0" w:line="90" w:lineRule="exact"/>
        <w:rPr>
          <w:sz w:val="20"/>
          <w:szCs w:val="20"/>
          <w:color w:val="auto"/>
        </w:rPr>
      </w:pPr>
    </w:p>
    <w:p>
      <w:pPr>
        <w:ind w:left="1980" w:right="919" w:firstLine="294"/>
        <w:spacing w:after="0" w:line="268" w:lineRule="auto"/>
        <w:rPr>
          <w:sz w:val="20"/>
          <w:szCs w:val="20"/>
          <w:color w:val="auto"/>
        </w:rPr>
      </w:pPr>
      <w:r>
        <w:rPr>
          <w:rFonts w:ascii="Arial" w:cs="Arial" w:eastAsia="Arial" w:hAnsi="Arial"/>
          <w:sz w:val="11"/>
          <w:szCs w:val="11"/>
          <w:b w:val="1"/>
          <w:bCs w:val="1"/>
          <w:color w:val="auto"/>
        </w:rPr>
        <w:t xml:space="preserve">“Stock Options”: </w:t>
      </w:r>
      <w:r>
        <w:rPr>
          <w:rFonts w:ascii="Arial" w:cs="Arial" w:eastAsia="Arial" w:hAnsi="Arial"/>
          <w:sz w:val="11"/>
          <w:szCs w:val="11"/>
          <w:color w:val="auto"/>
        </w:rPr>
        <w:t>Options entitling the recipient to acquire shares of Stock upon payment of the exercise price. Stock Options can be either ISO’s</w:t>
      </w:r>
      <w:r>
        <w:rPr>
          <w:rFonts w:ascii="Arial" w:cs="Arial" w:eastAsia="Arial" w:hAnsi="Arial"/>
          <w:sz w:val="11"/>
          <w:szCs w:val="11"/>
          <w:b w:val="1"/>
          <w:bCs w:val="1"/>
          <w:color w:val="auto"/>
        </w:rPr>
        <w:t xml:space="preserve"> </w:t>
      </w:r>
      <w:r>
        <w:rPr>
          <w:rFonts w:ascii="Arial" w:cs="Arial" w:eastAsia="Arial" w:hAnsi="Arial"/>
          <w:sz w:val="11"/>
          <w:szCs w:val="11"/>
          <w:color w:val="auto"/>
        </w:rPr>
        <w:t>or non-incentive options.</w:t>
      </w:r>
    </w:p>
    <w:p>
      <w:pPr>
        <w:spacing w:after="0" w:line="69" w:lineRule="exact"/>
        <w:rPr>
          <w:sz w:val="20"/>
          <w:szCs w:val="20"/>
          <w:color w:val="auto"/>
        </w:rPr>
      </w:pPr>
    </w:p>
    <w:p>
      <w:pPr>
        <w:ind w:left="2260"/>
        <w:spacing w:after="0"/>
        <w:rPr>
          <w:sz w:val="20"/>
          <w:szCs w:val="20"/>
          <w:color w:val="auto"/>
        </w:rPr>
      </w:pPr>
      <w:r>
        <w:rPr>
          <w:rFonts w:ascii="Arial" w:cs="Arial" w:eastAsia="Arial" w:hAnsi="Arial"/>
          <w:sz w:val="11"/>
          <w:szCs w:val="11"/>
          <w:b w:val="1"/>
          <w:bCs w:val="1"/>
          <w:color w:val="auto"/>
        </w:rPr>
        <w:t xml:space="preserve">“Unrestricted Stock”: </w:t>
      </w:r>
      <w:r>
        <w:rPr>
          <w:rFonts w:ascii="Arial" w:cs="Arial" w:eastAsia="Arial" w:hAnsi="Arial"/>
          <w:sz w:val="11"/>
          <w:szCs w:val="11"/>
          <w:color w:val="auto"/>
        </w:rPr>
        <w:t>An Award of Stock not subject to any restrictions under the Plan.</w:t>
      </w:r>
    </w:p>
    <w:p>
      <w:pPr>
        <w:spacing w:after="0" w:line="22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0060ED"/>
        </w:rPr>
        <w:t>First Amendment To Hasbro, Inc.</w:t>
      </w:r>
    </w:p>
    <w:p>
      <w:pPr>
        <w:jc w:val="center"/>
        <w:ind w:right="-1120"/>
        <w:spacing w:after="0"/>
        <w:rPr>
          <w:sz w:val="20"/>
          <w:szCs w:val="20"/>
          <w:color w:val="auto"/>
        </w:rPr>
      </w:pPr>
      <w:r>
        <w:rPr>
          <w:rFonts w:ascii="Arial" w:cs="Arial" w:eastAsia="Arial" w:hAnsi="Arial"/>
          <w:sz w:val="22"/>
          <w:szCs w:val="22"/>
          <w:color w:val="0060ED"/>
        </w:rPr>
        <w:t>Restated 2003 Stock Incentive Performance Plan</w:t>
      </w:r>
    </w:p>
    <w:p>
      <w:pPr>
        <w:spacing w:after="0" w:line="142" w:lineRule="exact"/>
        <w:rPr>
          <w:sz w:val="20"/>
          <w:szCs w:val="20"/>
          <w:color w:val="auto"/>
        </w:rPr>
      </w:pPr>
    </w:p>
    <w:p>
      <w:pPr>
        <w:jc w:val="both"/>
        <w:ind w:left="1980" w:right="879" w:firstLine="294"/>
        <w:spacing w:after="0" w:line="242" w:lineRule="auto"/>
        <w:rPr>
          <w:sz w:val="20"/>
          <w:szCs w:val="20"/>
          <w:color w:val="auto"/>
        </w:rPr>
      </w:pPr>
      <w:r>
        <w:rPr>
          <w:rFonts w:ascii="Arial" w:cs="Arial" w:eastAsia="Arial" w:hAnsi="Arial"/>
          <w:sz w:val="11"/>
          <w:szCs w:val="11"/>
          <w:color w:val="auto"/>
        </w:rPr>
        <w:t>The Hasbro, Inc. Restated 2003 Stock Incentive Performance Plan (the “Plan”) is hereby amended in the manner set forth below, such amendment to be effective as of the effective time of approval of this First Amendment to the Hasbro, Inc. Restated 2003 Stock Incentive Performance Plan (the “First Amendment”) by the shareholders of Hasbro, Inc.</w:t>
      </w:r>
    </w:p>
    <w:p>
      <w:pPr>
        <w:spacing w:after="0" w:line="94" w:lineRule="exact"/>
        <w:rPr>
          <w:sz w:val="20"/>
          <w:szCs w:val="20"/>
          <w:color w:val="auto"/>
        </w:rPr>
      </w:pPr>
    </w:p>
    <w:p>
      <w:pPr>
        <w:ind w:left="1980" w:right="899" w:firstLine="294"/>
        <w:spacing w:after="0" w:line="245" w:lineRule="auto"/>
        <w:rPr>
          <w:sz w:val="20"/>
          <w:szCs w:val="20"/>
          <w:color w:val="auto"/>
        </w:rPr>
      </w:pPr>
      <w:r>
        <w:rPr>
          <w:rFonts w:ascii="Arial" w:cs="Arial" w:eastAsia="Arial" w:hAnsi="Arial"/>
          <w:sz w:val="11"/>
          <w:szCs w:val="11"/>
          <w:color w:val="auto"/>
        </w:rPr>
        <w:t>Notwithstanding the foregoing, the First Amendment shall only become effective if it is approved by the Company’s shareholders at the Company’s 2017 Annual Meeting of Shareholders, or any adjournment thereof.</w:t>
      </w:r>
    </w:p>
    <w:p>
      <w:pPr>
        <w:spacing w:after="0" w:line="8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1. The third sentence of Section 3 of the Plan is deleted and replaced in its entirety with the following:</w:t>
      </w:r>
    </w:p>
    <w:p>
      <w:pPr>
        <w:spacing w:after="0" w:line="99" w:lineRule="exact"/>
        <w:rPr>
          <w:sz w:val="20"/>
          <w:szCs w:val="20"/>
          <w:color w:val="auto"/>
        </w:rPr>
      </w:pPr>
    </w:p>
    <w:p>
      <w:pPr>
        <w:ind w:left="2260" w:right="1859"/>
        <w:spacing w:after="0" w:line="418" w:lineRule="auto"/>
        <w:rPr>
          <w:sz w:val="20"/>
          <w:szCs w:val="20"/>
          <w:color w:val="auto"/>
        </w:rPr>
      </w:pPr>
      <w:r>
        <w:rPr>
          <w:rFonts w:ascii="Arial" w:cs="Arial" w:eastAsia="Arial" w:hAnsi="Arial"/>
          <w:sz w:val="11"/>
          <w:szCs w:val="11"/>
          <w:color w:val="auto"/>
        </w:rPr>
        <w:t>“The Plan shall remain in effect until December 31, 2021 unless sooner terminated by the Board, subject to Section 10 hereof.” 2. The first two sentences of Section 5(a) of the Plan are deleted and replaced in their entirety with the following:</w:t>
      </w:r>
    </w:p>
    <w:p>
      <w:pPr>
        <w:ind w:left="1980" w:right="1079" w:firstLine="294"/>
        <w:spacing w:after="0" w:line="278" w:lineRule="auto"/>
        <w:rPr>
          <w:sz w:val="20"/>
          <w:szCs w:val="20"/>
          <w:color w:val="auto"/>
        </w:rPr>
      </w:pPr>
      <w:r>
        <w:rPr>
          <w:rFonts w:ascii="Arial" w:cs="Arial" w:eastAsia="Arial" w:hAnsi="Arial"/>
          <w:sz w:val="10"/>
          <w:szCs w:val="10"/>
          <w:color w:val="auto"/>
        </w:rPr>
        <w:t>“A maximum of 35,600,000 shares of Stock may be delivered pursuant to Awards under the Plan (which represents an increase of 3,000,000 shares of Stock from the aggregate level previously authorized by the shareholders of the Company at the 2013 Annual Meeting of Shareholders). Of those authorized shares of Stock, no more than 13,200,000 shares of Stock (which represents an increase of 3,000,000 shares of Stock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48260</wp:posOffset>
            </wp:positionV>
            <wp:extent cx="3971925" cy="21717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35" w:lineRule="exact"/>
        <w:rPr>
          <w:sz w:val="20"/>
          <w:szCs w:val="20"/>
          <w:color w:val="auto"/>
        </w:rPr>
      </w:pPr>
    </w:p>
    <w:p>
      <w:pPr>
        <w:ind w:left="2040"/>
        <w:spacing w:after="0"/>
        <w:rPr>
          <w:sz w:val="20"/>
          <w:szCs w:val="20"/>
          <w:color w:val="auto"/>
        </w:rPr>
      </w:pPr>
      <w:r>
        <w:rPr>
          <w:rFonts w:ascii="Arial" w:cs="Arial" w:eastAsia="Arial" w:hAnsi="Arial"/>
          <w:sz w:val="11"/>
          <w:szCs w:val="11"/>
          <w:b w:val="1"/>
          <w:bCs w:val="1"/>
          <w:color w:val="FCFCFC"/>
        </w:rPr>
        <w:t>D-13</w:t>
      </w:r>
    </w:p>
    <w:p>
      <w:pPr>
        <w:sectPr>
          <w:pgSz w:w="11900" w:h="16838" w:orient="portrait"/>
          <w:cols w:equalWidth="0" w:num="1">
            <w:col w:w="10159"/>
          </w:cols>
          <w:pgMar w:left="300" w:top="372" w:right="1440" w:bottom="1440" w:gutter="0" w:footer="0" w:header="0"/>
        </w:sectPr>
      </w:pPr>
    </w:p>
    <w:bookmarkStart w:id="145" w:name="page146"/>
    <w:bookmarkEnd w:id="14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1980" w:right="1019"/>
        <w:spacing w:after="0" w:line="245" w:lineRule="auto"/>
        <w:rPr>
          <w:sz w:val="20"/>
          <w:szCs w:val="20"/>
          <w:color w:val="auto"/>
        </w:rPr>
      </w:pPr>
      <w:r>
        <w:rPr>
          <w:rFonts w:ascii="Arial" w:cs="Arial" w:eastAsia="Arial" w:hAnsi="Arial"/>
          <w:sz w:val="11"/>
          <w:szCs w:val="11"/>
          <w:color w:val="auto"/>
        </w:rPr>
        <w:t>aggregate level previously authorized by the shareholders of the Company at the 2013 Annual Meeting of Shareholders) may be delivered pursuant to Awards other than Stock Options or SARs.”</w:t>
      </w:r>
    </w:p>
    <w:p>
      <w:pPr>
        <w:spacing w:after="0" w:line="93"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3. The first sentence of Section 7(a)(3) of the Plan is deleted and replaced in its entirety with the following:</w:t>
      </w:r>
    </w:p>
    <w:p>
      <w:pPr>
        <w:spacing w:after="0" w:line="99" w:lineRule="exact"/>
        <w:rPr>
          <w:sz w:val="20"/>
          <w:szCs w:val="20"/>
          <w:color w:val="auto"/>
        </w:rPr>
      </w:pPr>
    </w:p>
    <w:p>
      <w:pPr>
        <w:ind w:left="1980" w:right="839" w:firstLine="294"/>
        <w:spacing w:after="0" w:line="239" w:lineRule="auto"/>
        <w:rPr>
          <w:sz w:val="20"/>
          <w:szCs w:val="20"/>
          <w:color w:val="auto"/>
        </w:rPr>
      </w:pPr>
      <w:r>
        <w:rPr>
          <w:rFonts w:ascii="Arial" w:cs="Arial" w:eastAsia="Arial" w:hAnsi="Arial"/>
          <w:sz w:val="11"/>
          <w:szCs w:val="11"/>
          <w:color w:val="auto"/>
        </w:rPr>
        <w:t>“The Administrator shall determine the time or times at which an Award will vest or become exercisable and the terms on which an Award requiring exercise will remain exercisable, provided that, except as otherwise permitted under Section 10 of the Plan, (i) Stock Options and SARs shall vest in one or more installments over a total vesting period of not less than three years, such that a Stock Option or SAR award will not become vested for the full number of shares subject to the Award over a period of less than three years from the date of grant of the Award, and the first scheduled vesting date for any Stock Options or SARs shall not be less than one year from the date of grant of such Award, (ii) Restricted Stock and Deferred Stock shall vest in one or more installments over a total vesting period of not less than three years, such that Restricted Stock or Deferred Stock awards will not become vested for the full number of shares subject to the Award over a period of less than three years from the date of grant of the Award, and the first scheduled vesting date for any Restricted Stock or Deferred Stock shall not be less than one year from the date of grant of such Award, and (iii) Performance Awards must have a performance period of at least one year.”</w:t>
      </w:r>
    </w:p>
    <w:p>
      <w:pPr>
        <w:spacing w:after="0" w:line="7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4. The last sentence of the first paragraph of Section 10 of the Plan is deleted and replaced in its entirety with the following:</w:t>
      </w:r>
    </w:p>
    <w:p>
      <w:pPr>
        <w:spacing w:after="0" w:line="72" w:lineRule="exact"/>
        <w:rPr>
          <w:sz w:val="20"/>
          <w:szCs w:val="20"/>
          <w:color w:val="auto"/>
        </w:rPr>
      </w:pPr>
    </w:p>
    <w:p>
      <w:pPr>
        <w:ind w:left="1980" w:right="879" w:firstLine="294"/>
        <w:spacing w:after="0" w:line="262" w:lineRule="auto"/>
        <w:rPr>
          <w:sz w:val="20"/>
          <w:szCs w:val="20"/>
          <w:color w:val="auto"/>
        </w:rPr>
      </w:pPr>
      <w:r>
        <w:rPr>
          <w:rFonts w:ascii="Arial" w:cs="Arial" w:eastAsia="Arial" w:hAnsi="Arial"/>
          <w:sz w:val="10"/>
          <w:szCs w:val="10"/>
          <w:color w:val="auto"/>
        </w:rPr>
        <w:t>“In addition to the above, the following actions are considered material amendments under the Plan and the Company may not (except as provided for under Section 8(c) in connection with a Reorganization Event) take any such actions unless they are approved by the Company’s shareholders:</w:t>
      </w:r>
    </w:p>
    <w:p>
      <w:pPr>
        <w:spacing w:after="0" w:line="1" w:lineRule="exact"/>
        <w:rPr>
          <w:sz w:val="20"/>
          <w:szCs w:val="20"/>
          <w:color w:val="auto"/>
        </w:rPr>
      </w:pPr>
    </w:p>
    <w:p>
      <w:pPr>
        <w:ind w:left="1980" w:right="919" w:hanging="8"/>
        <w:spacing w:after="0" w:line="239" w:lineRule="auto"/>
        <w:tabs>
          <w:tab w:leader="none" w:pos="2142" w:val="left"/>
        </w:tabs>
        <w:numPr>
          <w:ilvl w:val="0"/>
          <w:numId w:val="153"/>
        </w:numPr>
        <w:rPr>
          <w:rFonts w:ascii="Arial" w:cs="Arial" w:eastAsia="Arial" w:hAnsi="Arial"/>
          <w:sz w:val="11"/>
          <w:szCs w:val="11"/>
          <w:color w:val="auto"/>
        </w:rPr>
      </w:pPr>
      <w:r>
        <w:rPr>
          <w:rFonts w:ascii="Arial" w:cs="Arial" w:eastAsia="Arial" w:hAnsi="Arial"/>
          <w:sz w:val="11"/>
          <w:szCs w:val="11"/>
          <w:color w:val="auto"/>
        </w:rPr>
        <w:t>amend any outstanding Stock Option or SAR granted under the Plan to provide an exercise price per share that is lower than the then-current exercise price per share of such outstanding Stock Option or SAR, (2) cancel, exchange or permit the surrender of any outstanding Stock Option or SAR (whether or not granted under the Plan) and grant in substitution therefore new Awards under the Plan (other than substitute Awards granted by the Administrator pursuant to Section 8(c) in connection with a merger or consolidation of an entity with the Company or the acquisition by the Company of property or stock of an entity) covering the same or a different number of shares of Stock and having an exercise price per share lower than the then-current exercise price per share of the cancelled Stock Option or SAR, (3) cancel, exchange or permit the surrender of, in exchange for a cash payment or other securities or property, any outstanding Stock Option or SAR with an exercise price per share above the then- current Fair Market Value, other than pursuant to Section 8(c), or (4) take any other action under the Plan that constitutes a “repricing” within the meaning of the rules of the NASDAQ Stock Market.”</w:t>
      </w:r>
    </w:p>
    <w:p>
      <w:pPr>
        <w:spacing w:after="0" w:line="72" w:lineRule="exact"/>
        <w:rPr>
          <w:rFonts w:ascii="Arial" w:cs="Arial" w:eastAsia="Arial" w:hAnsi="Arial"/>
          <w:sz w:val="11"/>
          <w:szCs w:val="11"/>
          <w:color w:val="auto"/>
        </w:rPr>
      </w:pPr>
    </w:p>
    <w:p>
      <w:pPr>
        <w:ind w:left="2380" w:hanging="114"/>
        <w:spacing w:after="0"/>
        <w:tabs>
          <w:tab w:leader="none" w:pos="2380" w:val="left"/>
        </w:tabs>
        <w:numPr>
          <w:ilvl w:val="1"/>
          <w:numId w:val="153"/>
        </w:numPr>
        <w:rPr>
          <w:rFonts w:ascii="Arial" w:cs="Arial" w:eastAsia="Arial" w:hAnsi="Arial"/>
          <w:sz w:val="11"/>
          <w:szCs w:val="11"/>
          <w:color w:val="auto"/>
        </w:rPr>
      </w:pPr>
      <w:r>
        <w:rPr>
          <w:rFonts w:ascii="Arial" w:cs="Arial" w:eastAsia="Arial" w:hAnsi="Arial"/>
          <w:sz w:val="11"/>
          <w:szCs w:val="11"/>
          <w:color w:val="auto"/>
        </w:rPr>
        <w:t>Except for the changes set forth above, the Plan remains in full force and effect.</w:t>
      </w:r>
    </w:p>
    <w:p>
      <w:pPr>
        <w:spacing w:after="0" w:line="216" w:lineRule="exact"/>
        <w:rPr>
          <w:sz w:val="20"/>
          <w:szCs w:val="20"/>
          <w:color w:val="auto"/>
        </w:rPr>
      </w:pPr>
    </w:p>
    <w:p>
      <w:pPr>
        <w:jc w:val="center"/>
        <w:ind w:right="-1140"/>
        <w:spacing w:after="0"/>
        <w:rPr>
          <w:sz w:val="20"/>
          <w:szCs w:val="20"/>
          <w:color w:val="auto"/>
        </w:rPr>
      </w:pPr>
      <w:r>
        <w:rPr>
          <w:rFonts w:ascii="Arial" w:cs="Arial" w:eastAsia="Arial" w:hAnsi="Arial"/>
          <w:sz w:val="22"/>
          <w:szCs w:val="22"/>
          <w:color w:val="0060ED"/>
        </w:rPr>
        <w:t>Second Amendment To Hasbro, Inc.</w:t>
      </w:r>
    </w:p>
    <w:p>
      <w:pPr>
        <w:jc w:val="center"/>
        <w:ind w:right="-1140"/>
        <w:spacing w:after="0"/>
        <w:rPr>
          <w:sz w:val="20"/>
          <w:szCs w:val="20"/>
          <w:color w:val="auto"/>
        </w:rPr>
      </w:pPr>
      <w:r>
        <w:rPr>
          <w:rFonts w:ascii="Arial" w:cs="Arial" w:eastAsia="Arial" w:hAnsi="Arial"/>
          <w:sz w:val="22"/>
          <w:szCs w:val="22"/>
          <w:color w:val="0060ED"/>
        </w:rPr>
        <w:t>Restated 2003 Stock Incentive Performance Plan</w:t>
      </w:r>
    </w:p>
    <w:p>
      <w:pPr>
        <w:spacing w:after="0" w:line="142" w:lineRule="exact"/>
        <w:rPr>
          <w:sz w:val="20"/>
          <w:szCs w:val="20"/>
          <w:color w:val="auto"/>
        </w:rPr>
      </w:pPr>
    </w:p>
    <w:p>
      <w:pPr>
        <w:ind w:left="1980" w:right="879" w:firstLine="294"/>
        <w:spacing w:after="0" w:line="242" w:lineRule="auto"/>
        <w:rPr>
          <w:sz w:val="20"/>
          <w:szCs w:val="20"/>
          <w:color w:val="auto"/>
        </w:rPr>
      </w:pPr>
      <w:r>
        <w:rPr>
          <w:rFonts w:ascii="Arial" w:cs="Arial" w:eastAsia="Arial" w:hAnsi="Arial"/>
          <w:sz w:val="11"/>
          <w:szCs w:val="11"/>
          <w:color w:val="auto"/>
        </w:rPr>
        <w:t>The Hasbro, Inc. Restated 2003 Stock Incentive Performance Plan, as amended by the First Amendment on May 18, 2017 (as amended, the “Plan”), is hereby amended in the manner set forth below, such amendment to be effective as of the effective time of approval of this Second Amendment to the Plan (the “Second Amendment”) by the shareholders of Hasbro, Inc.</w:t>
      </w:r>
    </w:p>
    <w:p>
      <w:pPr>
        <w:spacing w:after="0" w:line="67" w:lineRule="exact"/>
        <w:rPr>
          <w:sz w:val="20"/>
          <w:szCs w:val="20"/>
          <w:color w:val="auto"/>
        </w:rPr>
      </w:pPr>
    </w:p>
    <w:p>
      <w:pPr>
        <w:ind w:left="1980" w:right="1319" w:firstLine="294"/>
        <w:spacing w:after="0" w:line="245" w:lineRule="auto"/>
        <w:rPr>
          <w:sz w:val="20"/>
          <w:szCs w:val="20"/>
          <w:color w:val="auto"/>
        </w:rPr>
      </w:pPr>
      <w:r>
        <w:rPr>
          <w:rFonts w:ascii="Arial" w:cs="Arial" w:eastAsia="Arial" w:hAnsi="Arial"/>
          <w:sz w:val="11"/>
          <w:szCs w:val="11"/>
          <w:color w:val="auto"/>
        </w:rPr>
        <w:t>Notwithstanding the foregoing, the Second Amendment shall only become effective if it is approved by the Company’s shareholders at the Company’s 2020 Annual Meeting of Shareholders, or any adjournment thereof.</w:t>
      </w:r>
    </w:p>
    <w:p>
      <w:pPr>
        <w:spacing w:after="0" w:line="66" w:lineRule="exact"/>
        <w:rPr>
          <w:sz w:val="20"/>
          <w:szCs w:val="20"/>
          <w:color w:val="auto"/>
        </w:rPr>
      </w:pPr>
    </w:p>
    <w:p>
      <w:pPr>
        <w:ind w:left="2480" w:hanging="214"/>
        <w:spacing w:after="0"/>
        <w:tabs>
          <w:tab w:leader="none" w:pos="2480" w:val="left"/>
        </w:tabs>
        <w:numPr>
          <w:ilvl w:val="0"/>
          <w:numId w:val="154"/>
        </w:numPr>
        <w:rPr>
          <w:rFonts w:ascii="Arial" w:cs="Arial" w:eastAsia="Arial" w:hAnsi="Arial"/>
          <w:sz w:val="11"/>
          <w:szCs w:val="11"/>
          <w:color w:val="auto"/>
        </w:rPr>
      </w:pPr>
      <w:r>
        <w:rPr>
          <w:rFonts w:ascii="Arial" w:cs="Arial" w:eastAsia="Arial" w:hAnsi="Arial"/>
          <w:sz w:val="11"/>
          <w:szCs w:val="11"/>
          <w:color w:val="auto"/>
        </w:rPr>
        <w:t>The third sentence of Section 3 of the Plan is deleted and replaced in its entirety with the following:</w:t>
      </w:r>
    </w:p>
    <w:p>
      <w:pPr>
        <w:spacing w:after="0" w:line="7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Plan shall remain in effect until December 31, 2025 unless sooner terminated by the Board, subject to Section 10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113030</wp:posOffset>
            </wp:positionV>
            <wp:extent cx="3971925" cy="21717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229" w:lineRule="exact"/>
        <w:rPr>
          <w:sz w:val="20"/>
          <w:szCs w:val="20"/>
          <w:color w:val="auto"/>
        </w:rPr>
      </w:pPr>
    </w:p>
    <w:p>
      <w:pPr>
        <w:ind w:left="2040"/>
        <w:spacing w:after="0"/>
        <w:rPr>
          <w:sz w:val="20"/>
          <w:szCs w:val="20"/>
          <w:color w:val="auto"/>
        </w:rPr>
      </w:pPr>
      <w:r>
        <w:rPr>
          <w:rFonts w:ascii="Arial" w:cs="Arial" w:eastAsia="Arial" w:hAnsi="Arial"/>
          <w:sz w:val="11"/>
          <w:szCs w:val="11"/>
          <w:b w:val="1"/>
          <w:bCs w:val="1"/>
          <w:color w:val="FCFCFC"/>
        </w:rPr>
        <w:t>D-14</w:t>
      </w:r>
    </w:p>
    <w:p>
      <w:pPr>
        <w:sectPr>
          <w:pgSz w:w="11900" w:h="16838" w:orient="portrait"/>
          <w:cols w:equalWidth="0" w:num="1">
            <w:col w:w="10159"/>
          </w:cols>
          <w:pgMar w:left="300" w:top="372" w:right="1440" w:bottom="1440" w:gutter="0" w:footer="0" w:header="0"/>
        </w:sectPr>
      </w:pPr>
    </w:p>
    <w:bookmarkStart w:id="146" w:name="page147"/>
    <w:bookmarkEnd w:id="14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6" w:lineRule="exact"/>
        <w:rPr>
          <w:sz w:val="20"/>
          <w:szCs w:val="20"/>
          <w:color w:val="auto"/>
        </w:rPr>
      </w:pPr>
    </w:p>
    <w:p>
      <w:pPr>
        <w:ind w:left="2480" w:hanging="214"/>
        <w:spacing w:after="0"/>
        <w:tabs>
          <w:tab w:leader="none" w:pos="2480" w:val="left"/>
        </w:tabs>
        <w:numPr>
          <w:ilvl w:val="0"/>
          <w:numId w:val="155"/>
        </w:numPr>
        <w:rPr>
          <w:rFonts w:ascii="Arial" w:cs="Arial" w:eastAsia="Arial" w:hAnsi="Arial"/>
          <w:sz w:val="11"/>
          <w:szCs w:val="11"/>
          <w:color w:val="auto"/>
        </w:rPr>
      </w:pPr>
      <w:r>
        <w:rPr>
          <w:rFonts w:ascii="Arial" w:cs="Arial" w:eastAsia="Arial" w:hAnsi="Arial"/>
          <w:sz w:val="11"/>
          <w:szCs w:val="11"/>
          <w:color w:val="auto"/>
        </w:rPr>
        <w:t>The first two sentences of Section 5(a) of the Plan are deleted and replaced in their entirety with the following:</w:t>
      </w:r>
    </w:p>
    <w:p>
      <w:pPr>
        <w:spacing w:after="0" w:line="72" w:lineRule="exact"/>
        <w:rPr>
          <w:sz w:val="20"/>
          <w:szCs w:val="20"/>
          <w:color w:val="auto"/>
        </w:rPr>
      </w:pPr>
    </w:p>
    <w:p>
      <w:pPr>
        <w:ind w:left="1980" w:right="899" w:firstLine="294"/>
        <w:spacing w:after="0" w:line="241" w:lineRule="auto"/>
        <w:rPr>
          <w:sz w:val="20"/>
          <w:szCs w:val="20"/>
          <w:color w:val="auto"/>
        </w:rPr>
      </w:pPr>
      <w:r>
        <w:rPr>
          <w:rFonts w:ascii="Arial" w:cs="Arial" w:eastAsia="Arial" w:hAnsi="Arial"/>
          <w:sz w:val="11"/>
          <w:szCs w:val="11"/>
          <w:color w:val="auto"/>
        </w:rPr>
        <w:t>“A maximum of 40,950,000 shares of Stock may be delivered pursuant to Awards under the Plan (which represents an increase of 5,350,000 shares of Stock from the aggregate level previously authorized by the shareholders of the Company at the 2017 Annual Meeting of Shareholders). Of the authorized shares of Stock remaining available for issuance for future grants on the effective time of approval of this Second Amendment, no more than 5,650,000 shares of Stock may be delivered pursuant to Awards other than Stock Options or SARs.”</w:t>
      </w:r>
    </w:p>
    <w:p>
      <w:pPr>
        <w:spacing w:after="0" w:line="68" w:lineRule="exact"/>
        <w:rPr>
          <w:sz w:val="20"/>
          <w:szCs w:val="20"/>
          <w:color w:val="auto"/>
        </w:rPr>
      </w:pPr>
    </w:p>
    <w:p>
      <w:pPr>
        <w:ind w:left="2480" w:hanging="214"/>
        <w:spacing w:after="0"/>
        <w:tabs>
          <w:tab w:leader="none" w:pos="2480" w:val="left"/>
        </w:tabs>
        <w:numPr>
          <w:ilvl w:val="0"/>
          <w:numId w:val="156"/>
        </w:numPr>
        <w:rPr>
          <w:rFonts w:ascii="Arial" w:cs="Arial" w:eastAsia="Arial" w:hAnsi="Arial"/>
          <w:sz w:val="11"/>
          <w:szCs w:val="11"/>
          <w:color w:val="auto"/>
        </w:rPr>
      </w:pPr>
      <w:r>
        <w:rPr>
          <w:rFonts w:ascii="Arial" w:cs="Arial" w:eastAsia="Arial" w:hAnsi="Arial"/>
          <w:sz w:val="11"/>
          <w:szCs w:val="11"/>
          <w:color w:val="auto"/>
        </w:rPr>
        <w:t>Except for the changes set forth above, the Plan remains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61595</wp:posOffset>
            </wp:positionV>
            <wp:extent cx="3971925" cy="21717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3971925" cy="217170"/>
                    </a:xfrm>
                    <a:prstGeom prst="rect">
                      <a:avLst/>
                    </a:prstGeom>
                    <a:noFill/>
                  </pic:spPr>
                </pic:pic>
              </a:graphicData>
            </a:graphic>
          </wp:anchor>
        </w:drawing>
      </w:r>
    </w:p>
    <w:p>
      <w:pPr>
        <w:spacing w:after="0" w:line="157" w:lineRule="exact"/>
        <w:rPr>
          <w:sz w:val="20"/>
          <w:szCs w:val="20"/>
          <w:color w:val="auto"/>
        </w:rPr>
      </w:pPr>
    </w:p>
    <w:p>
      <w:pPr>
        <w:ind w:left="2040"/>
        <w:spacing w:after="0"/>
        <w:rPr>
          <w:sz w:val="20"/>
          <w:szCs w:val="20"/>
          <w:color w:val="auto"/>
        </w:rPr>
      </w:pPr>
      <w:r>
        <w:rPr>
          <w:rFonts w:ascii="Arial" w:cs="Arial" w:eastAsia="Arial" w:hAnsi="Arial"/>
          <w:sz w:val="11"/>
          <w:szCs w:val="11"/>
          <w:b w:val="1"/>
          <w:bCs w:val="1"/>
          <w:color w:val="FCFCFC"/>
        </w:rPr>
        <w:t>D-15</w:t>
      </w:r>
    </w:p>
    <w:p>
      <w:pPr>
        <w:sectPr>
          <w:pgSz w:w="11900" w:h="16838" w:orient="portrait"/>
          <w:cols w:equalWidth="0" w:num="1">
            <w:col w:w="10159"/>
          </w:cols>
          <w:pgMar w:left="300" w:top="372" w:right="1440" w:bottom="1440" w:gutter="0" w:footer="0" w:header="0"/>
        </w:sectPr>
      </w:pPr>
    </w:p>
    <w:bookmarkStart w:id="147" w:name="page148"/>
    <w:bookmarkEnd w:id="147"/>
    <w:p>
      <w:pPr>
        <w:spacing w:after="0"/>
        <w:rPr>
          <w:sz w:val="20"/>
          <w:szCs w:val="20"/>
          <w:color w:val="auto"/>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5177790" cy="674370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5177790" cy="6743700"/>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148" w:name="page149"/>
    <w:bookmarkEnd w:id="14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1497965</wp:posOffset>
            </wp:positionH>
            <wp:positionV relativeFrom="paragraph">
              <wp:posOffset>135890</wp:posOffset>
            </wp:positionV>
            <wp:extent cx="531495" cy="48577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531495" cy="48577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135890</wp:posOffset>
            </wp:positionV>
            <wp:extent cx="605790" cy="3771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6057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 xml:space="preserve">Using a </w:t>
      </w:r>
      <w:r>
        <w:rPr>
          <w:rFonts w:ascii="Arial" w:cs="Arial" w:eastAsia="Arial" w:hAnsi="Arial"/>
          <w:sz w:val="10"/>
          <w:szCs w:val="10"/>
          <w:b w:val="1"/>
          <w:bCs w:val="1"/>
          <w:u w:val="single" w:color="auto"/>
          <w:color w:val="auto"/>
        </w:rPr>
        <w:t>black ink</w:t>
      </w:r>
      <w:r>
        <w:rPr>
          <w:rFonts w:ascii="Arial" w:cs="Arial" w:eastAsia="Arial" w:hAnsi="Arial"/>
          <w:sz w:val="10"/>
          <w:szCs w:val="10"/>
          <w:color w:val="auto"/>
        </w:rPr>
        <w:t xml:space="preserve"> pen, mark your votes with an </w:t>
      </w:r>
      <w:r>
        <w:rPr>
          <w:rFonts w:ascii="Arial" w:cs="Arial" w:eastAsia="Arial" w:hAnsi="Arial"/>
          <w:sz w:val="10"/>
          <w:szCs w:val="10"/>
          <w:b w:val="1"/>
          <w:bCs w:val="1"/>
          <w:color w:val="auto"/>
        </w:rPr>
        <w:t>X</w:t>
      </w:r>
      <w:r>
        <w:rPr>
          <w:rFonts w:ascii="Arial" w:cs="Arial" w:eastAsia="Arial" w:hAnsi="Arial"/>
          <w:sz w:val="10"/>
          <w:szCs w:val="10"/>
          <w:color w:val="auto"/>
        </w:rPr>
        <w:t xml:space="preserve"> as shown in</w:t>
      </w:r>
    </w:p>
    <w:p>
      <w:pPr>
        <w:ind w:left="1980"/>
        <w:spacing w:after="0" w:line="241" w:lineRule="exact"/>
        <w:tabs>
          <w:tab w:leader="none" w:pos="4460" w:val="left"/>
        </w:tabs>
        <w:rPr>
          <w:sz w:val="20"/>
          <w:szCs w:val="20"/>
          <w:color w:val="auto"/>
        </w:rPr>
      </w:pPr>
      <w:r>
        <w:rPr>
          <w:rFonts w:ascii="Arial" w:cs="Arial" w:eastAsia="Arial" w:hAnsi="Arial"/>
          <w:sz w:val="8"/>
          <w:szCs w:val="8"/>
          <w:color w:val="auto"/>
        </w:rPr>
        <w:t>this example. Please do not write outside the designated areas.</w:t>
      </w:r>
      <w:r>
        <w:rPr>
          <w:sz w:val="20"/>
          <w:szCs w:val="20"/>
          <w:color w:val="auto"/>
        </w:rPr>
        <w:tab/>
      </w: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93345</wp:posOffset>
            </wp:positionV>
            <wp:extent cx="5092065" cy="28575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5092065"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1939"/>
        <w:spacing w:after="0"/>
        <w:rPr>
          <w:sz w:val="20"/>
          <w:szCs w:val="20"/>
          <w:color w:val="auto"/>
        </w:rPr>
      </w:pPr>
      <w:r>
        <w:rPr>
          <w:rFonts w:ascii="Arial" w:cs="Arial" w:eastAsia="Arial" w:hAnsi="Arial"/>
          <w:sz w:val="10"/>
          <w:szCs w:val="10"/>
          <w:color w:val="auto"/>
        </w:rPr>
        <w:t xml:space="preserve">q </w:t>
      </w:r>
      <w:r>
        <w:rPr>
          <w:rFonts w:ascii="Arial" w:cs="Arial" w:eastAsia="Arial" w:hAnsi="Arial"/>
          <w:sz w:val="10"/>
          <w:szCs w:val="10"/>
          <w:b w:val="1"/>
          <w:bCs w:val="1"/>
          <w:color w:val="auto"/>
        </w:rPr>
        <w:t>IF VOTING BY MAIL, SIGN, DETACH AND RETURN THE BOTTOM PORTION IN THE ENCLOSED ENVELOPE.</w:t>
      </w:r>
      <w:r>
        <w:rPr>
          <w:rFonts w:ascii="Arial" w:cs="Arial" w:eastAsia="Arial" w:hAnsi="Arial"/>
          <w:sz w:val="10"/>
          <w:szCs w:val="10"/>
          <w:color w:val="auto"/>
        </w:rPr>
        <w:t xml:space="preserve"> q</w:t>
      </w:r>
    </w:p>
    <w:p>
      <w:pPr>
        <w:spacing w:after="0" w:line="148" w:lineRule="exact"/>
        <w:rPr>
          <w:sz w:val="20"/>
          <w:szCs w:val="20"/>
          <w:color w:val="auto"/>
        </w:rPr>
      </w:pPr>
    </w:p>
    <w:p>
      <w:pPr>
        <w:ind w:left="2200" w:hanging="205"/>
        <w:spacing w:after="0"/>
        <w:tabs>
          <w:tab w:leader="none" w:pos="2200" w:val="left"/>
        </w:tabs>
        <w:numPr>
          <w:ilvl w:val="0"/>
          <w:numId w:val="157"/>
        </w:numPr>
        <w:rPr>
          <w:rFonts w:ascii="Arial" w:cs="Arial" w:eastAsia="Arial" w:hAnsi="Arial"/>
          <w:sz w:val="11"/>
          <w:szCs w:val="11"/>
          <w:b w:val="1"/>
          <w:bCs w:val="1"/>
          <w:color w:val="FFFFFF"/>
        </w:rPr>
      </w:pPr>
      <w:r>
        <w:rPr>
          <w:rFonts w:ascii="Arial" w:cs="Arial" w:eastAsia="Arial" w:hAnsi="Arial"/>
          <w:sz w:val="11"/>
          <w:szCs w:val="11"/>
          <w:b w:val="1"/>
          <w:bCs w:val="1"/>
          <w:color w:val="auto"/>
        </w:rPr>
        <w:t xml:space="preserve">The Board of Directors recommends a vote </w:t>
      </w:r>
      <w:r>
        <w:rPr>
          <w:rFonts w:ascii="Arial" w:cs="Arial" w:eastAsia="Arial" w:hAnsi="Arial"/>
          <w:sz w:val="11"/>
          <w:szCs w:val="11"/>
          <w:b w:val="1"/>
          <w:bCs w:val="1"/>
          <w:u w:val="single" w:color="auto"/>
          <w:color w:val="auto"/>
        </w:rPr>
        <w:t>FOR</w:t>
      </w:r>
      <w:r>
        <w:rPr>
          <w:rFonts w:ascii="Arial" w:cs="Arial" w:eastAsia="Arial" w:hAnsi="Arial"/>
          <w:sz w:val="11"/>
          <w:szCs w:val="11"/>
          <w:b w:val="1"/>
          <w:bCs w:val="1"/>
          <w:color w:val="auto"/>
        </w:rPr>
        <w:t xml:space="preserve"> all nominees, </w:t>
      </w:r>
      <w:r>
        <w:rPr>
          <w:rFonts w:ascii="Arial" w:cs="Arial" w:eastAsia="Arial" w:hAnsi="Arial"/>
          <w:sz w:val="11"/>
          <w:szCs w:val="11"/>
          <w:b w:val="1"/>
          <w:bCs w:val="1"/>
          <w:u w:val="single" w:color="auto"/>
          <w:color w:val="auto"/>
        </w:rPr>
        <w:t>FOR</w:t>
      </w:r>
      <w:r>
        <w:rPr>
          <w:rFonts w:ascii="Arial" w:cs="Arial" w:eastAsia="Arial" w:hAnsi="Arial"/>
          <w:sz w:val="11"/>
          <w:szCs w:val="11"/>
          <w:b w:val="1"/>
          <w:bCs w:val="1"/>
          <w:color w:val="auto"/>
        </w:rPr>
        <w:t xml:space="preserve"> Proposals 2, 4 and 5, and </w:t>
      </w:r>
      <w:r>
        <w:rPr>
          <w:rFonts w:ascii="Arial" w:cs="Arial" w:eastAsia="Arial" w:hAnsi="Arial"/>
          <w:sz w:val="11"/>
          <w:szCs w:val="11"/>
          <w:b w:val="1"/>
          <w:bCs w:val="1"/>
          <w:u w:val="single" w:color="auto"/>
          <w:color w:val="auto"/>
        </w:rPr>
        <w:t>1 Year</w:t>
      </w:r>
      <w:r>
        <w:rPr>
          <w:rFonts w:ascii="Arial" w:cs="Arial" w:eastAsia="Arial" w:hAnsi="Arial"/>
          <w:sz w:val="11"/>
          <w:szCs w:val="11"/>
          <w:b w:val="1"/>
          <w:bCs w:val="1"/>
          <w:color w:val="auto"/>
        </w:rPr>
        <w:t xml:space="preserve"> on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-71755</wp:posOffset>
            </wp:positionV>
            <wp:extent cx="4663440" cy="9144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p>
      <w:pPr>
        <w:spacing w:after="0" w:line="376" w:lineRule="exact"/>
        <w:rPr>
          <w:sz w:val="20"/>
          <w:szCs w:val="20"/>
          <w:color w:val="auto"/>
        </w:rPr>
      </w:pPr>
    </w:p>
    <w:tbl>
      <w:tblPr>
        <w:tblLayout w:type="fixed"/>
        <w:tblInd w:w="1980" w:type="dxa"/>
        <w:tblCellMar>
          <w:top w:w="0" w:type="dxa"/>
          <w:left w:w="0" w:type="dxa"/>
          <w:bottom w:w="0" w:type="dxa"/>
          <w:right w:w="0" w:type="dxa"/>
        </w:tblCellMar>
      </w:tblPr>
      <w:tr>
        <w:trPr>
          <w:trHeight w:val="123"/>
        </w:trPr>
        <w:tc>
          <w:tcPr>
            <w:tcW w:w="1260" w:type="dxa"/>
            <w:vAlign w:val="bottom"/>
            <w:gridSpan w:val="2"/>
          </w:tcPr>
          <w:p>
            <w:pPr>
              <w:spacing w:after="0"/>
              <w:rPr>
                <w:sz w:val="20"/>
                <w:szCs w:val="20"/>
                <w:color w:val="auto"/>
              </w:rPr>
            </w:pPr>
            <w:r>
              <w:rPr>
                <w:rFonts w:ascii="Arial" w:cs="Arial" w:eastAsia="Arial" w:hAnsi="Arial"/>
                <w:sz w:val="10"/>
                <w:szCs w:val="10"/>
                <w:color w:val="auto"/>
              </w:rPr>
              <w:t>1.  Election of Directors:</w:t>
            </w:r>
          </w:p>
        </w:tc>
        <w:tc>
          <w:tcPr>
            <w:tcW w:w="320" w:type="dxa"/>
            <w:vAlign w:val="bottom"/>
          </w:tcPr>
          <w:p>
            <w:pPr>
              <w:jc w:val="center"/>
              <w:ind w:left="2"/>
              <w:spacing w:after="0"/>
              <w:rPr>
                <w:sz w:val="20"/>
                <w:szCs w:val="20"/>
                <w:color w:val="auto"/>
              </w:rPr>
            </w:pPr>
            <w:r>
              <w:rPr>
                <w:rFonts w:ascii="Arial" w:cs="Arial" w:eastAsia="Arial" w:hAnsi="Arial"/>
                <w:sz w:val="10"/>
                <w:szCs w:val="10"/>
                <w:b w:val="1"/>
                <w:bCs w:val="1"/>
                <w:color w:val="auto"/>
                <w:w w:val="86"/>
              </w:rPr>
              <w:t>For</w:t>
            </w: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81"/>
              </w:rPr>
              <w:t>Against</w:t>
            </w: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87"/>
              </w:rPr>
              <w:t>Abstain</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251"/>
        </w:trPr>
        <w:tc>
          <w:tcPr>
            <w:tcW w:w="280" w:type="dxa"/>
            <w:vAlign w:val="bottom"/>
          </w:tcPr>
          <w:p>
            <w:pPr>
              <w:jc w:val="right"/>
              <w:spacing w:after="0"/>
              <w:rPr>
                <w:sz w:val="20"/>
                <w:szCs w:val="20"/>
                <w:color w:val="auto"/>
              </w:rPr>
            </w:pPr>
            <w:r>
              <w:rPr>
                <w:rFonts w:ascii="Arial" w:cs="Arial" w:eastAsia="Arial" w:hAnsi="Arial"/>
                <w:sz w:val="10"/>
                <w:szCs w:val="10"/>
                <w:color w:val="auto"/>
              </w:rPr>
              <w:t>01</w:t>
            </w:r>
          </w:p>
        </w:tc>
        <w:tc>
          <w:tcPr>
            <w:tcW w:w="980" w:type="dxa"/>
            <w:vAlign w:val="bottom"/>
          </w:tcPr>
          <w:p>
            <w:pPr>
              <w:spacing w:after="0"/>
              <w:rPr>
                <w:sz w:val="20"/>
                <w:szCs w:val="20"/>
                <w:color w:val="auto"/>
              </w:rPr>
            </w:pPr>
            <w:r>
              <w:rPr>
                <w:rFonts w:ascii="Arial" w:cs="Arial" w:eastAsia="Arial" w:hAnsi="Arial"/>
                <w:sz w:val="10"/>
                <w:szCs w:val="10"/>
                <w:color w:val="auto"/>
              </w:rPr>
              <w:t>- Michael R. Burns</w:t>
            </w:r>
          </w:p>
        </w:tc>
        <w:tc>
          <w:tcPr>
            <w:tcW w:w="320" w:type="dxa"/>
            <w:vAlign w:val="bottom"/>
          </w:tcPr>
          <w:p>
            <w:pPr>
              <w:jc w:val="center"/>
              <w:ind w:left="2"/>
              <w:spacing w:after="0" w:line="121" w:lineRule="exact"/>
              <w:rPr>
                <w:sz w:val="20"/>
                <w:szCs w:val="20"/>
                <w:color w:val="auto"/>
              </w:rPr>
            </w:pPr>
            <w:r>
              <w:rPr>
                <w:rFonts w:ascii="MS PGothic" w:cs="MS PGothic" w:eastAsia="MS PGothic" w:hAnsi="MS PGothic"/>
                <w:sz w:val="12"/>
                <w:szCs w:val="12"/>
                <w:color w:val="auto"/>
                <w:w w:val="82"/>
              </w:rPr>
              <w:t>☐</w:t>
            </w:r>
          </w:p>
        </w:tc>
        <w:tc>
          <w:tcPr>
            <w:tcW w:w="4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4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140" w:type="dxa"/>
            <w:vAlign w:val="bottom"/>
          </w:tcPr>
          <w:p>
            <w:pPr>
              <w:ind w:left="40"/>
              <w:spacing w:after="0"/>
              <w:rPr>
                <w:sz w:val="20"/>
                <w:szCs w:val="20"/>
                <w:color w:val="auto"/>
              </w:rPr>
            </w:pPr>
            <w:r>
              <w:rPr>
                <w:rFonts w:ascii="Arial" w:cs="Arial" w:eastAsia="Arial" w:hAnsi="Arial"/>
                <w:sz w:val="10"/>
                <w:szCs w:val="10"/>
                <w:color w:val="auto"/>
                <w:w w:val="71"/>
              </w:rPr>
              <w:t>02</w:t>
            </w:r>
          </w:p>
        </w:tc>
        <w:tc>
          <w:tcPr>
            <w:tcW w:w="920" w:type="dxa"/>
            <w:vAlign w:val="bottom"/>
            <w:gridSpan w:val="3"/>
          </w:tcPr>
          <w:p>
            <w:pPr>
              <w:ind w:left="20"/>
              <w:spacing w:after="0"/>
              <w:rPr>
                <w:sz w:val="20"/>
                <w:szCs w:val="20"/>
                <w:color w:val="auto"/>
              </w:rPr>
            </w:pPr>
            <w:r>
              <w:rPr>
                <w:rFonts w:ascii="Arial" w:cs="Arial" w:eastAsia="Arial" w:hAnsi="Arial"/>
                <w:sz w:val="10"/>
                <w:szCs w:val="10"/>
                <w:color w:val="auto"/>
              </w:rPr>
              <w:t>- Hope F. Cochran</w:t>
            </w:r>
          </w:p>
        </w:tc>
      </w:tr>
      <w:tr>
        <w:trPr>
          <w:trHeight w:val="144"/>
        </w:trPr>
        <w:tc>
          <w:tcPr>
            <w:tcW w:w="280" w:type="dxa"/>
            <w:vAlign w:val="bottom"/>
          </w:tcPr>
          <w:p>
            <w:pPr>
              <w:jc w:val="right"/>
              <w:spacing w:after="0"/>
              <w:rPr>
                <w:sz w:val="20"/>
                <w:szCs w:val="20"/>
                <w:color w:val="auto"/>
              </w:rPr>
            </w:pPr>
            <w:r>
              <w:rPr>
                <w:rFonts w:ascii="Arial" w:cs="Arial" w:eastAsia="Arial" w:hAnsi="Arial"/>
                <w:sz w:val="10"/>
                <w:szCs w:val="10"/>
                <w:color w:val="auto"/>
              </w:rPr>
              <w:t>04</w:t>
            </w:r>
          </w:p>
        </w:tc>
        <w:tc>
          <w:tcPr>
            <w:tcW w:w="980" w:type="dxa"/>
            <w:vAlign w:val="bottom"/>
          </w:tcPr>
          <w:p>
            <w:pPr>
              <w:spacing w:after="0"/>
              <w:rPr>
                <w:sz w:val="20"/>
                <w:szCs w:val="20"/>
                <w:color w:val="auto"/>
              </w:rPr>
            </w:pPr>
            <w:r>
              <w:rPr>
                <w:rFonts w:ascii="Arial" w:cs="Arial" w:eastAsia="Arial" w:hAnsi="Arial"/>
                <w:sz w:val="10"/>
                <w:szCs w:val="10"/>
                <w:color w:val="auto"/>
              </w:rPr>
              <w:t>- Lisa Gersh</w:t>
            </w:r>
          </w:p>
        </w:tc>
        <w:tc>
          <w:tcPr>
            <w:tcW w:w="320" w:type="dxa"/>
            <w:vAlign w:val="bottom"/>
          </w:tcPr>
          <w:p>
            <w:pPr>
              <w:jc w:val="center"/>
              <w:ind w:left="2"/>
              <w:spacing w:after="0" w:line="121" w:lineRule="exact"/>
              <w:rPr>
                <w:sz w:val="20"/>
                <w:szCs w:val="20"/>
                <w:color w:val="auto"/>
              </w:rPr>
            </w:pPr>
            <w:r>
              <w:rPr>
                <w:rFonts w:ascii="MS PGothic" w:cs="MS PGothic" w:eastAsia="MS PGothic" w:hAnsi="MS PGothic"/>
                <w:sz w:val="12"/>
                <w:szCs w:val="12"/>
                <w:color w:val="auto"/>
                <w:w w:val="82"/>
              </w:rPr>
              <w:t>☐</w:t>
            </w:r>
          </w:p>
        </w:tc>
        <w:tc>
          <w:tcPr>
            <w:tcW w:w="4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4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140" w:type="dxa"/>
            <w:vAlign w:val="bottom"/>
          </w:tcPr>
          <w:p>
            <w:pPr>
              <w:ind w:left="40"/>
              <w:spacing w:after="0"/>
              <w:rPr>
                <w:sz w:val="20"/>
                <w:szCs w:val="20"/>
                <w:color w:val="auto"/>
              </w:rPr>
            </w:pPr>
            <w:r>
              <w:rPr>
                <w:rFonts w:ascii="Arial" w:cs="Arial" w:eastAsia="Arial" w:hAnsi="Arial"/>
                <w:sz w:val="10"/>
                <w:szCs w:val="10"/>
                <w:color w:val="auto"/>
                <w:w w:val="71"/>
              </w:rPr>
              <w:t>05</w:t>
            </w:r>
          </w:p>
        </w:tc>
        <w:tc>
          <w:tcPr>
            <w:tcW w:w="920" w:type="dxa"/>
            <w:vAlign w:val="bottom"/>
            <w:gridSpan w:val="3"/>
          </w:tcPr>
          <w:p>
            <w:pPr>
              <w:ind w:left="20"/>
              <w:spacing w:after="0"/>
              <w:rPr>
                <w:sz w:val="20"/>
                <w:szCs w:val="20"/>
                <w:color w:val="auto"/>
              </w:rPr>
            </w:pPr>
            <w:r>
              <w:rPr>
                <w:rFonts w:ascii="Arial" w:cs="Arial" w:eastAsia="Arial" w:hAnsi="Arial"/>
                <w:sz w:val="10"/>
                <w:szCs w:val="10"/>
                <w:color w:val="auto"/>
              </w:rPr>
              <w:t>- Elizabeth Hamren</w:t>
            </w:r>
          </w:p>
        </w:tc>
      </w:tr>
      <w:tr>
        <w:trPr>
          <w:trHeight w:val="144"/>
        </w:trPr>
        <w:tc>
          <w:tcPr>
            <w:tcW w:w="280" w:type="dxa"/>
            <w:vAlign w:val="bottom"/>
          </w:tcPr>
          <w:p>
            <w:pPr>
              <w:jc w:val="right"/>
              <w:spacing w:after="0"/>
              <w:rPr>
                <w:sz w:val="20"/>
                <w:szCs w:val="20"/>
                <w:color w:val="auto"/>
              </w:rPr>
            </w:pPr>
            <w:r>
              <w:rPr>
                <w:rFonts w:ascii="Arial" w:cs="Arial" w:eastAsia="Arial" w:hAnsi="Arial"/>
                <w:sz w:val="10"/>
                <w:szCs w:val="10"/>
                <w:color w:val="auto"/>
              </w:rPr>
              <w:t>07</w:t>
            </w:r>
          </w:p>
        </w:tc>
        <w:tc>
          <w:tcPr>
            <w:tcW w:w="980" w:type="dxa"/>
            <w:vAlign w:val="bottom"/>
          </w:tcPr>
          <w:p>
            <w:pPr>
              <w:spacing w:after="0"/>
              <w:rPr>
                <w:sz w:val="20"/>
                <w:szCs w:val="20"/>
                <w:color w:val="auto"/>
              </w:rPr>
            </w:pPr>
            <w:r>
              <w:rPr>
                <w:rFonts w:ascii="Arial" w:cs="Arial" w:eastAsia="Arial" w:hAnsi="Arial"/>
                <w:sz w:val="10"/>
                <w:szCs w:val="10"/>
                <w:color w:val="auto"/>
              </w:rPr>
              <w:t>- Tracy A. Leinbach</w:t>
            </w:r>
          </w:p>
        </w:tc>
        <w:tc>
          <w:tcPr>
            <w:tcW w:w="320" w:type="dxa"/>
            <w:vAlign w:val="bottom"/>
          </w:tcPr>
          <w:p>
            <w:pPr>
              <w:jc w:val="center"/>
              <w:ind w:left="2"/>
              <w:spacing w:after="0" w:line="121" w:lineRule="exact"/>
              <w:rPr>
                <w:sz w:val="20"/>
                <w:szCs w:val="20"/>
                <w:color w:val="auto"/>
              </w:rPr>
            </w:pPr>
            <w:r>
              <w:rPr>
                <w:rFonts w:ascii="MS PGothic" w:cs="MS PGothic" w:eastAsia="MS PGothic" w:hAnsi="MS PGothic"/>
                <w:sz w:val="12"/>
                <w:szCs w:val="12"/>
                <w:color w:val="auto"/>
                <w:w w:val="82"/>
              </w:rPr>
              <w:t>☐</w:t>
            </w:r>
          </w:p>
        </w:tc>
        <w:tc>
          <w:tcPr>
            <w:tcW w:w="4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4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140" w:type="dxa"/>
            <w:vAlign w:val="bottom"/>
          </w:tcPr>
          <w:p>
            <w:pPr>
              <w:ind w:left="40"/>
              <w:spacing w:after="0"/>
              <w:rPr>
                <w:sz w:val="20"/>
                <w:szCs w:val="20"/>
                <w:color w:val="auto"/>
              </w:rPr>
            </w:pPr>
            <w:r>
              <w:rPr>
                <w:rFonts w:ascii="Arial" w:cs="Arial" w:eastAsia="Arial" w:hAnsi="Arial"/>
                <w:sz w:val="10"/>
                <w:szCs w:val="10"/>
                <w:color w:val="auto"/>
                <w:w w:val="71"/>
              </w:rPr>
              <w:t>08</w:t>
            </w:r>
          </w:p>
        </w:tc>
        <w:tc>
          <w:tcPr>
            <w:tcW w:w="680" w:type="dxa"/>
            <w:vAlign w:val="bottom"/>
            <w:gridSpan w:val="2"/>
          </w:tcPr>
          <w:p>
            <w:pPr>
              <w:ind w:left="20"/>
              <w:spacing w:after="0"/>
              <w:rPr>
                <w:sz w:val="20"/>
                <w:szCs w:val="20"/>
                <w:color w:val="auto"/>
              </w:rPr>
            </w:pPr>
            <w:r>
              <w:rPr>
                <w:rFonts w:ascii="Arial" w:cs="Arial" w:eastAsia="Arial" w:hAnsi="Arial"/>
                <w:sz w:val="10"/>
                <w:szCs w:val="10"/>
                <w:color w:val="auto"/>
                <w:w w:val="85"/>
              </w:rPr>
              <w:t>- Laurel J. Richie</w:t>
            </w:r>
          </w:p>
        </w:tc>
        <w:tc>
          <w:tcPr>
            <w:tcW w:w="240" w:type="dxa"/>
            <w:vAlign w:val="bottom"/>
          </w:tcPr>
          <w:p>
            <w:pPr>
              <w:spacing w:after="0"/>
              <w:rPr>
                <w:sz w:val="12"/>
                <w:szCs w:val="12"/>
                <w:color w:val="auto"/>
              </w:rPr>
            </w:pPr>
          </w:p>
        </w:tc>
      </w:tr>
      <w:tr>
        <w:trPr>
          <w:trHeight w:val="187"/>
        </w:trPr>
        <w:tc>
          <w:tcPr>
            <w:tcW w:w="280" w:type="dxa"/>
            <w:vAlign w:val="bottom"/>
          </w:tcPr>
          <w:p>
            <w:pPr>
              <w:jc w:val="right"/>
              <w:spacing w:after="0"/>
              <w:rPr>
                <w:sz w:val="20"/>
                <w:szCs w:val="20"/>
                <w:color w:val="auto"/>
              </w:rPr>
            </w:pPr>
            <w:r>
              <w:rPr>
                <w:rFonts w:ascii="Arial" w:cs="Arial" w:eastAsia="Arial" w:hAnsi="Arial"/>
                <w:sz w:val="10"/>
                <w:szCs w:val="10"/>
                <w:color w:val="auto"/>
              </w:rPr>
              <w:t>10</w:t>
            </w:r>
          </w:p>
        </w:tc>
        <w:tc>
          <w:tcPr>
            <w:tcW w:w="980" w:type="dxa"/>
            <w:vAlign w:val="bottom"/>
          </w:tcPr>
          <w:p>
            <w:pPr>
              <w:spacing w:after="0"/>
              <w:rPr>
                <w:sz w:val="20"/>
                <w:szCs w:val="20"/>
                <w:color w:val="auto"/>
              </w:rPr>
            </w:pPr>
            <w:r>
              <w:rPr>
                <w:rFonts w:ascii="Arial" w:cs="Arial" w:eastAsia="Arial" w:hAnsi="Arial"/>
                <w:sz w:val="10"/>
                <w:szCs w:val="10"/>
                <w:color w:val="auto"/>
              </w:rPr>
              <w:t>- Mary Best West</w:t>
            </w:r>
          </w:p>
        </w:tc>
        <w:tc>
          <w:tcPr>
            <w:tcW w:w="320" w:type="dxa"/>
            <w:vAlign w:val="bottom"/>
          </w:tcPr>
          <w:p>
            <w:pPr>
              <w:jc w:val="center"/>
              <w:ind w:left="2"/>
              <w:spacing w:after="0" w:line="121" w:lineRule="exact"/>
              <w:rPr>
                <w:sz w:val="20"/>
                <w:szCs w:val="20"/>
                <w:color w:val="auto"/>
              </w:rPr>
            </w:pPr>
            <w:r>
              <w:rPr>
                <w:rFonts w:ascii="MS PGothic" w:cs="MS PGothic" w:eastAsia="MS PGothic" w:hAnsi="MS PGothic"/>
                <w:sz w:val="12"/>
                <w:szCs w:val="12"/>
                <w:color w:val="auto"/>
                <w:w w:val="82"/>
              </w:rPr>
              <w:t>☐</w:t>
            </w:r>
          </w:p>
        </w:tc>
        <w:tc>
          <w:tcPr>
            <w:tcW w:w="4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4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1060" w:type="dxa"/>
            <w:vAlign w:val="bottom"/>
            <w:gridSpan w:val="4"/>
          </w:tcPr>
          <w:p>
            <w:pPr>
              <w:ind w:left="40"/>
              <w:spacing w:after="0"/>
              <w:rPr>
                <w:sz w:val="20"/>
                <w:szCs w:val="20"/>
                <w:color w:val="auto"/>
              </w:rPr>
            </w:pPr>
            <w:r>
              <w:rPr>
                <w:rFonts w:ascii="Arial" w:cs="Arial" w:eastAsia="Arial" w:hAnsi="Arial"/>
                <w:sz w:val="10"/>
                <w:szCs w:val="10"/>
                <w:color w:val="auto"/>
                <w:w w:val="87"/>
              </w:rPr>
              <w:t>11 - Linda Zecher Higgins</w:t>
            </w:r>
          </w:p>
        </w:tc>
      </w:tr>
      <w:tr>
        <w:trPr>
          <w:trHeight w:val="254"/>
        </w:trPr>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3"/>
          </w:tcPr>
          <w:p>
            <w:pPr>
              <w:ind w:left="60"/>
              <w:spacing w:after="0"/>
              <w:rPr>
                <w:sz w:val="20"/>
                <w:szCs w:val="20"/>
                <w:color w:val="auto"/>
              </w:rPr>
            </w:pPr>
            <w:r>
              <w:rPr>
                <w:rFonts w:ascii="Arial" w:cs="Arial" w:eastAsia="Arial" w:hAnsi="Arial"/>
                <w:sz w:val="10"/>
                <w:szCs w:val="10"/>
                <w:b w:val="1"/>
                <w:bCs w:val="1"/>
                <w:color w:val="auto"/>
                <w:w w:val="88"/>
              </w:rPr>
              <w:t>For Against Abstain</w:t>
            </w:r>
          </w:p>
        </w:tc>
      </w:tr>
      <w:tr>
        <w:trPr>
          <w:trHeight w:val="113"/>
        </w:trPr>
        <w:tc>
          <w:tcPr>
            <w:tcW w:w="2460" w:type="dxa"/>
            <w:vAlign w:val="bottom"/>
            <w:gridSpan w:val="5"/>
          </w:tcPr>
          <w:p>
            <w:pPr>
              <w:spacing w:after="0" w:line="113" w:lineRule="exact"/>
              <w:rPr>
                <w:sz w:val="20"/>
                <w:szCs w:val="20"/>
                <w:color w:val="auto"/>
              </w:rPr>
            </w:pPr>
            <w:r>
              <w:rPr>
                <w:rFonts w:ascii="Arial" w:cs="Arial" w:eastAsia="Arial" w:hAnsi="Arial"/>
                <w:sz w:val="10"/>
                <w:szCs w:val="10"/>
                <w:color w:val="auto"/>
                <w:w w:val="92"/>
              </w:rPr>
              <w:t>2.  Advisory Vote to Approve the Compensation of Hasbro’s</w:t>
            </w:r>
          </w:p>
        </w:tc>
        <w:tc>
          <w:tcPr>
            <w:tcW w:w="140" w:type="dxa"/>
            <w:vAlign w:val="bottom"/>
          </w:tcPr>
          <w:p>
            <w:pPr>
              <w:spacing w:after="0"/>
              <w:rPr>
                <w:sz w:val="9"/>
                <w:szCs w:val="9"/>
                <w:color w:val="auto"/>
              </w:rPr>
            </w:pPr>
          </w:p>
        </w:tc>
        <w:tc>
          <w:tcPr>
            <w:tcW w:w="260" w:type="dxa"/>
            <w:vAlign w:val="bottom"/>
          </w:tcPr>
          <w:p>
            <w:pPr>
              <w:ind w:left="80"/>
              <w:spacing w:after="0" w:line="113" w:lineRule="exact"/>
              <w:rPr>
                <w:sz w:val="20"/>
                <w:szCs w:val="20"/>
                <w:color w:val="auto"/>
              </w:rPr>
            </w:pPr>
            <w:r>
              <w:rPr>
                <w:rFonts w:ascii="MS PGothic" w:cs="MS PGothic" w:eastAsia="MS PGothic" w:hAnsi="MS PGothic"/>
                <w:sz w:val="12"/>
                <w:szCs w:val="12"/>
                <w:color w:val="auto"/>
              </w:rPr>
              <w:t>☐</w:t>
            </w:r>
          </w:p>
        </w:tc>
        <w:tc>
          <w:tcPr>
            <w:tcW w:w="420" w:type="dxa"/>
            <w:vAlign w:val="bottom"/>
          </w:tcPr>
          <w:p>
            <w:pPr>
              <w:ind w:left="80"/>
              <w:spacing w:after="0" w:line="113" w:lineRule="exact"/>
              <w:rPr>
                <w:sz w:val="20"/>
                <w:szCs w:val="20"/>
                <w:color w:val="auto"/>
              </w:rPr>
            </w:pPr>
            <w:r>
              <w:rPr>
                <w:rFonts w:ascii="MS PGothic" w:cs="MS PGothic" w:eastAsia="MS PGothic" w:hAnsi="MS PGothic"/>
                <w:sz w:val="12"/>
                <w:szCs w:val="12"/>
                <w:color w:val="auto"/>
              </w:rPr>
              <w:t>☐</w:t>
            </w:r>
          </w:p>
        </w:tc>
        <w:tc>
          <w:tcPr>
            <w:tcW w:w="240" w:type="dxa"/>
            <w:vAlign w:val="bottom"/>
          </w:tcPr>
          <w:p>
            <w:pPr>
              <w:ind w:left="20"/>
              <w:spacing w:after="0" w:line="113" w:lineRule="exact"/>
              <w:rPr>
                <w:sz w:val="20"/>
                <w:szCs w:val="20"/>
                <w:color w:val="auto"/>
              </w:rPr>
            </w:pPr>
            <w:r>
              <w:rPr>
                <w:rFonts w:ascii="MS PGothic" w:cs="MS PGothic" w:eastAsia="MS PGothic" w:hAnsi="MS PGothic"/>
                <w:sz w:val="12"/>
                <w:szCs w:val="12"/>
                <w:color w:val="auto"/>
              </w:rPr>
              <w:t>☐</w:t>
            </w:r>
          </w:p>
        </w:tc>
      </w:tr>
      <w:tr>
        <w:trPr>
          <w:trHeight w:val="121"/>
        </w:trPr>
        <w:tc>
          <w:tcPr>
            <w:tcW w:w="1260" w:type="dxa"/>
            <w:vAlign w:val="bottom"/>
            <w:gridSpan w:val="2"/>
          </w:tcPr>
          <w:p>
            <w:pPr>
              <w:ind w:left="140"/>
              <w:spacing w:after="0"/>
              <w:rPr>
                <w:sz w:val="20"/>
                <w:szCs w:val="20"/>
                <w:color w:val="auto"/>
              </w:rPr>
            </w:pPr>
            <w:r>
              <w:rPr>
                <w:rFonts w:ascii="Arial" w:cs="Arial" w:eastAsia="Arial" w:hAnsi="Arial"/>
                <w:sz w:val="10"/>
                <w:szCs w:val="10"/>
                <w:color w:val="auto"/>
                <w:w w:val="95"/>
              </w:rPr>
              <w:t>Named Executive Officers</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365"/>
        </w:trPr>
        <w:tc>
          <w:tcPr>
            <w:tcW w:w="2460" w:type="dxa"/>
            <w:vAlign w:val="bottom"/>
            <w:gridSpan w:val="5"/>
          </w:tcPr>
          <w:p>
            <w:pPr>
              <w:spacing w:after="0"/>
              <w:rPr>
                <w:sz w:val="20"/>
                <w:szCs w:val="20"/>
                <w:color w:val="auto"/>
              </w:rPr>
            </w:pPr>
            <w:r>
              <w:rPr>
                <w:rFonts w:ascii="Arial" w:cs="Arial" w:eastAsia="Arial" w:hAnsi="Arial"/>
                <w:sz w:val="10"/>
                <w:szCs w:val="10"/>
                <w:color w:val="auto"/>
                <w:w w:val="88"/>
              </w:rPr>
              <w:t>4.  Approval of Amendments to Hasbro’s Restated 2003 Stock</w:t>
            </w:r>
          </w:p>
        </w:tc>
        <w:tc>
          <w:tcPr>
            <w:tcW w:w="140" w:type="dxa"/>
            <w:vAlign w:val="bottom"/>
          </w:tcPr>
          <w:p>
            <w:pPr>
              <w:spacing w:after="0"/>
              <w:rPr>
                <w:sz w:val="24"/>
                <w:szCs w:val="24"/>
                <w:color w:val="auto"/>
              </w:rPr>
            </w:pPr>
          </w:p>
        </w:tc>
        <w:tc>
          <w:tcPr>
            <w:tcW w:w="260" w:type="dxa"/>
            <w:vAlign w:val="bottom"/>
          </w:tcPr>
          <w:p>
            <w:pPr>
              <w:ind w:left="80"/>
              <w:spacing w:after="0" w:line="121" w:lineRule="exact"/>
              <w:rPr>
                <w:sz w:val="20"/>
                <w:szCs w:val="20"/>
                <w:color w:val="auto"/>
              </w:rPr>
            </w:pPr>
            <w:r>
              <w:rPr>
                <w:rFonts w:ascii="MS PGothic" w:cs="MS PGothic" w:eastAsia="MS PGothic" w:hAnsi="MS PGothic"/>
                <w:sz w:val="12"/>
                <w:szCs w:val="12"/>
                <w:color w:val="auto"/>
              </w:rPr>
              <w:t>☐</w:t>
            </w:r>
          </w:p>
        </w:tc>
        <w:tc>
          <w:tcPr>
            <w:tcW w:w="420" w:type="dxa"/>
            <w:vAlign w:val="bottom"/>
          </w:tcPr>
          <w:p>
            <w:pPr>
              <w:ind w:left="80"/>
              <w:spacing w:after="0" w:line="121" w:lineRule="exact"/>
              <w:rPr>
                <w:sz w:val="20"/>
                <w:szCs w:val="20"/>
                <w:color w:val="auto"/>
              </w:rPr>
            </w:pPr>
            <w:r>
              <w:rPr>
                <w:rFonts w:ascii="MS PGothic" w:cs="MS PGothic" w:eastAsia="MS PGothic" w:hAnsi="MS PGothic"/>
                <w:sz w:val="12"/>
                <w:szCs w:val="12"/>
                <w:color w:val="auto"/>
              </w:rPr>
              <w:t>☐</w:t>
            </w:r>
          </w:p>
        </w:tc>
        <w:tc>
          <w:tcPr>
            <w:tcW w:w="24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r>
      <w:tr>
        <w:trPr>
          <w:trHeight w:val="121"/>
        </w:trPr>
        <w:tc>
          <w:tcPr>
            <w:tcW w:w="2020" w:type="dxa"/>
            <w:vAlign w:val="bottom"/>
            <w:gridSpan w:val="4"/>
          </w:tcPr>
          <w:p>
            <w:pPr>
              <w:ind w:left="140"/>
              <w:spacing w:after="0"/>
              <w:rPr>
                <w:sz w:val="20"/>
                <w:szCs w:val="20"/>
                <w:color w:val="auto"/>
              </w:rPr>
            </w:pPr>
            <w:r>
              <w:rPr>
                <w:rFonts w:ascii="Arial" w:cs="Arial" w:eastAsia="Arial" w:hAnsi="Arial"/>
                <w:sz w:val="10"/>
                <w:szCs w:val="10"/>
                <w:color w:val="auto"/>
              </w:rPr>
              <w:t>Incentive Performance Plan, as amended</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43"/>
        </w:trPr>
        <w:tc>
          <w:tcPr>
            <w:tcW w:w="200" w:type="dxa"/>
            <w:vAlign w:val="bottom"/>
          </w:tcPr>
          <w:p>
            <w:pPr>
              <w:spacing w:after="0"/>
              <w:rPr>
                <w:sz w:val="20"/>
                <w:szCs w:val="20"/>
                <w:color w:val="auto"/>
              </w:rPr>
            </w:pPr>
            <w:r>
              <w:rPr>
                <w:rFonts w:ascii="Arial" w:cs="Arial" w:eastAsia="Arial" w:hAnsi="Arial"/>
                <w:sz w:val="10"/>
                <w:szCs w:val="10"/>
                <w:b w:val="1"/>
                <w:bCs w:val="1"/>
                <w:color w:val="auto"/>
              </w:rPr>
              <w:t>For</w:t>
            </w: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81"/>
              </w:rPr>
              <w:t>Against</w:t>
            </w: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87"/>
              </w:rPr>
              <w:t>Abstain</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ind w:left="140"/>
              <w:spacing w:after="0"/>
              <w:rPr>
                <w:sz w:val="20"/>
                <w:szCs w:val="20"/>
                <w:color w:val="auto"/>
              </w:rPr>
            </w:pPr>
            <w:r>
              <w:rPr>
                <w:rFonts w:ascii="Arial" w:cs="Arial" w:eastAsia="Arial" w:hAnsi="Arial"/>
                <w:sz w:val="10"/>
                <w:szCs w:val="10"/>
                <w:b w:val="1"/>
                <w:bCs w:val="1"/>
                <w:color w:val="auto"/>
              </w:rPr>
              <w:t>For</w:t>
            </w: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87"/>
              </w:rPr>
              <w:t>Against</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w w:val="93"/>
              </w:rPr>
              <w:t xml:space="preserve">Abstain  </w:t>
            </w:r>
            <w:r>
              <w:rPr>
                <w:rFonts w:ascii="Arial" w:cs="Arial" w:eastAsia="Arial" w:hAnsi="Arial"/>
                <w:sz w:val="26"/>
                <w:szCs w:val="26"/>
                <w:b w:val="1"/>
                <w:bCs w:val="1"/>
                <w:color w:val="auto"/>
                <w:w w:val="93"/>
              </w:rPr>
              <w:t>+</w:t>
            </w:r>
          </w:p>
        </w:tc>
      </w:tr>
      <w:tr>
        <w:trPr>
          <w:trHeight w:val="246"/>
        </w:trPr>
        <w:tc>
          <w:tcPr>
            <w:tcW w:w="20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4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4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160" w:type="dxa"/>
            <w:vAlign w:val="bottom"/>
          </w:tcPr>
          <w:p>
            <w:pPr>
              <w:jc w:val="right"/>
              <w:spacing w:after="0"/>
              <w:rPr>
                <w:sz w:val="20"/>
                <w:szCs w:val="20"/>
                <w:color w:val="auto"/>
              </w:rPr>
            </w:pPr>
            <w:r>
              <w:rPr>
                <w:rFonts w:ascii="Arial" w:cs="Arial" w:eastAsia="Arial" w:hAnsi="Arial"/>
                <w:sz w:val="10"/>
                <w:szCs w:val="10"/>
                <w:color w:val="auto"/>
              </w:rPr>
              <w:t>03</w:t>
            </w:r>
          </w:p>
        </w:tc>
        <w:tc>
          <w:tcPr>
            <w:tcW w:w="980" w:type="dxa"/>
            <w:vAlign w:val="bottom"/>
          </w:tcPr>
          <w:p>
            <w:pPr>
              <w:ind w:left="20"/>
              <w:spacing w:after="0"/>
              <w:rPr>
                <w:sz w:val="20"/>
                <w:szCs w:val="20"/>
                <w:color w:val="auto"/>
              </w:rPr>
            </w:pPr>
            <w:r>
              <w:rPr>
                <w:rFonts w:ascii="Arial" w:cs="Arial" w:eastAsia="Arial" w:hAnsi="Arial"/>
                <w:sz w:val="10"/>
                <w:szCs w:val="10"/>
                <w:color w:val="auto"/>
              </w:rPr>
              <w:t>- Christian P. Cocks</w:t>
            </w:r>
          </w:p>
        </w:tc>
        <w:tc>
          <w:tcPr>
            <w:tcW w:w="36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62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r>
      <w:tr>
        <w:trPr>
          <w:trHeight w:val="144"/>
        </w:trPr>
        <w:tc>
          <w:tcPr>
            <w:tcW w:w="20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4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4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160" w:type="dxa"/>
            <w:vAlign w:val="bottom"/>
          </w:tcPr>
          <w:p>
            <w:pPr>
              <w:jc w:val="right"/>
              <w:spacing w:after="0"/>
              <w:rPr>
                <w:sz w:val="20"/>
                <w:szCs w:val="20"/>
                <w:color w:val="auto"/>
              </w:rPr>
            </w:pPr>
            <w:r>
              <w:rPr>
                <w:rFonts w:ascii="Arial" w:cs="Arial" w:eastAsia="Arial" w:hAnsi="Arial"/>
                <w:sz w:val="10"/>
                <w:szCs w:val="10"/>
                <w:color w:val="auto"/>
              </w:rPr>
              <w:t>06</w:t>
            </w:r>
          </w:p>
        </w:tc>
        <w:tc>
          <w:tcPr>
            <w:tcW w:w="980" w:type="dxa"/>
            <w:vAlign w:val="bottom"/>
          </w:tcPr>
          <w:p>
            <w:pPr>
              <w:ind w:left="20"/>
              <w:spacing w:after="0"/>
              <w:rPr>
                <w:sz w:val="20"/>
                <w:szCs w:val="20"/>
                <w:color w:val="auto"/>
              </w:rPr>
            </w:pPr>
            <w:r>
              <w:rPr>
                <w:rFonts w:ascii="Arial" w:cs="Arial" w:eastAsia="Arial" w:hAnsi="Arial"/>
                <w:sz w:val="10"/>
                <w:szCs w:val="10"/>
                <w:color w:val="auto"/>
              </w:rPr>
              <w:t>- Blake Jorgensen</w:t>
            </w:r>
          </w:p>
        </w:tc>
        <w:tc>
          <w:tcPr>
            <w:tcW w:w="36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62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r>
      <w:tr>
        <w:trPr>
          <w:trHeight w:val="144"/>
        </w:trPr>
        <w:tc>
          <w:tcPr>
            <w:tcW w:w="20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4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4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160" w:type="dxa"/>
            <w:vAlign w:val="bottom"/>
          </w:tcPr>
          <w:p>
            <w:pPr>
              <w:jc w:val="right"/>
              <w:spacing w:after="0"/>
              <w:rPr>
                <w:sz w:val="20"/>
                <w:szCs w:val="20"/>
                <w:color w:val="auto"/>
              </w:rPr>
            </w:pPr>
            <w:r>
              <w:rPr>
                <w:rFonts w:ascii="Arial" w:cs="Arial" w:eastAsia="Arial" w:hAnsi="Arial"/>
                <w:sz w:val="10"/>
                <w:szCs w:val="10"/>
                <w:color w:val="auto"/>
              </w:rPr>
              <w:t>09</w:t>
            </w:r>
          </w:p>
        </w:tc>
        <w:tc>
          <w:tcPr>
            <w:tcW w:w="980" w:type="dxa"/>
            <w:vAlign w:val="bottom"/>
          </w:tcPr>
          <w:p>
            <w:pPr>
              <w:ind w:left="20"/>
              <w:spacing w:after="0"/>
              <w:rPr>
                <w:sz w:val="20"/>
                <w:szCs w:val="20"/>
                <w:color w:val="auto"/>
              </w:rPr>
            </w:pPr>
            <w:r>
              <w:rPr>
                <w:rFonts w:ascii="Arial" w:cs="Arial" w:eastAsia="Arial" w:hAnsi="Arial"/>
                <w:sz w:val="10"/>
                <w:szCs w:val="10"/>
                <w:color w:val="auto"/>
              </w:rPr>
              <w:t>- Richard S. Stoddart</w:t>
            </w:r>
          </w:p>
        </w:tc>
        <w:tc>
          <w:tcPr>
            <w:tcW w:w="36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62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r>
      <w:tr>
        <w:trPr>
          <w:trHeight w:val="187"/>
        </w:trPr>
        <w:tc>
          <w:tcPr>
            <w:tcW w:w="20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4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4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80" w:type="dxa"/>
            <w:vAlign w:val="bottom"/>
          </w:tcPr>
          <w:p>
            <w:pPr>
              <w:jc w:val="center"/>
              <w:ind w:right="46"/>
              <w:spacing w:after="0"/>
              <w:rPr>
                <w:sz w:val="20"/>
                <w:szCs w:val="20"/>
                <w:color w:val="auto"/>
              </w:rPr>
            </w:pPr>
            <w:r>
              <w:rPr>
                <w:rFonts w:ascii="Arial" w:cs="Arial" w:eastAsia="Arial" w:hAnsi="Arial"/>
                <w:sz w:val="10"/>
                <w:szCs w:val="10"/>
                <w:b w:val="1"/>
                <w:bCs w:val="1"/>
                <w:color w:val="auto"/>
                <w:w w:val="82"/>
              </w:rPr>
              <w:t>1 year</w:t>
            </w:r>
          </w:p>
        </w:tc>
        <w:tc>
          <w:tcPr>
            <w:tcW w:w="420" w:type="dxa"/>
            <w:vAlign w:val="bottom"/>
          </w:tcPr>
          <w:p>
            <w:pPr>
              <w:ind w:left="120"/>
              <w:spacing w:after="0"/>
              <w:rPr>
                <w:sz w:val="20"/>
                <w:szCs w:val="20"/>
                <w:color w:val="auto"/>
              </w:rPr>
            </w:pPr>
            <w:r>
              <w:rPr>
                <w:rFonts w:ascii="Arial" w:cs="Arial" w:eastAsia="Arial" w:hAnsi="Arial"/>
                <w:sz w:val="10"/>
                <w:szCs w:val="10"/>
                <w:b w:val="1"/>
                <w:bCs w:val="1"/>
                <w:color w:val="auto"/>
                <w:w w:val="81"/>
              </w:rPr>
              <w:t>2 years</w:t>
            </w: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86"/>
              </w:rPr>
              <w:t>3 years</w:t>
            </w:r>
          </w:p>
        </w:tc>
        <w:tc>
          <w:tcPr>
            <w:tcW w:w="360" w:type="dxa"/>
            <w:vAlign w:val="bottom"/>
          </w:tcPr>
          <w:p>
            <w:pPr>
              <w:jc w:val="center"/>
              <w:ind w:left="6"/>
              <w:spacing w:after="0"/>
              <w:rPr>
                <w:sz w:val="20"/>
                <w:szCs w:val="20"/>
                <w:color w:val="auto"/>
              </w:rPr>
            </w:pPr>
            <w:r>
              <w:rPr>
                <w:rFonts w:ascii="Arial" w:cs="Arial" w:eastAsia="Arial" w:hAnsi="Arial"/>
                <w:sz w:val="10"/>
                <w:szCs w:val="10"/>
                <w:b w:val="1"/>
                <w:bCs w:val="1"/>
                <w:color w:val="auto"/>
                <w:w w:val="81"/>
              </w:rPr>
              <w:t>Abstain</w:t>
            </w:r>
          </w:p>
        </w:tc>
        <w:tc>
          <w:tcPr>
            <w:tcW w:w="0" w:type="dxa"/>
            <w:vAlign w:val="bottom"/>
          </w:tcPr>
          <w:p>
            <w:pPr>
              <w:spacing w:after="0"/>
              <w:rPr>
                <w:sz w:val="1"/>
                <w:szCs w:val="1"/>
                <w:color w:val="auto"/>
              </w:rPr>
            </w:pPr>
          </w:p>
        </w:tc>
      </w:tr>
      <w:tr>
        <w:trPr>
          <w:trHeight w:val="113"/>
        </w:trPr>
        <w:tc>
          <w:tcPr>
            <w:tcW w:w="100" w:type="dxa"/>
            <w:vAlign w:val="bottom"/>
          </w:tcPr>
          <w:p>
            <w:pPr>
              <w:jc w:val="right"/>
              <w:spacing w:after="0" w:line="113" w:lineRule="exact"/>
              <w:rPr>
                <w:sz w:val="20"/>
                <w:szCs w:val="20"/>
                <w:color w:val="auto"/>
              </w:rPr>
            </w:pPr>
            <w:r>
              <w:rPr>
                <w:rFonts w:ascii="Arial" w:cs="Arial" w:eastAsia="Arial" w:hAnsi="Arial"/>
                <w:sz w:val="10"/>
                <w:szCs w:val="10"/>
                <w:color w:val="auto"/>
                <w:w w:val="71"/>
              </w:rPr>
              <w:t>3.</w:t>
            </w:r>
          </w:p>
        </w:tc>
        <w:tc>
          <w:tcPr>
            <w:tcW w:w="1900" w:type="dxa"/>
            <w:vAlign w:val="bottom"/>
          </w:tcPr>
          <w:p>
            <w:pPr>
              <w:ind w:left="40"/>
              <w:spacing w:after="0" w:line="113" w:lineRule="exact"/>
              <w:rPr>
                <w:sz w:val="20"/>
                <w:szCs w:val="20"/>
                <w:color w:val="auto"/>
              </w:rPr>
            </w:pPr>
            <w:r>
              <w:rPr>
                <w:rFonts w:ascii="Arial" w:cs="Arial" w:eastAsia="Arial" w:hAnsi="Arial"/>
                <w:sz w:val="10"/>
                <w:szCs w:val="10"/>
                <w:color w:val="auto"/>
              </w:rPr>
              <w:t>Advisory Vote to Approve the Frequency</w:t>
            </w:r>
          </w:p>
        </w:tc>
        <w:tc>
          <w:tcPr>
            <w:tcW w:w="380" w:type="dxa"/>
            <w:vAlign w:val="bottom"/>
          </w:tcPr>
          <w:p>
            <w:pPr>
              <w:jc w:val="center"/>
              <w:ind w:right="46"/>
              <w:spacing w:after="0" w:line="113" w:lineRule="exact"/>
              <w:rPr>
                <w:sz w:val="20"/>
                <w:szCs w:val="20"/>
                <w:color w:val="auto"/>
              </w:rPr>
            </w:pPr>
            <w:r>
              <w:rPr>
                <w:rFonts w:ascii="MS PGothic" w:cs="MS PGothic" w:eastAsia="MS PGothic" w:hAnsi="MS PGothic"/>
                <w:sz w:val="12"/>
                <w:szCs w:val="12"/>
                <w:color w:val="auto"/>
                <w:w w:val="99"/>
              </w:rPr>
              <w:t>☐</w:t>
            </w:r>
          </w:p>
        </w:tc>
        <w:tc>
          <w:tcPr>
            <w:tcW w:w="420" w:type="dxa"/>
            <w:vAlign w:val="bottom"/>
          </w:tcPr>
          <w:p>
            <w:pPr>
              <w:ind w:left="220"/>
              <w:spacing w:after="0" w:line="113" w:lineRule="exact"/>
              <w:rPr>
                <w:sz w:val="20"/>
                <w:szCs w:val="20"/>
                <w:color w:val="auto"/>
              </w:rPr>
            </w:pPr>
            <w:r>
              <w:rPr>
                <w:rFonts w:ascii="MS PGothic" w:cs="MS PGothic" w:eastAsia="MS PGothic" w:hAnsi="MS PGothic"/>
                <w:sz w:val="12"/>
                <w:szCs w:val="12"/>
                <w:color w:val="auto"/>
              </w:rPr>
              <w:t>☐</w:t>
            </w:r>
          </w:p>
        </w:tc>
        <w:tc>
          <w:tcPr>
            <w:tcW w:w="420" w:type="dxa"/>
            <w:vAlign w:val="bottom"/>
          </w:tcPr>
          <w:p>
            <w:pPr>
              <w:jc w:val="center"/>
              <w:spacing w:after="0" w:line="113" w:lineRule="exact"/>
              <w:rPr>
                <w:sz w:val="20"/>
                <w:szCs w:val="20"/>
                <w:color w:val="auto"/>
              </w:rPr>
            </w:pPr>
            <w:r>
              <w:rPr>
                <w:rFonts w:ascii="MS PGothic" w:cs="MS PGothic" w:eastAsia="MS PGothic" w:hAnsi="MS PGothic"/>
                <w:sz w:val="12"/>
                <w:szCs w:val="12"/>
                <w:color w:val="auto"/>
                <w:w w:val="82"/>
              </w:rPr>
              <w:t>☐</w:t>
            </w:r>
          </w:p>
        </w:tc>
        <w:tc>
          <w:tcPr>
            <w:tcW w:w="360" w:type="dxa"/>
            <w:vAlign w:val="bottom"/>
          </w:tcPr>
          <w:p>
            <w:pPr>
              <w:jc w:val="center"/>
              <w:ind w:left="6"/>
              <w:spacing w:after="0" w:line="113"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1900" w:type="dxa"/>
            <w:vAlign w:val="bottom"/>
          </w:tcPr>
          <w:p>
            <w:pPr>
              <w:ind w:left="40"/>
              <w:spacing w:after="0" w:line="91" w:lineRule="exact"/>
              <w:rPr>
                <w:sz w:val="20"/>
                <w:szCs w:val="20"/>
                <w:color w:val="auto"/>
              </w:rPr>
            </w:pPr>
            <w:r>
              <w:rPr>
                <w:rFonts w:ascii="Arial" w:cs="Arial" w:eastAsia="Arial" w:hAnsi="Arial"/>
                <w:sz w:val="10"/>
                <w:szCs w:val="10"/>
                <w:color w:val="auto"/>
              </w:rPr>
              <w:t>of the Vote on Compensation of Hasbro’s</w:t>
            </w: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1900" w:type="dxa"/>
            <w:vAlign w:val="bottom"/>
          </w:tcPr>
          <w:p>
            <w:pPr>
              <w:ind w:left="40"/>
              <w:spacing w:after="0"/>
              <w:rPr>
                <w:sz w:val="20"/>
                <w:szCs w:val="20"/>
                <w:color w:val="auto"/>
              </w:rPr>
            </w:pPr>
            <w:r>
              <w:rPr>
                <w:rFonts w:ascii="Arial" w:cs="Arial" w:eastAsia="Arial" w:hAnsi="Arial"/>
                <w:sz w:val="10"/>
                <w:szCs w:val="10"/>
                <w:color w:val="auto"/>
              </w:rPr>
              <w:t>Named Executive Officers</w:t>
            </w:r>
          </w:p>
        </w:tc>
        <w:tc>
          <w:tcPr>
            <w:tcW w:w="380" w:type="dxa"/>
            <w:vAlign w:val="bottom"/>
          </w:tcPr>
          <w:p>
            <w:pPr>
              <w:spacing w:after="0"/>
              <w:rPr>
                <w:sz w:val="10"/>
                <w:szCs w:val="10"/>
                <w:color w:val="auto"/>
              </w:rPr>
            </w:pPr>
          </w:p>
        </w:tc>
        <w:tc>
          <w:tcPr>
            <w:tcW w:w="42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For</w:t>
            </w:r>
          </w:p>
        </w:tc>
        <w:tc>
          <w:tcPr>
            <w:tcW w:w="420" w:type="dxa"/>
            <w:vAlign w:val="bottom"/>
            <w:vMerge w:val="restart"/>
          </w:tcPr>
          <w:p>
            <w:pPr>
              <w:jc w:val="center"/>
              <w:ind w:right="46"/>
              <w:spacing w:after="0"/>
              <w:rPr>
                <w:sz w:val="20"/>
                <w:szCs w:val="20"/>
                <w:color w:val="auto"/>
              </w:rPr>
            </w:pPr>
            <w:r>
              <w:rPr>
                <w:rFonts w:ascii="Arial" w:cs="Arial" w:eastAsia="Arial" w:hAnsi="Arial"/>
                <w:sz w:val="10"/>
                <w:szCs w:val="10"/>
                <w:b w:val="1"/>
                <w:bCs w:val="1"/>
                <w:color w:val="auto"/>
                <w:w w:val="87"/>
              </w:rPr>
              <w:t>Against</w:t>
            </w:r>
          </w:p>
        </w:tc>
        <w:tc>
          <w:tcPr>
            <w:tcW w:w="360" w:type="dxa"/>
            <w:vAlign w:val="bottom"/>
            <w:vMerge w:val="restart"/>
          </w:tcPr>
          <w:p>
            <w:pPr>
              <w:jc w:val="center"/>
              <w:ind w:left="6"/>
              <w:spacing w:after="0"/>
              <w:rPr>
                <w:sz w:val="20"/>
                <w:szCs w:val="20"/>
                <w:color w:val="auto"/>
              </w:rPr>
            </w:pPr>
            <w:r>
              <w:rPr>
                <w:rFonts w:ascii="Arial" w:cs="Arial" w:eastAsia="Arial" w:hAnsi="Arial"/>
                <w:sz w:val="10"/>
                <w:szCs w:val="10"/>
                <w:b w:val="1"/>
                <w:bCs w:val="1"/>
                <w:color w:val="auto"/>
                <w:w w:val="81"/>
              </w:rPr>
              <w:t>Abstain</w:t>
            </w:r>
          </w:p>
        </w:tc>
        <w:tc>
          <w:tcPr>
            <w:tcW w:w="0" w:type="dxa"/>
            <w:vAlign w:val="bottom"/>
          </w:tcPr>
          <w:p>
            <w:pPr>
              <w:spacing w:after="0"/>
              <w:rPr>
                <w:sz w:val="1"/>
                <w:szCs w:val="1"/>
                <w:color w:val="auto"/>
              </w:rPr>
            </w:pPr>
          </w:p>
        </w:tc>
      </w:tr>
      <w:tr>
        <w:trPr>
          <w:trHeight w:val="71"/>
        </w:trPr>
        <w:tc>
          <w:tcPr>
            <w:tcW w:w="1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00" w:type="dxa"/>
            <w:vAlign w:val="bottom"/>
          </w:tcPr>
          <w:p>
            <w:pPr>
              <w:jc w:val="right"/>
              <w:spacing w:after="0" w:line="113" w:lineRule="exact"/>
              <w:rPr>
                <w:sz w:val="20"/>
                <w:szCs w:val="20"/>
                <w:color w:val="auto"/>
              </w:rPr>
            </w:pPr>
            <w:r>
              <w:rPr>
                <w:rFonts w:ascii="Arial" w:cs="Arial" w:eastAsia="Arial" w:hAnsi="Arial"/>
                <w:sz w:val="10"/>
                <w:szCs w:val="10"/>
                <w:color w:val="auto"/>
                <w:w w:val="71"/>
              </w:rPr>
              <w:t>5.</w:t>
            </w:r>
          </w:p>
        </w:tc>
        <w:tc>
          <w:tcPr>
            <w:tcW w:w="1900" w:type="dxa"/>
            <w:vAlign w:val="bottom"/>
          </w:tcPr>
          <w:p>
            <w:pPr>
              <w:ind w:left="100"/>
              <w:spacing w:after="0" w:line="113" w:lineRule="exact"/>
              <w:rPr>
                <w:sz w:val="20"/>
                <w:szCs w:val="20"/>
                <w:color w:val="auto"/>
              </w:rPr>
            </w:pPr>
            <w:r>
              <w:rPr>
                <w:rFonts w:ascii="Arial" w:cs="Arial" w:eastAsia="Arial" w:hAnsi="Arial"/>
                <w:sz w:val="10"/>
                <w:szCs w:val="10"/>
                <w:color w:val="auto"/>
                <w:w w:val="88"/>
              </w:rPr>
              <w:t>Ratification of KPMG LLP as the Independent</w:t>
            </w:r>
          </w:p>
        </w:tc>
        <w:tc>
          <w:tcPr>
            <w:tcW w:w="380" w:type="dxa"/>
            <w:vAlign w:val="bottom"/>
          </w:tcPr>
          <w:p>
            <w:pPr>
              <w:spacing w:after="0"/>
              <w:rPr>
                <w:sz w:val="9"/>
                <w:szCs w:val="9"/>
                <w:color w:val="auto"/>
              </w:rPr>
            </w:pPr>
          </w:p>
        </w:tc>
        <w:tc>
          <w:tcPr>
            <w:tcW w:w="420" w:type="dxa"/>
            <w:vAlign w:val="bottom"/>
          </w:tcPr>
          <w:p>
            <w:pPr>
              <w:ind w:left="160"/>
              <w:spacing w:after="0" w:line="113" w:lineRule="exact"/>
              <w:rPr>
                <w:sz w:val="20"/>
                <w:szCs w:val="20"/>
                <w:color w:val="auto"/>
              </w:rPr>
            </w:pPr>
            <w:r>
              <w:rPr>
                <w:rFonts w:ascii="MS PGothic" w:cs="MS PGothic" w:eastAsia="MS PGothic" w:hAnsi="MS PGothic"/>
                <w:sz w:val="12"/>
                <w:szCs w:val="12"/>
                <w:color w:val="auto"/>
              </w:rPr>
              <w:t>☐</w:t>
            </w:r>
          </w:p>
        </w:tc>
        <w:tc>
          <w:tcPr>
            <w:tcW w:w="420" w:type="dxa"/>
            <w:vAlign w:val="bottom"/>
          </w:tcPr>
          <w:p>
            <w:pPr>
              <w:jc w:val="center"/>
              <w:ind w:right="26"/>
              <w:spacing w:after="0" w:line="113" w:lineRule="exact"/>
              <w:rPr>
                <w:sz w:val="20"/>
                <w:szCs w:val="20"/>
                <w:color w:val="auto"/>
              </w:rPr>
            </w:pPr>
            <w:r>
              <w:rPr>
                <w:rFonts w:ascii="MS PGothic" w:cs="MS PGothic" w:eastAsia="MS PGothic" w:hAnsi="MS PGothic"/>
                <w:sz w:val="12"/>
                <w:szCs w:val="12"/>
                <w:color w:val="auto"/>
                <w:w w:val="82"/>
              </w:rPr>
              <w:t>☐</w:t>
            </w:r>
          </w:p>
        </w:tc>
        <w:tc>
          <w:tcPr>
            <w:tcW w:w="360" w:type="dxa"/>
            <w:vAlign w:val="bottom"/>
          </w:tcPr>
          <w:p>
            <w:pPr>
              <w:jc w:val="center"/>
              <w:ind w:left="6"/>
              <w:spacing w:after="0" w:line="113"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2280" w:type="dxa"/>
            <w:vAlign w:val="bottom"/>
            <w:gridSpan w:val="2"/>
          </w:tcPr>
          <w:p>
            <w:pPr>
              <w:ind w:left="100"/>
              <w:spacing w:after="0" w:line="91" w:lineRule="exact"/>
              <w:rPr>
                <w:sz w:val="20"/>
                <w:szCs w:val="20"/>
                <w:color w:val="auto"/>
              </w:rPr>
            </w:pPr>
            <w:r>
              <w:rPr>
                <w:rFonts w:ascii="Arial" w:cs="Arial" w:eastAsia="Arial" w:hAnsi="Arial"/>
                <w:sz w:val="10"/>
                <w:szCs w:val="10"/>
                <w:color w:val="auto"/>
                <w:w w:val="97"/>
              </w:rPr>
              <w:t>Registered Public Accounting Firm for Fiscal Year</w:t>
            </w: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1900" w:type="dxa"/>
            <w:vAlign w:val="bottom"/>
          </w:tcPr>
          <w:p>
            <w:pPr>
              <w:ind w:left="100"/>
              <w:spacing w:after="0"/>
              <w:rPr>
                <w:sz w:val="20"/>
                <w:szCs w:val="20"/>
                <w:color w:val="auto"/>
              </w:rPr>
            </w:pPr>
            <w:r>
              <w:rPr>
                <w:rFonts w:ascii="Arial" w:cs="Arial" w:eastAsia="Arial" w:hAnsi="Arial"/>
                <w:sz w:val="10"/>
                <w:szCs w:val="10"/>
                <w:color w:val="auto"/>
              </w:rPr>
              <w:t>2023</w:t>
            </w: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ectPr>
          <w:pgSz w:w="11900" w:h="16838" w:orient="portrait"/>
          <w:cols w:equalWidth="0" w:num="2">
            <w:col w:w="5500" w:space="200"/>
            <w:col w:w="4459"/>
          </w:cols>
          <w:pgMar w:left="300" w:top="372" w:right="1440" w:bottom="1440" w:gutter="0" w:footer="0" w:header="0"/>
          <w:type w:val="continuous"/>
        </w:sectPr>
      </w:pPr>
    </w:p>
    <w:p>
      <w:pPr>
        <w:ind w:left="2200" w:hanging="183"/>
        <w:spacing w:after="0"/>
        <w:tabs>
          <w:tab w:leader="none" w:pos="2200" w:val="left"/>
        </w:tabs>
        <w:numPr>
          <w:ilvl w:val="0"/>
          <w:numId w:val="158"/>
        </w:numPr>
        <w:rPr>
          <w:rFonts w:ascii="Arial" w:cs="Arial" w:eastAsia="Arial" w:hAnsi="Arial"/>
          <w:sz w:val="19"/>
          <w:szCs w:val="19"/>
          <w:b w:val="1"/>
          <w:bCs w:val="1"/>
          <w:color w:val="FFFFFF"/>
          <w:vertAlign w:val="superscript"/>
        </w:rPr>
      </w:pPr>
      <w:r>
        <w:rPr>
          <w:rFonts w:ascii="Arial" w:cs="Arial" w:eastAsia="Arial" w:hAnsi="Arial"/>
          <w:sz w:val="12"/>
          <w:szCs w:val="12"/>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-90805</wp:posOffset>
            </wp:positionV>
            <wp:extent cx="4663440" cy="9144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3" w:lineRule="exact"/>
        <w:rPr>
          <w:sz w:val="20"/>
          <w:szCs w:val="20"/>
          <w:color w:val="auto"/>
        </w:rPr>
      </w:pPr>
    </w:p>
    <w:p>
      <w:pPr>
        <w:ind w:left="1980" w:right="899"/>
        <w:spacing w:after="0" w:line="221" w:lineRule="auto"/>
        <w:rPr>
          <w:sz w:val="20"/>
          <w:szCs w:val="20"/>
          <w:color w:val="auto"/>
        </w:rPr>
      </w:pPr>
      <w:r>
        <w:rPr>
          <w:rFonts w:ascii="Arial" w:cs="Arial" w:eastAsia="Arial" w:hAnsi="Arial"/>
          <w:sz w:val="10"/>
          <w:szCs w:val="10"/>
          <w:color w:val="auto"/>
        </w:rPr>
        <w:t>Please sign exactly as name(s) appears hereon. Joint owners should each sign. When signing as attorney, executor, administrator, corporate officer, trustee, guardian, or custodian, please give full title.</w:t>
      </w:r>
    </w:p>
    <w:p>
      <w:pPr>
        <w:spacing w:after="0" w:line="140" w:lineRule="exact"/>
        <w:rPr>
          <w:sz w:val="20"/>
          <w:szCs w:val="20"/>
          <w:color w:val="auto"/>
        </w:rPr>
      </w:pPr>
    </w:p>
    <w:p>
      <w:pPr>
        <w:ind w:left="1980"/>
        <w:spacing w:after="0"/>
        <w:tabs>
          <w:tab w:leader="none" w:pos="4460" w:val="left"/>
          <w:tab w:leader="none" w:pos="7040" w:val="left"/>
        </w:tabs>
        <w:rPr>
          <w:sz w:val="20"/>
          <w:szCs w:val="20"/>
          <w:color w:val="auto"/>
        </w:rPr>
      </w:pPr>
      <w:r>
        <w:rPr>
          <w:rFonts w:ascii="Arial" w:cs="Arial" w:eastAsia="Arial" w:hAnsi="Arial"/>
          <w:sz w:val="10"/>
          <w:szCs w:val="10"/>
          <w:color w:val="auto"/>
        </w:rPr>
        <w:t>Date (mm/dd/yyyy) – Please print date below.</w:t>
      </w:r>
      <w:r>
        <w:rPr>
          <w:sz w:val="20"/>
          <w:szCs w:val="20"/>
          <w:color w:val="auto"/>
        </w:rPr>
        <w:tab/>
      </w:r>
      <w:r>
        <w:rPr>
          <w:rFonts w:ascii="Arial" w:cs="Arial" w:eastAsia="Arial" w:hAnsi="Arial"/>
          <w:sz w:val="10"/>
          <w:szCs w:val="10"/>
          <w:color w:val="auto"/>
        </w:rPr>
        <w:t>Signature 1 – Please keep signature within the box.</w:t>
      </w:r>
      <w:r>
        <w:rPr>
          <w:sz w:val="20"/>
          <w:szCs w:val="20"/>
          <w:color w:val="auto"/>
        </w:rPr>
        <w:tab/>
      </w:r>
      <w:r>
        <w:rPr>
          <w:rFonts w:ascii="Arial" w:cs="Arial" w:eastAsia="Arial" w:hAnsi="Arial"/>
          <w:sz w:val="8"/>
          <w:szCs w:val="8"/>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-1905</wp:posOffset>
            </wp:positionV>
            <wp:extent cx="4674870" cy="24003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4674870" cy="240030"/>
                    </a:xfrm>
                    <a:prstGeom prst="rect">
                      <a:avLst/>
                    </a:prstGeom>
                    <a:noFill/>
                  </pic:spPr>
                </pic:pic>
              </a:graphicData>
            </a:graphic>
          </wp:anchor>
        </w:drawing>
      </w:r>
    </w:p>
    <w:p>
      <w:pPr>
        <w:ind w:left="2600"/>
        <w:spacing w:after="0"/>
        <w:tabs>
          <w:tab w:leader="none" w:pos="3260" w:val="left"/>
        </w:tabs>
        <w:rPr>
          <w:sz w:val="20"/>
          <w:szCs w:val="20"/>
          <w:color w:val="auto"/>
        </w:rPr>
      </w:pPr>
      <w:r>
        <w:rPr>
          <w:rFonts w:ascii="Arial" w:cs="Arial" w:eastAsia="Arial" w:hAnsi="Arial"/>
          <w:sz w:val="30"/>
          <w:szCs w:val="30"/>
          <w:color w:val="auto"/>
        </w:rPr>
        <w:t>/</w:t>
      </w:r>
      <w:r>
        <w:rPr>
          <w:sz w:val="20"/>
          <w:szCs w:val="20"/>
          <w:color w:val="auto"/>
        </w:rPr>
        <w:tab/>
      </w:r>
      <w:r>
        <w:rPr>
          <w:rFonts w:ascii="Arial" w:cs="Arial" w:eastAsia="Arial" w:hAnsi="Arial"/>
          <w:sz w:val="30"/>
          <w:szCs w:val="3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117475</wp:posOffset>
            </wp:positionV>
            <wp:extent cx="5017770" cy="21717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5017770" cy="21717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2920"/>
        <w:spacing w:after="0"/>
        <w:rPr>
          <w:sz w:val="20"/>
          <w:szCs w:val="20"/>
          <w:color w:val="auto"/>
        </w:rPr>
      </w:pPr>
      <w:r>
        <w:rPr>
          <w:rFonts w:ascii="Arial" w:cs="Arial" w:eastAsia="Arial" w:hAnsi="Arial"/>
          <w:sz w:val="7"/>
          <w:szCs w:val="7"/>
          <w:color w:val="auto"/>
        </w:rPr>
        <w:t>03SBVD</w:t>
      </w:r>
    </w:p>
    <w:p>
      <w:pPr>
        <w:sectPr>
          <w:pgSz w:w="11900" w:h="16838" w:orient="portrait"/>
          <w:cols w:equalWidth="0" w:num="1">
            <w:col w:w="10159"/>
          </w:cols>
          <w:pgMar w:left="300" w:top="372" w:right="1440"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0"/>
          <w:szCs w:val="10"/>
          <w:b w:val="1"/>
          <w:bCs w:val="1"/>
          <w:color w:val="auto"/>
        </w:rPr>
        <w:t>Dear Fellow Shareholders:</w:t>
      </w:r>
    </w:p>
    <w:p>
      <w:pPr>
        <w:spacing w:after="0" w:line="128" w:lineRule="exact"/>
        <w:rPr>
          <w:sz w:val="20"/>
          <w:szCs w:val="20"/>
          <w:color w:val="auto"/>
        </w:rPr>
      </w:pPr>
    </w:p>
    <w:p>
      <w:pPr>
        <w:jc w:val="both"/>
        <w:ind w:left="1980" w:right="899"/>
        <w:spacing w:after="0" w:line="223" w:lineRule="auto"/>
        <w:rPr>
          <w:sz w:val="20"/>
          <w:szCs w:val="20"/>
          <w:color w:val="auto"/>
        </w:rPr>
      </w:pPr>
      <w:r>
        <w:rPr>
          <w:rFonts w:ascii="Arial" w:cs="Arial" w:eastAsia="Arial" w:hAnsi="Arial"/>
          <w:sz w:val="10"/>
          <w:szCs w:val="10"/>
          <w:b w:val="1"/>
          <w:bCs w:val="1"/>
          <w:color w:val="auto"/>
        </w:rPr>
        <w:t>You are cordially invited to attend the 2023 Annual Meeting of Shareholders of Hasbro, Inc. to be held at 10:00 a.m., EDT on Thursday, May 18, 2023, virtually via the Internet at www.meetnow.global/MPL92M4. The accompanying Notice of Annual Meeting and Proxy Statement contain detailed information as to the formal business to be transacted at the meeting.</w:t>
      </w:r>
    </w:p>
    <w:p>
      <w:pPr>
        <w:spacing w:after="0" w:line="120" w:lineRule="exact"/>
        <w:rPr>
          <w:sz w:val="20"/>
          <w:szCs w:val="20"/>
          <w:color w:val="auto"/>
        </w:rPr>
      </w:pPr>
    </w:p>
    <w:p>
      <w:pPr>
        <w:ind w:left="1980" w:right="1059"/>
        <w:spacing w:after="0" w:line="232" w:lineRule="auto"/>
        <w:rPr>
          <w:sz w:val="20"/>
          <w:szCs w:val="20"/>
          <w:color w:val="auto"/>
        </w:rPr>
      </w:pPr>
      <w:r>
        <w:rPr>
          <w:rFonts w:ascii="Arial" w:cs="Arial" w:eastAsia="Arial" w:hAnsi="Arial"/>
          <w:sz w:val="10"/>
          <w:szCs w:val="10"/>
          <w:b w:val="1"/>
          <w:bCs w:val="1"/>
          <w:i w:val="1"/>
          <w:iCs w:val="1"/>
          <w:color w:val="auto"/>
        </w:rPr>
        <w:t xml:space="preserve">Your Vote Matters. </w:t>
      </w:r>
      <w:r>
        <w:rPr>
          <w:rFonts w:ascii="Arial" w:cs="Arial" w:eastAsia="Arial" w:hAnsi="Arial"/>
          <w:sz w:val="10"/>
          <w:szCs w:val="10"/>
          <w:b w:val="1"/>
          <w:bCs w:val="1"/>
          <w:color w:val="auto"/>
        </w:rPr>
        <w:t>Whether or not you plan to attend the 2023 Annual Meeting, it is important that your shares be voted. Please follow the instructions on the other side of this</w:t>
      </w:r>
      <w:r>
        <w:rPr>
          <w:rFonts w:ascii="Arial" w:cs="Arial" w:eastAsia="Arial" w:hAnsi="Arial"/>
          <w:sz w:val="10"/>
          <w:szCs w:val="10"/>
          <w:b w:val="1"/>
          <w:bCs w:val="1"/>
          <w:i w:val="1"/>
          <w:iCs w:val="1"/>
          <w:color w:val="auto"/>
        </w:rPr>
        <w:t xml:space="preserve"> </w:t>
      </w:r>
      <w:r>
        <w:rPr>
          <w:rFonts w:ascii="Arial" w:cs="Arial" w:eastAsia="Arial" w:hAnsi="Arial"/>
          <w:sz w:val="10"/>
          <w:szCs w:val="10"/>
          <w:b w:val="1"/>
          <w:bCs w:val="1"/>
          <w:color w:val="auto"/>
        </w:rPr>
        <w:t>proxy card.</w:t>
      </w:r>
    </w:p>
    <w:p>
      <w:pPr>
        <w:spacing w:after="0" w:line="114" w:lineRule="exact"/>
        <w:rPr>
          <w:sz w:val="20"/>
          <w:szCs w:val="20"/>
          <w:color w:val="auto"/>
        </w:rPr>
      </w:pPr>
    </w:p>
    <w:p>
      <w:pPr>
        <w:ind w:left="1980"/>
        <w:spacing w:after="0"/>
        <w:rPr>
          <w:sz w:val="20"/>
          <w:szCs w:val="20"/>
          <w:color w:val="auto"/>
        </w:rPr>
      </w:pPr>
      <w:r>
        <w:rPr>
          <w:rFonts w:ascii="Arial" w:cs="Arial" w:eastAsia="Arial" w:hAnsi="Arial"/>
          <w:sz w:val="10"/>
          <w:szCs w:val="10"/>
          <w:b w:val="1"/>
          <w:bCs w:val="1"/>
          <w:color w:val="auto"/>
        </w:rPr>
        <w:t>Sincerely,</w:t>
      </w:r>
    </w:p>
    <w:p>
      <w:pPr>
        <w:ind w:left="1980"/>
        <w:spacing w:after="0" w:line="206" w:lineRule="auto"/>
        <w:rPr>
          <w:sz w:val="20"/>
          <w:szCs w:val="20"/>
          <w:color w:val="auto"/>
        </w:rPr>
      </w:pPr>
      <w:r>
        <w:rPr>
          <w:rFonts w:ascii="Arial" w:cs="Arial" w:eastAsia="Arial" w:hAnsi="Arial"/>
          <w:sz w:val="10"/>
          <w:szCs w:val="10"/>
          <w:b w:val="1"/>
          <w:bCs w:val="1"/>
          <w:color w:val="auto"/>
        </w:rPr>
        <w:t>Richard S. Stoddart</w:t>
      </w:r>
    </w:p>
    <w:p>
      <w:pPr>
        <w:ind w:left="1980"/>
        <w:spacing w:after="0" w:line="237" w:lineRule="auto"/>
        <w:rPr>
          <w:sz w:val="20"/>
          <w:szCs w:val="20"/>
          <w:color w:val="auto"/>
        </w:rPr>
      </w:pPr>
      <w:r>
        <w:rPr>
          <w:rFonts w:ascii="Arial" w:cs="Arial" w:eastAsia="Arial" w:hAnsi="Arial"/>
          <w:sz w:val="10"/>
          <w:szCs w:val="10"/>
          <w:b w:val="1"/>
          <w:bCs w:val="1"/>
          <w:color w:val="auto"/>
        </w:rPr>
        <w:t>Chair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The 2023 Annual Meeting of Shareholders of Hasbro, Inc. will be held on</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May 18, 2023 at 10:00 a.m. EDT, virtually via the Internet at www.meetnow.global/MPL92M4.</w:t>
      </w:r>
    </w:p>
    <w:p>
      <w:pPr>
        <w:spacing w:after="0" w:line="137" w:lineRule="exact"/>
        <w:rPr>
          <w:sz w:val="20"/>
          <w:szCs w:val="20"/>
          <w:color w:val="auto"/>
        </w:rPr>
      </w:pPr>
    </w:p>
    <w:p>
      <w:pPr>
        <w:ind w:left="3020"/>
        <w:spacing w:after="0"/>
        <w:rPr>
          <w:sz w:val="20"/>
          <w:szCs w:val="20"/>
          <w:color w:val="auto"/>
        </w:rPr>
      </w:pPr>
      <w:r>
        <w:rPr>
          <w:rFonts w:ascii="Arial" w:cs="Arial" w:eastAsia="Arial" w:hAnsi="Arial"/>
          <w:sz w:val="12"/>
          <w:szCs w:val="12"/>
          <w:b w:val="1"/>
          <w:bCs w:val="1"/>
          <w:color w:val="auto"/>
        </w:rPr>
        <w:t>To access the virtual meeting, please refer to the “How can I attend the Annual Meeting” section of the</w:t>
      </w:r>
    </w:p>
    <w:p>
      <w:pPr>
        <w:spacing w:after="0" w:line="19" w:lineRule="exact"/>
        <w:rPr>
          <w:sz w:val="20"/>
          <w:szCs w:val="20"/>
          <w:color w:val="auto"/>
        </w:rPr>
      </w:pPr>
    </w:p>
    <w:p>
      <w:pPr>
        <w:ind w:left="3000"/>
        <w:spacing w:after="0"/>
        <w:rPr>
          <w:sz w:val="20"/>
          <w:szCs w:val="20"/>
          <w:color w:val="auto"/>
        </w:rPr>
      </w:pPr>
      <w:r>
        <w:rPr>
          <w:rFonts w:ascii="Arial" w:cs="Arial" w:eastAsia="Arial" w:hAnsi="Arial"/>
          <w:sz w:val="12"/>
          <w:szCs w:val="12"/>
          <w:b w:val="1"/>
          <w:bCs w:val="1"/>
          <w:color w:val="auto"/>
        </w:rPr>
        <w:t>Questions and Answers about the Proxy Materials and Annual Meeting section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080"/>
        <w:spacing w:after="0"/>
        <w:rPr>
          <w:sz w:val="20"/>
          <w:szCs w:val="20"/>
          <w:color w:val="auto"/>
        </w:rPr>
      </w:pPr>
      <w:r>
        <w:rPr>
          <w:rFonts w:ascii="Arial" w:cs="Arial" w:eastAsia="Arial" w:hAnsi="Arial"/>
          <w:sz w:val="10"/>
          <w:szCs w:val="10"/>
          <w:color w:val="auto"/>
        </w:rPr>
        <w:t xml:space="preserve">q </w:t>
      </w:r>
      <w:r>
        <w:rPr>
          <w:rFonts w:ascii="Arial" w:cs="Arial" w:eastAsia="Arial" w:hAnsi="Arial"/>
          <w:sz w:val="10"/>
          <w:szCs w:val="10"/>
          <w:b w:val="1"/>
          <w:bCs w:val="1"/>
          <w:color w:val="auto"/>
        </w:rPr>
        <w:t>IF VOTING BY MAIL, SIGN, DETACH AND RETURN THE BOTTOM PORTION IN THE ENCLOSED ENVELOPE.</w:t>
      </w:r>
      <w:r>
        <w:rPr>
          <w:rFonts w:ascii="Arial" w:cs="Arial" w:eastAsia="Arial" w:hAnsi="Arial"/>
          <w:sz w:val="10"/>
          <w:szCs w:val="10"/>
          <w:color w:val="auto"/>
        </w:rPr>
        <w:t>q</w:t>
      </w:r>
    </w:p>
    <w:p>
      <w:pPr>
        <w:spacing w:after="0" w:line="128"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HASBRO, INC.</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Annual Meeting of Shareholders – May 18, 2023</w:t>
      </w:r>
    </w:p>
    <w:p>
      <w:pPr>
        <w:spacing w:after="0" w:line="3"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THIS PROXY IS SOLICITED ON BEHALF OF THE BOARD OF DIRECTORS</w:t>
      </w:r>
    </w:p>
    <w:p>
      <w:pPr>
        <w:spacing w:after="0" w:line="134" w:lineRule="exact"/>
        <w:rPr>
          <w:sz w:val="20"/>
          <w:szCs w:val="20"/>
          <w:color w:val="auto"/>
        </w:rPr>
      </w:pPr>
    </w:p>
    <w:p>
      <w:pPr>
        <w:ind w:left="1980" w:right="999"/>
        <w:spacing w:after="0" w:line="289" w:lineRule="auto"/>
        <w:rPr>
          <w:sz w:val="20"/>
          <w:szCs w:val="20"/>
          <w:color w:val="auto"/>
        </w:rPr>
      </w:pPr>
      <w:r>
        <w:rPr>
          <w:rFonts w:ascii="Arial" w:cs="Arial" w:eastAsia="Arial" w:hAnsi="Arial"/>
          <w:sz w:val="11"/>
          <w:szCs w:val="11"/>
          <w:color w:val="auto"/>
        </w:rPr>
        <w:t>The undersigned acknowledges receipt of the Notice of Annual Meeting of Shareholders and Proxy Statement of Hasbro, Inc. (the “Company”) and hereby appoints each of Christian P. Cocks and Deborah M. Thomas with full power of substitution, as attorneys and proxies to appear and vote all of the shares of Common Stock standing in the name of the undersigned at the Annual Meeting of Shareholders of the Company to be held on May 18, 2023 at 10:00 a.m., EDT virtually via the Internet at www.meetnow.global/MPL92M4, and at any adjournment or postponement thereof.</w:t>
      </w:r>
    </w:p>
    <w:p>
      <w:pPr>
        <w:spacing w:after="0" w:line="107" w:lineRule="exact"/>
        <w:rPr>
          <w:sz w:val="20"/>
          <w:szCs w:val="20"/>
          <w:color w:val="auto"/>
        </w:rPr>
      </w:pPr>
    </w:p>
    <w:p>
      <w:pPr>
        <w:ind w:left="1980" w:right="959"/>
        <w:spacing w:after="0" w:line="266" w:lineRule="auto"/>
        <w:rPr>
          <w:sz w:val="20"/>
          <w:szCs w:val="20"/>
          <w:color w:val="auto"/>
        </w:rPr>
      </w:pPr>
      <w:r>
        <w:rPr>
          <w:rFonts w:ascii="Arial" w:cs="Arial" w:eastAsia="Arial" w:hAnsi="Arial"/>
          <w:sz w:val="12"/>
          <w:szCs w:val="12"/>
          <w:b w:val="1"/>
          <w:bCs w:val="1"/>
          <w:color w:val="auto"/>
        </w:rPr>
        <w:t>UNLESS OTHERWISE SPECIFIED, THIS PROXY WILL BE VOTED “FOR” THE NOMINEES LISTED IN PROPOSAL 1, “FOR” PROPOSALS 2, 4 AND 5, AND “1 YEAR” ON PROPOSAL 3, AND IN SUPPORT OF MANAGEMENT ON SUCH OTHER BUSINESS AS MAY PROPERLY COME BEFORE THE MEETING OR ANY ADJOURNMENT OR POSTPONEMENT THEREOF.</w:t>
      </w:r>
    </w:p>
    <w:p>
      <w:pPr>
        <w:spacing w:after="0" w:line="117" w:lineRule="exact"/>
        <w:rPr>
          <w:sz w:val="20"/>
          <w:szCs w:val="20"/>
          <w:color w:val="auto"/>
        </w:rPr>
      </w:pPr>
    </w:p>
    <w:p>
      <w:pPr>
        <w:jc w:val="center"/>
        <w:ind w:right="-1120"/>
        <w:spacing w:after="0"/>
        <w:rPr>
          <w:sz w:val="20"/>
          <w:szCs w:val="20"/>
          <w:color w:val="auto"/>
        </w:rPr>
      </w:pPr>
      <w:r>
        <w:rPr>
          <w:rFonts w:ascii="Arial" w:cs="Arial" w:eastAsia="Arial" w:hAnsi="Arial"/>
          <w:sz w:val="11"/>
          <w:szCs w:val="11"/>
          <w:b w:val="1"/>
          <w:bCs w:val="1"/>
          <w:color w:val="auto"/>
        </w:rPr>
        <w:t xml:space="preserve">PLEASE MARK, DATE AND SIGN ON THE REVERSE SIDE AND PROMPTLY MAIL IN THE ENCLOSED ENVELOPE. </w:t>
      </w:r>
      <w:r>
        <w:rPr>
          <w:rFonts w:ascii="Arial" w:cs="Arial" w:eastAsia="Arial" w:hAnsi="Arial"/>
          <w:sz w:val="11"/>
          <w:szCs w:val="11"/>
          <w:b w:val="1"/>
          <w:bCs w:val="1"/>
          <w:i w:val="1"/>
          <w:iCs w:val="1"/>
          <w:color w:val="auto"/>
        </w:rPr>
        <w:t>YOUR VOTE IS</w:t>
      </w:r>
    </w:p>
    <w:p>
      <w:pPr>
        <w:spacing w:after="0" w:line="30"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i w:val="1"/>
          <w:iCs w:val="1"/>
          <w:color w:val="auto"/>
        </w:rPr>
        <w:t>IMPORTANT!</w:t>
      </w:r>
    </w:p>
    <w:sectPr>
      <w:pgSz w:w="11900" w:h="16838" w:orient="portrait"/>
      <w:cols w:equalWidth="0" w:num="1">
        <w:col w:w="10159"/>
      </w:cols>
      <w:pgMar w:left="300" w:top="3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
      <w:numFmt w:val="bullet"/>
      <w:start w:val="1"/>
    </w:lvl>
  </w:abstractNum>
  <w:abstractNum w:abstractNumId="2">
    <w:nsid w:val="4962813B"/>
    <w:multiLevelType w:val="hybridMultilevel"/>
    <w:lvl w:ilvl="0">
      <w:lvlJc w:val="left"/>
      <w:lvlText w:val="☐"/>
      <w:numFmt w:val="bullet"/>
      <w:start w:val="1"/>
    </w:lvl>
  </w:abstractNum>
  <w:abstractNum w:abstractNumId="3">
    <w:nsid w:val="60B6DF70"/>
    <w:multiLevelType w:val="hybridMultilevel"/>
    <w:lvl w:ilvl="0">
      <w:lvlJc w:val="left"/>
      <w:lvlText w:val="☒"/>
      <w:numFmt w:val="bullet"/>
      <w:start w:val="1"/>
    </w:lvl>
  </w:abstractNum>
  <w:abstractNum w:abstractNumId="4">
    <w:nsid w:val="6A5EE64"/>
    <w:multiLevelType w:val="hybridMultilevel"/>
    <w:lvl w:ilvl="0">
      <w:lvlJc w:val="left"/>
      <w:lvlText w:val="☐"/>
      <w:numFmt w:val="bullet"/>
      <w:start w:val="1"/>
    </w:lvl>
  </w:abstractNum>
  <w:abstractNum w:abstractNumId="5">
    <w:nsid w:val="14330624"/>
    <w:multiLevelType w:val="hybridMultilevel"/>
    <w:lvl w:ilvl="0">
      <w:lvlJc w:val="left"/>
      <w:lvlText w:val="•"/>
      <w:numFmt w:val="bullet"/>
      <w:start w:val="1"/>
    </w:lvl>
    <w:lvl w:ilvl="1">
      <w:lvlJc w:val="left"/>
      <w:lvlText w:val="○"/>
      <w:numFmt w:val="bullet"/>
      <w:start w:val="1"/>
    </w:lvl>
  </w:abstractNum>
  <w:abstractNum w:abstractNumId="6">
    <w:nsid w:val="7FFFCA11"/>
    <w:multiLevelType w:val="hybridMultilevel"/>
    <w:lvl w:ilvl="0">
      <w:lvlJc w:val="left"/>
      <w:lvlText w:val="•"/>
      <w:numFmt w:val="bullet"/>
      <w:start w:val="1"/>
    </w:lvl>
  </w:abstractNum>
  <w:abstractNum w:abstractNumId="7">
    <w:nsid w:val="1A27709E"/>
    <w:multiLevelType w:val="hybridMultilevel"/>
    <w:lvl w:ilvl="0">
      <w:lvlJc w:val="left"/>
      <w:lvlText w:val="•"/>
      <w:numFmt w:val="bullet"/>
      <w:start w:val="1"/>
    </w:lvl>
  </w:abstractNum>
  <w:abstractNum w:abstractNumId="8">
    <w:nsid w:val="71EA1109"/>
    <w:multiLevelType w:val="hybridMultilevel"/>
    <w:lvl w:ilvl="0">
      <w:lvlJc w:val="left"/>
      <w:lvlText w:val="•"/>
      <w:numFmt w:val="bullet"/>
      <w:start w:val="1"/>
    </w:lvl>
  </w:abstractNum>
  <w:abstractNum w:abstractNumId="9">
    <w:nsid w:val="100F59DC"/>
    <w:multiLevelType w:val="hybridMultilevel"/>
    <w:lvl w:ilvl="0">
      <w:lvlJc w:val="left"/>
      <w:lvlText w:val="•"/>
      <w:numFmt w:val="bullet"/>
      <w:start w:val="1"/>
    </w:lvl>
  </w:abstractNum>
  <w:abstractNum w:abstractNumId="10">
    <w:nsid w:val="7FB7E0AA"/>
    <w:multiLevelType w:val="hybridMultilevel"/>
    <w:lvl w:ilvl="0">
      <w:lvlJc w:val="left"/>
      <w:lvlText w:val="•"/>
      <w:numFmt w:val="bullet"/>
      <w:start w:val="1"/>
    </w:lvl>
  </w:abstractNum>
  <w:abstractNum w:abstractNumId="11">
    <w:nsid w:val="6EB5BD4"/>
    <w:multiLevelType w:val="hybridMultilevel"/>
    <w:lvl w:ilvl="0">
      <w:lvlJc w:val="left"/>
      <w:lvlText w:val="•"/>
      <w:numFmt w:val="bullet"/>
      <w:start w:val="1"/>
    </w:lvl>
  </w:abstractNum>
  <w:abstractNum w:abstractNumId="12">
    <w:nsid w:val="6F6DD9AC"/>
    <w:multiLevelType w:val="hybridMultilevel"/>
    <w:lvl w:ilvl="0">
      <w:lvlJc w:val="left"/>
      <w:lvlText w:val="*"/>
      <w:numFmt w:val="bullet"/>
      <w:start w:val="1"/>
    </w:lvl>
  </w:abstractNum>
  <w:abstractNum w:abstractNumId="13">
    <w:nsid w:val="94211F2"/>
    <w:multiLevelType w:val="hybridMultilevel"/>
    <w:lvl w:ilvl="0">
      <w:lvlJc w:val="left"/>
      <w:lvlText w:val="•"/>
      <w:numFmt w:val="bullet"/>
      <w:start w:val="1"/>
    </w:lvl>
  </w:abstractNum>
  <w:abstractNum w:abstractNumId="14">
    <w:nsid w:val="885E1B"/>
    <w:multiLevelType w:val="hybridMultilevel"/>
    <w:lvl w:ilvl="0">
      <w:lvlJc w:val="left"/>
      <w:lvlText w:val="•"/>
      <w:numFmt w:val="bullet"/>
      <w:start w:val="1"/>
    </w:lvl>
  </w:abstractNum>
  <w:abstractNum w:abstractNumId="15">
    <w:nsid w:val="76272110"/>
    <w:multiLevelType w:val="hybridMultilevel"/>
    <w:lvl w:ilvl="0">
      <w:lvlJc w:val="left"/>
      <w:lvlText w:val="•"/>
      <w:numFmt w:val="bullet"/>
      <w:start w:val="1"/>
    </w:lvl>
  </w:abstractNum>
  <w:abstractNum w:abstractNumId="16">
    <w:nsid w:val="4C04A8AF"/>
    <w:multiLevelType w:val="hybridMultilevel"/>
    <w:lvl w:ilvl="0">
      <w:lvlJc w:val="left"/>
      <w:lvlText w:val="•"/>
      <w:numFmt w:val="bullet"/>
      <w:start w:val="1"/>
    </w:lvl>
  </w:abstractNum>
  <w:abstractNum w:abstractNumId="17">
    <w:nsid w:val="1716703B"/>
    <w:multiLevelType w:val="hybridMultilevel"/>
    <w:lvl w:ilvl="0">
      <w:lvlJc w:val="left"/>
      <w:lvlText w:val="•"/>
      <w:numFmt w:val="bullet"/>
      <w:start w:val="1"/>
    </w:lvl>
  </w:abstractNum>
  <w:abstractNum w:abstractNumId="18">
    <w:nsid w:val="14E17E33"/>
    <w:multiLevelType w:val="hybridMultilevel"/>
    <w:lvl w:ilvl="0">
      <w:lvlJc w:val="left"/>
      <w:lvlText w:val="•"/>
      <w:numFmt w:val="bullet"/>
      <w:start w:val="1"/>
    </w:lvl>
    <w:lvl w:ilvl="1">
      <w:lvlJc w:val="left"/>
      <w:lvlText w:val="○"/>
      <w:numFmt w:val="bullet"/>
      <w:start w:val="1"/>
    </w:lvl>
  </w:abstractNum>
  <w:abstractNum w:abstractNumId="19">
    <w:nsid w:val="3222E7CD"/>
    <w:multiLevelType w:val="hybridMultilevel"/>
    <w:lvl w:ilvl="0">
      <w:lvlJc w:val="left"/>
      <w:lvlText w:val="○"/>
      <w:numFmt w:val="bullet"/>
      <w:start w:val="1"/>
    </w:lvl>
  </w:abstractNum>
  <w:abstractNum w:abstractNumId="20">
    <w:nsid w:val="74DE0EE3"/>
    <w:multiLevelType w:val="hybridMultilevel"/>
    <w:lvl w:ilvl="0">
      <w:lvlJc w:val="left"/>
      <w:lvlText w:val="•"/>
      <w:numFmt w:val="bullet"/>
      <w:start w:val="1"/>
    </w:lvl>
  </w:abstractNum>
  <w:abstractNum w:abstractNumId="21">
    <w:nsid w:val="68EBC550"/>
    <w:multiLevelType w:val="hybridMultilevel"/>
    <w:lvl w:ilvl="0">
      <w:lvlJc w:val="left"/>
      <w:lvlText w:val="•"/>
      <w:numFmt w:val="bullet"/>
      <w:start w:val="1"/>
    </w:lvl>
  </w:abstractNum>
  <w:abstractNum w:abstractNumId="22">
    <w:nsid w:val="2DF6D648"/>
    <w:multiLevelType w:val="hybridMultilevel"/>
    <w:lvl w:ilvl="0">
      <w:lvlJc w:val="left"/>
      <w:lvlText w:val="%1"/>
      <w:numFmt w:val="decimal"/>
      <w:start w:val="11"/>
    </w:lvl>
  </w:abstractNum>
  <w:abstractNum w:abstractNumId="23">
    <w:nsid w:val="46B7D447"/>
    <w:multiLevelType w:val="hybridMultilevel"/>
    <w:lvl w:ilvl="0">
      <w:lvlJc w:val="left"/>
      <w:lvlText w:val="(%1)"/>
      <w:numFmt w:val="lowerLetter"/>
      <w:start w:val="1"/>
    </w:lvl>
  </w:abstractNum>
  <w:abstractNum w:abstractNumId="24">
    <w:nsid w:val="4A2AC315"/>
    <w:multiLevelType w:val="hybridMultilevel"/>
    <w:lvl w:ilvl="0">
      <w:lvlJc w:val="left"/>
      <w:lvlText w:val="(%1)"/>
      <w:numFmt w:val="lowerLetter"/>
      <w:start w:val="4"/>
    </w:lvl>
  </w:abstractNum>
  <w:abstractNum w:abstractNumId="25">
    <w:nsid w:val="39EE015C"/>
    <w:multiLevelType w:val="hybridMultilevel"/>
    <w:lvl w:ilvl="0">
      <w:lvlJc w:val="left"/>
      <w:lvlText w:val="•"/>
      <w:numFmt w:val="bullet"/>
      <w:start w:val="1"/>
    </w:lvl>
  </w:abstractNum>
  <w:abstractNum w:abstractNumId="26">
    <w:nsid w:val="57FC4FBB"/>
    <w:multiLevelType w:val="hybridMultilevel"/>
    <w:lvl w:ilvl="0">
      <w:lvlJc w:val="left"/>
      <w:lvlText w:val="•"/>
      <w:numFmt w:val="bullet"/>
      <w:start w:val="1"/>
    </w:lvl>
  </w:abstractNum>
  <w:abstractNum w:abstractNumId="27">
    <w:nsid w:val="CC1016F"/>
    <w:multiLevelType w:val="hybridMultilevel"/>
    <w:lvl w:ilvl="0">
      <w:lvlJc w:val="left"/>
      <w:lvlText w:val="•"/>
      <w:numFmt w:val="bullet"/>
      <w:start w:val="1"/>
    </w:lvl>
  </w:abstractNum>
  <w:abstractNum w:abstractNumId="28">
    <w:nsid w:val="43F18422"/>
    <w:multiLevelType w:val="hybridMultilevel"/>
    <w:lvl w:ilvl="0">
      <w:lvlJc w:val="left"/>
      <w:lvlText w:val="•"/>
      <w:numFmt w:val="bullet"/>
      <w:start w:val="1"/>
    </w:lvl>
  </w:abstractNum>
  <w:abstractNum w:abstractNumId="29">
    <w:nsid w:val="60EF0119"/>
    <w:multiLevelType w:val="hybridMultilevel"/>
    <w:lvl w:ilvl="0">
      <w:lvlJc w:val="left"/>
      <w:lvlText w:val="•"/>
      <w:numFmt w:val="bullet"/>
      <w:start w:val="1"/>
    </w:lvl>
  </w:abstractNum>
  <w:abstractNum w:abstractNumId="30">
    <w:nsid w:val="26F324BA"/>
    <w:multiLevelType w:val="hybridMultilevel"/>
    <w:lvl w:ilvl="0">
      <w:lvlJc w:val="left"/>
      <w:lvlText w:val="•"/>
      <w:numFmt w:val="bullet"/>
      <w:start w:val="1"/>
    </w:lvl>
  </w:abstractNum>
  <w:abstractNum w:abstractNumId="31">
    <w:nsid w:val="7F01579B"/>
    <w:multiLevelType w:val="hybridMultilevel"/>
    <w:lvl w:ilvl="0">
      <w:lvlJc w:val="left"/>
      <w:lvlText w:val="•"/>
      <w:numFmt w:val="bullet"/>
      <w:start w:val="1"/>
    </w:lvl>
  </w:abstractNum>
  <w:abstractNum w:abstractNumId="32">
    <w:nsid w:val="49DA307D"/>
    <w:multiLevelType w:val="hybridMultilevel"/>
    <w:lvl w:ilvl="0">
      <w:lvlJc w:val="left"/>
      <w:lvlText w:val="•"/>
      <w:numFmt w:val="bullet"/>
      <w:start w:val="1"/>
    </w:lvl>
  </w:abstractNum>
  <w:abstractNum w:abstractNumId="33">
    <w:nsid w:val="7055A5F5"/>
    <w:multiLevelType w:val="hybridMultilevel"/>
    <w:lvl w:ilvl="0">
      <w:lvlJc w:val="left"/>
      <w:lvlText w:val="•"/>
      <w:numFmt w:val="bullet"/>
      <w:start w:val="1"/>
    </w:lvl>
  </w:abstractNum>
  <w:abstractNum w:abstractNumId="34">
    <w:nsid w:val="5FB8370B"/>
    <w:multiLevelType w:val="hybridMultilevel"/>
    <w:lvl w:ilvl="0">
      <w:lvlJc w:val="left"/>
      <w:lvlText w:val="•"/>
      <w:numFmt w:val="bullet"/>
      <w:start w:val="1"/>
    </w:lvl>
  </w:abstractNum>
  <w:abstractNum w:abstractNumId="35">
    <w:nsid w:val="50801EE1"/>
    <w:multiLevelType w:val="hybridMultilevel"/>
    <w:lvl w:ilvl="0">
      <w:lvlJc w:val="left"/>
      <w:lvlText w:val="*"/>
      <w:numFmt w:val="bullet"/>
      <w:start w:val="1"/>
    </w:lvl>
  </w:abstractNum>
  <w:abstractNum w:abstractNumId="36">
    <w:nsid w:val="488AC1A"/>
    <w:multiLevelType w:val="hybridMultilevel"/>
    <w:lvl w:ilvl="0">
      <w:lvlJc w:val="left"/>
      <w:lvlText w:val="**"/>
      <w:numFmt w:val="bullet"/>
      <w:start w:val="1"/>
    </w:lvl>
  </w:abstractNum>
  <w:abstractNum w:abstractNumId="37">
    <w:nsid w:val="5FB8011C"/>
    <w:multiLevelType w:val="hybridMultilevel"/>
    <w:lvl w:ilvl="0">
      <w:lvlJc w:val="left"/>
      <w:lvlText w:val="•"/>
      <w:numFmt w:val="bullet"/>
      <w:start w:val="1"/>
    </w:lvl>
  </w:abstractNum>
  <w:abstractNum w:abstractNumId="38">
    <w:nsid w:val="6AA78F7F"/>
    <w:multiLevelType w:val="hybridMultilevel"/>
    <w:lvl w:ilvl="0">
      <w:lvlJc w:val="left"/>
      <w:lvlText w:val="(%1)"/>
      <w:numFmt w:val="decimal"/>
      <w:start w:val="1"/>
    </w:lvl>
  </w:abstractNum>
  <w:abstractNum w:abstractNumId="39">
    <w:nsid w:val="7672BD23"/>
    <w:multiLevelType w:val="hybridMultilevel"/>
    <w:lvl w:ilvl="0">
      <w:lvlJc w:val="left"/>
      <w:lvlText w:val="(%1)"/>
      <w:numFmt w:val="decimal"/>
      <w:start w:val="1"/>
    </w:lvl>
  </w:abstractNum>
  <w:abstractNum w:abstractNumId="40">
    <w:nsid w:val="6FC75AF8"/>
    <w:multiLevelType w:val="hybridMultilevel"/>
    <w:lvl w:ilvl="0">
      <w:lvlJc w:val="left"/>
      <w:lvlText w:val="*"/>
      <w:numFmt w:val="bullet"/>
      <w:start w:val="1"/>
    </w:lvl>
  </w:abstractNum>
  <w:abstractNum w:abstractNumId="41">
    <w:nsid w:val="6A5F7029"/>
    <w:multiLevelType w:val="hybridMultilevel"/>
    <w:lvl w:ilvl="0">
      <w:lvlJc w:val="left"/>
      <w:lvlText w:val="*"/>
      <w:numFmt w:val="bullet"/>
      <w:start w:val="1"/>
    </w:lvl>
  </w:abstractNum>
  <w:abstractNum w:abstractNumId="42">
    <w:nsid w:val="7D5E18F8"/>
    <w:multiLevelType w:val="hybridMultilevel"/>
    <w:lvl w:ilvl="0">
      <w:lvlJc w:val="left"/>
      <w:lvlText w:val="(%1)"/>
      <w:numFmt w:val="lowerRoman"/>
      <w:start w:val="4"/>
    </w:lvl>
  </w:abstractNum>
  <w:abstractNum w:abstractNumId="43">
    <w:nsid w:val="5F3534A4"/>
    <w:multiLevelType w:val="hybridMultilevel"/>
    <w:lvl w:ilvl="0">
      <w:lvlJc w:val="left"/>
      <w:lvlText w:val="•"/>
      <w:numFmt w:val="bullet"/>
      <w:start w:val="1"/>
    </w:lvl>
  </w:abstractNum>
  <w:abstractNum w:abstractNumId="44">
    <w:nsid w:val="73A1821B"/>
    <w:multiLevelType w:val="hybridMultilevel"/>
    <w:lvl w:ilvl="0">
      <w:lvlJc w:val="left"/>
      <w:lvlText w:val="*"/>
      <w:numFmt w:val="bullet"/>
      <w:start w:val="1"/>
    </w:lvl>
  </w:abstractNum>
  <w:abstractNum w:abstractNumId="45">
    <w:nsid w:val="7DE67713"/>
    <w:multiLevelType w:val="hybridMultilevel"/>
    <w:lvl w:ilvl="0">
      <w:lvlJc w:val="left"/>
      <w:lvlText w:val="•"/>
      <w:numFmt w:val="bullet"/>
      <w:start w:val="1"/>
    </w:lvl>
  </w:abstractNum>
  <w:abstractNum w:abstractNumId="46">
    <w:nsid w:val="555C55B5"/>
    <w:multiLevelType w:val="hybridMultilevel"/>
    <w:lvl w:ilvl="0">
      <w:lvlJc w:val="left"/>
      <w:lvlText w:val="(%1)"/>
      <w:numFmt w:val="lowerLetter"/>
      <w:start w:val="1"/>
    </w:lvl>
  </w:abstractNum>
  <w:abstractNum w:abstractNumId="47">
    <w:nsid w:val="3FA62ACA"/>
    <w:multiLevelType w:val="hybridMultilevel"/>
    <w:lvl w:ilvl="0">
      <w:lvlJc w:val="left"/>
      <w:lvlText w:val="(%1)"/>
      <w:numFmt w:val="lowerLetter"/>
      <w:start w:val="5"/>
    </w:lvl>
  </w:abstractNum>
  <w:abstractNum w:abstractNumId="48">
    <w:nsid w:val="14FCE74E"/>
    <w:multiLevelType w:val="hybridMultilevel"/>
    <w:lvl w:ilvl="0">
      <w:lvlJc w:val="left"/>
      <w:lvlText w:val="(%1)"/>
      <w:numFmt w:val="lowerRoman"/>
      <w:start w:val="1"/>
    </w:lvl>
  </w:abstractNum>
  <w:abstractNum w:abstractNumId="49">
    <w:nsid w:val="6A3DD3E8"/>
    <w:multiLevelType w:val="hybridMultilevel"/>
    <w:lvl w:ilvl="0">
      <w:lvlJc w:val="left"/>
      <w:lvlText w:val="(%1)"/>
      <w:numFmt w:val="lowerLetter"/>
      <w:start w:val="6"/>
    </w:lvl>
  </w:abstractNum>
  <w:abstractNum w:abstractNumId="50">
    <w:nsid w:val="71C91298"/>
    <w:multiLevelType w:val="hybridMultilevel"/>
    <w:lvl w:ilvl="0">
      <w:lvlJc w:val="left"/>
      <w:lvlText w:val="(%1)"/>
      <w:numFmt w:val="lowerLetter"/>
      <w:start w:val="1"/>
    </w:lvl>
  </w:abstractNum>
  <w:abstractNum w:abstractNumId="51">
    <w:nsid w:val="9DAF632"/>
    <w:multiLevelType w:val="hybridMultilevel"/>
    <w:lvl w:ilvl="0">
      <w:lvlJc w:val="left"/>
      <w:lvlText w:val="(%1)"/>
      <w:numFmt w:val="lowerLetter"/>
      <w:start w:val="7"/>
    </w:lvl>
  </w:abstractNum>
  <w:abstractNum w:abstractNumId="52">
    <w:nsid w:val="53299938"/>
    <w:multiLevelType w:val="hybridMultilevel"/>
    <w:lvl w:ilvl="0">
      <w:lvlJc w:val="left"/>
      <w:lvlText w:val="(%1)"/>
      <w:numFmt w:val="lowerLetter"/>
      <w:start w:val="1"/>
    </w:lvl>
  </w:abstractNum>
  <w:abstractNum w:abstractNumId="53">
    <w:nsid w:val="1FBFE8E0"/>
    <w:multiLevelType w:val="hybridMultilevel"/>
    <w:lvl w:ilvl="0">
      <w:lvlJc w:val="left"/>
      <w:lvlText w:val="(%1)"/>
      <w:numFmt w:val="lowerLetter"/>
      <w:start w:val="10"/>
    </w:lvl>
  </w:abstractNum>
  <w:abstractNum w:abstractNumId="54">
    <w:nsid w:val="5092CA79"/>
    <w:multiLevelType w:val="hybridMultilevel"/>
    <w:lvl w:ilvl="0">
      <w:lvlJc w:val="left"/>
      <w:lvlText w:val="(%1)"/>
      <w:numFmt w:val="lowerLetter"/>
      <w:start w:val="1"/>
    </w:lvl>
  </w:abstractNum>
  <w:abstractNum w:abstractNumId="55">
    <w:nsid w:val="1D545C4D"/>
    <w:multiLevelType w:val="hybridMultilevel"/>
    <w:lvl w:ilvl="0">
      <w:lvlJc w:val="left"/>
      <w:lvlText w:val="(%1)"/>
      <w:numFmt w:val="lowerLetter"/>
      <w:start w:val="1"/>
    </w:lvl>
  </w:abstractNum>
  <w:abstractNum w:abstractNumId="56">
    <w:nsid w:val="59ADEA3D"/>
    <w:multiLevelType w:val="hybridMultilevel"/>
    <w:lvl w:ilvl="0">
      <w:lvlJc w:val="left"/>
      <w:lvlText w:val="(%1)"/>
      <w:numFmt w:val="lowerLetter"/>
      <w:start w:val="1"/>
    </w:lvl>
  </w:abstractNum>
  <w:abstractNum w:abstractNumId="57">
    <w:nsid w:val="288F1A34"/>
    <w:multiLevelType w:val="hybridMultilevel"/>
    <w:lvl w:ilvl="0">
      <w:lvlJc w:val="left"/>
      <w:lvlText w:val="•"/>
      <w:numFmt w:val="bullet"/>
      <w:start w:val="1"/>
    </w:lvl>
  </w:abstractNum>
  <w:abstractNum w:abstractNumId="58">
    <w:nsid w:val="2A155DBC"/>
    <w:multiLevelType w:val="hybridMultilevel"/>
    <w:lvl w:ilvl="0">
      <w:lvlJc w:val="left"/>
      <w:lvlText w:val="(%1)"/>
      <w:numFmt w:val="lowerRoman"/>
      <w:start w:val="3"/>
    </w:lvl>
  </w:abstractNum>
  <w:abstractNum w:abstractNumId="59">
    <w:nsid w:val="1D9F6E5F"/>
    <w:multiLevelType w:val="hybridMultilevel"/>
    <w:lvl w:ilvl="0">
      <w:lvlJc w:val="left"/>
      <w:lvlText w:val="•"/>
      <w:numFmt w:val="bullet"/>
      <w:start w:val="1"/>
    </w:lvl>
  </w:abstractNum>
  <w:abstractNum w:abstractNumId="60">
    <w:nsid w:val="97E1B4E"/>
    <w:multiLevelType w:val="hybridMultilevel"/>
    <w:lvl w:ilvl="0">
      <w:lvlJc w:val="left"/>
      <w:lvlText w:val="•"/>
      <w:numFmt w:val="bullet"/>
      <w:start w:val="1"/>
    </w:lvl>
  </w:abstractNum>
  <w:abstractNum w:abstractNumId="61">
    <w:nsid w:val="51088277"/>
    <w:multiLevelType w:val="hybridMultilevel"/>
    <w:lvl w:ilvl="0">
      <w:lvlJc w:val="left"/>
      <w:lvlText w:val="(%1)"/>
      <w:numFmt w:val="decimal"/>
      <w:start w:val="1"/>
    </w:lvl>
  </w:abstractNum>
  <w:abstractNum w:abstractNumId="62">
    <w:nsid w:val="1CA0C5FA"/>
    <w:multiLevelType w:val="hybridMultilevel"/>
    <w:lvl w:ilvl="0">
      <w:lvlJc w:val="left"/>
      <w:lvlText w:val="•"/>
      <w:numFmt w:val="bullet"/>
      <w:start w:val="1"/>
    </w:lvl>
  </w:abstractNum>
  <w:abstractNum w:abstractNumId="63">
    <w:nsid w:val="53584BCB"/>
    <w:multiLevelType w:val="hybridMultilevel"/>
    <w:lvl w:ilvl="0">
      <w:lvlJc w:val="left"/>
      <w:lvlText w:val="•"/>
      <w:numFmt w:val="bullet"/>
      <w:start w:val="1"/>
    </w:lvl>
  </w:abstractNum>
  <w:abstractNum w:abstractNumId="64">
    <w:nsid w:val="415E286C"/>
    <w:multiLevelType w:val="hybridMultilevel"/>
    <w:lvl w:ilvl="0">
      <w:lvlJc w:val="left"/>
      <w:lvlText w:val="(%1)"/>
      <w:numFmt w:val="lowerLetter"/>
      <w:start w:val="1"/>
    </w:lvl>
  </w:abstractNum>
  <w:abstractNum w:abstractNumId="65">
    <w:nsid w:val="7C58FD05"/>
    <w:multiLevelType w:val="hybridMultilevel"/>
    <w:lvl w:ilvl="0">
      <w:lvlJc w:val="left"/>
      <w:lvlText w:val="(%1)"/>
      <w:numFmt w:val="lowerLetter"/>
      <w:start w:val="2"/>
    </w:lvl>
  </w:abstractNum>
  <w:abstractNum w:abstractNumId="66">
    <w:nsid w:val="23D86AAC"/>
    <w:multiLevelType w:val="hybridMultilevel"/>
    <w:lvl w:ilvl="0">
      <w:lvlJc w:val="left"/>
      <w:lvlText w:val="(%1)"/>
      <w:numFmt w:val="decimal"/>
      <w:start w:val="24"/>
    </w:lvl>
  </w:abstractNum>
  <w:abstractNum w:abstractNumId="67">
    <w:nsid w:val="45E6D486"/>
    <w:multiLevelType w:val="hybridMultilevel"/>
    <w:lvl w:ilvl="0">
      <w:lvlJc w:val="left"/>
      <w:lvlText w:val="•"/>
      <w:numFmt w:val="bullet"/>
      <w:start w:val="1"/>
    </w:lvl>
  </w:abstractNum>
  <w:abstractNum w:abstractNumId="68">
    <w:nsid w:val="5C10FE21"/>
    <w:multiLevelType w:val="hybridMultilevel"/>
    <w:lvl w:ilvl="0">
      <w:lvlJc w:val="left"/>
      <w:lvlText w:val="•"/>
      <w:numFmt w:val="bullet"/>
      <w:start w:val="1"/>
    </w:lvl>
  </w:abstractNum>
  <w:abstractNum w:abstractNumId="69">
    <w:nsid w:val="E7FFA2B"/>
    <w:multiLevelType w:val="hybridMultilevel"/>
    <w:lvl w:ilvl="0">
      <w:lvlJc w:val="left"/>
      <w:lvlText w:val="•"/>
      <w:numFmt w:val="bullet"/>
      <w:start w:val="1"/>
    </w:lvl>
    <w:lvl w:ilvl="1">
      <w:lvlJc w:val="left"/>
      <w:lvlText w:val="○"/>
      <w:numFmt w:val="bullet"/>
      <w:start w:val="1"/>
    </w:lvl>
  </w:abstractNum>
  <w:abstractNum w:abstractNumId="70">
    <w:nsid w:val="3C5991AA"/>
    <w:multiLevelType w:val="hybridMultilevel"/>
    <w:lvl w:ilvl="0">
      <w:lvlJc w:val="left"/>
      <w:lvlText w:val="(%1)"/>
      <w:numFmt w:val="decimal"/>
      <w:start w:val="1"/>
    </w:lvl>
  </w:abstractNum>
  <w:abstractNum w:abstractNumId="71">
    <w:nsid w:val="4BD8591A"/>
    <w:multiLevelType w:val="hybridMultilevel"/>
    <w:lvl w:ilvl="0">
      <w:lvlJc w:val="left"/>
      <w:lvlText w:val="•"/>
      <w:numFmt w:val="bullet"/>
      <w:start w:val="1"/>
    </w:lvl>
  </w:abstractNum>
  <w:abstractNum w:abstractNumId="72">
    <w:nsid w:val="78DF6A55"/>
    <w:multiLevelType w:val="hybridMultilevel"/>
    <w:lvl w:ilvl="0">
      <w:lvlJc w:val="left"/>
      <w:lvlText w:val="(%1)"/>
      <w:numFmt w:val="decimal"/>
      <w:start w:val="1"/>
    </w:lvl>
  </w:abstractNum>
  <w:abstractNum w:abstractNumId="73">
    <w:nsid w:val="39B7AAA2"/>
    <w:multiLevelType w:val="hybridMultilevel"/>
    <w:lvl w:ilvl="0">
      <w:lvlJc w:val="left"/>
      <w:lvlText w:val="*"/>
      <w:numFmt w:val="bullet"/>
      <w:start w:val="1"/>
    </w:lvl>
  </w:abstractNum>
  <w:abstractNum w:abstractNumId="74">
    <w:nsid w:val="2B0D8DBE"/>
    <w:multiLevelType w:val="hybridMultilevel"/>
    <w:lvl w:ilvl="0">
      <w:lvlJc w:val="left"/>
      <w:lvlText w:val="(%1)"/>
      <w:numFmt w:val="decimal"/>
      <w:start w:val="1"/>
    </w:lvl>
  </w:abstractNum>
  <w:abstractNum w:abstractNumId="75">
    <w:nsid w:val="6C80EC70"/>
    <w:multiLevelType w:val="hybridMultilevel"/>
    <w:lvl w:ilvl="0">
      <w:lvlJc w:val="left"/>
      <w:lvlText w:val="(%1)"/>
      <w:numFmt w:val="decimal"/>
      <w:start w:val="9"/>
    </w:lvl>
  </w:abstractNum>
  <w:abstractNum w:abstractNumId="76">
    <w:nsid w:val="379E21B5"/>
    <w:multiLevelType w:val="hybridMultilevel"/>
    <w:lvl w:ilvl="0">
      <w:lvlJc w:val="left"/>
      <w:lvlText w:val="(%1)"/>
      <w:numFmt w:val="decimal"/>
      <w:start w:val="1"/>
    </w:lvl>
  </w:abstractNum>
  <w:abstractNum w:abstractNumId="77">
    <w:nsid w:val="69E373"/>
    <w:multiLevelType w:val="hybridMultilevel"/>
    <w:lvl w:ilvl="0">
      <w:lvlJc w:val="left"/>
      <w:lvlText w:val="%1:"/>
      <w:numFmt w:val="upperLetter"/>
      <w:start w:val="1"/>
    </w:lvl>
  </w:abstractNum>
  <w:abstractNum w:abstractNumId="78">
    <w:nsid w:val="2C27173B"/>
    <w:multiLevelType w:val="hybridMultilevel"/>
    <w:lvl w:ilvl="0">
      <w:lvlJc w:val="left"/>
      <w:lvlText w:val="%1:"/>
      <w:numFmt w:val="upperLetter"/>
      <w:start w:val="1"/>
    </w:lvl>
  </w:abstractNum>
  <w:abstractNum w:abstractNumId="79">
    <w:nsid w:val="4C9B0904"/>
    <w:multiLevelType w:val="hybridMultilevel"/>
    <w:lvl w:ilvl="0">
      <w:lvlJc w:val="left"/>
      <w:lvlText w:val="%1:"/>
      <w:numFmt w:val="upperLetter"/>
      <w:start w:val="1"/>
    </w:lvl>
    <w:lvl w:ilvl="1">
      <w:lvlJc w:val="left"/>
      <w:lvlText w:val="•"/>
      <w:numFmt w:val="bullet"/>
      <w:start w:val="1"/>
    </w:lvl>
  </w:abstractNum>
  <w:abstractNum w:abstractNumId="80">
    <w:nsid w:val="6AA7B75C"/>
    <w:multiLevelType w:val="hybridMultilevel"/>
    <w:lvl w:ilvl="0">
      <w:lvlJc w:val="left"/>
      <w:lvlText w:val="%1:"/>
      <w:numFmt w:val="upperLetter"/>
      <w:start w:val="1"/>
    </w:lvl>
  </w:abstractNum>
  <w:abstractNum w:abstractNumId="81">
    <w:nsid w:val="1DF029D3"/>
    <w:multiLevelType w:val="hybridMultilevel"/>
    <w:lvl w:ilvl="0">
      <w:lvlJc w:val="left"/>
      <w:lvlText w:val="%1:"/>
      <w:numFmt w:val="upperLetter"/>
      <w:start w:val="1"/>
    </w:lvl>
  </w:abstractNum>
  <w:abstractNum w:abstractNumId="82">
    <w:nsid w:val="5675FF36"/>
    <w:multiLevelType w:val="hybridMultilevel"/>
    <w:lvl w:ilvl="0">
      <w:lvlJc w:val="left"/>
      <w:lvlText w:val="%1:"/>
      <w:numFmt w:val="upperLetter"/>
      <w:start w:val="1"/>
    </w:lvl>
  </w:abstractNum>
  <w:abstractNum w:abstractNumId="83">
    <w:nsid w:val="3DD15094"/>
    <w:multiLevelType w:val="hybridMultilevel"/>
    <w:lvl w:ilvl="0">
      <w:lvlJc w:val="left"/>
      <w:lvlText w:val="•"/>
      <w:numFmt w:val="bullet"/>
      <w:start w:val="1"/>
    </w:lvl>
  </w:abstractNum>
  <w:abstractNum w:abstractNumId="84">
    <w:nsid w:val="3DB012B3"/>
    <w:multiLevelType w:val="hybridMultilevel"/>
    <w:lvl w:ilvl="0">
      <w:lvlJc w:val="left"/>
      <w:lvlText w:val="•"/>
      <w:numFmt w:val="bullet"/>
      <w:start w:val="1"/>
    </w:lvl>
  </w:abstractNum>
  <w:abstractNum w:abstractNumId="85">
    <w:nsid w:val="2708C9AF"/>
    <w:multiLevelType w:val="hybridMultilevel"/>
    <w:lvl w:ilvl="0">
      <w:lvlJc w:val="left"/>
      <w:lvlText w:val="%1:"/>
      <w:numFmt w:val="upperLetter"/>
      <w:start w:val="1"/>
    </w:lvl>
  </w:abstractNum>
  <w:abstractNum w:abstractNumId="86">
    <w:nsid w:val="5B25ACE2"/>
    <w:multiLevelType w:val="hybridMultilevel"/>
    <w:lvl w:ilvl="0">
      <w:lvlJc w:val="left"/>
      <w:lvlText w:val="%1:"/>
      <w:numFmt w:val="upperLetter"/>
      <w:start w:val="1"/>
    </w:lvl>
  </w:abstractNum>
  <w:abstractNum w:abstractNumId="87">
    <w:nsid w:val="175DFCF0"/>
    <w:multiLevelType w:val="hybridMultilevel"/>
    <w:lvl w:ilvl="0">
      <w:lvlJc w:val="left"/>
      <w:lvlText w:val="%1:"/>
      <w:numFmt w:val="upperLetter"/>
      <w:start w:val="1"/>
    </w:lvl>
  </w:abstractNum>
  <w:abstractNum w:abstractNumId="88">
    <w:nsid w:val="4F97E3E4"/>
    <w:multiLevelType w:val="hybridMultilevel"/>
    <w:lvl w:ilvl="0">
      <w:lvlJc w:val="left"/>
      <w:lvlText w:val="%1:"/>
      <w:numFmt w:val="upperLetter"/>
      <w:start w:val="17"/>
    </w:lvl>
  </w:abstractNum>
  <w:abstractNum w:abstractNumId="89">
    <w:nsid w:val="53B0A9E"/>
    <w:multiLevelType w:val="hybridMultilevel"/>
    <w:lvl w:ilvl="0">
      <w:lvlJc w:val="left"/>
      <w:lvlText w:val="%1:"/>
      <w:numFmt w:val="upperLetter"/>
      <w:start w:val="1"/>
    </w:lvl>
  </w:abstractNum>
  <w:abstractNum w:abstractNumId="90">
    <w:nsid w:val="34FD6B4F"/>
    <w:multiLevelType w:val="hybridMultilevel"/>
    <w:lvl w:ilvl="0">
      <w:lvlJc w:val="left"/>
      <w:lvlText w:val="%1:"/>
      <w:numFmt w:val="upperLetter"/>
      <w:start w:val="1"/>
    </w:lvl>
  </w:abstractNum>
  <w:abstractNum w:abstractNumId="91">
    <w:nsid w:val="5915FF32"/>
    <w:multiLevelType w:val="hybridMultilevel"/>
    <w:lvl w:ilvl="0">
      <w:lvlJc w:val="left"/>
      <w:lvlText w:val="%1:"/>
      <w:numFmt w:val="upperLetter"/>
      <w:start w:val="1"/>
    </w:lvl>
  </w:abstractNum>
  <w:abstractNum w:abstractNumId="92">
    <w:nsid w:val="56438D15"/>
    <w:multiLevelType w:val="hybridMultilevel"/>
    <w:lvl w:ilvl="0">
      <w:lvlJc w:val="left"/>
      <w:lvlText w:val="%1:"/>
      <w:numFmt w:val="upperLetter"/>
      <w:start w:val="17"/>
    </w:lvl>
  </w:abstractNum>
  <w:abstractNum w:abstractNumId="93">
    <w:nsid w:val="519E3149"/>
    <w:multiLevelType w:val="hybridMultilevel"/>
    <w:lvl w:ilvl="0">
      <w:lvlJc w:val="left"/>
      <w:lvlText w:val="%1:"/>
      <w:numFmt w:val="upperLetter"/>
      <w:start w:val="1"/>
    </w:lvl>
  </w:abstractNum>
  <w:abstractNum w:abstractNumId="94">
    <w:nsid w:val="2C6E4AFD"/>
    <w:multiLevelType w:val="hybridMultilevel"/>
    <w:lvl w:ilvl="0">
      <w:lvlJc w:val="left"/>
      <w:lvlText w:val="%1:"/>
      <w:numFmt w:val="upperLetter"/>
      <w:start w:val="17"/>
    </w:lvl>
  </w:abstractNum>
  <w:abstractNum w:abstractNumId="95">
    <w:nsid w:val="17A1B582"/>
    <w:multiLevelType w:val="hybridMultilevel"/>
    <w:lvl w:ilvl="0">
      <w:lvlJc w:val="left"/>
      <w:lvlText w:val="%1:"/>
      <w:numFmt w:val="upperLetter"/>
      <w:start w:val="1"/>
    </w:lvl>
  </w:abstractNum>
  <w:abstractNum w:abstractNumId="96">
    <w:nsid w:val="4DF72E4E"/>
    <w:multiLevelType w:val="hybridMultilevel"/>
    <w:lvl w:ilvl="0">
      <w:lvlJc w:val="left"/>
      <w:lvlText w:val="%1:"/>
      <w:numFmt w:val="upperLetter"/>
      <w:start w:val="17"/>
    </w:lvl>
  </w:abstractNum>
  <w:abstractNum w:abstractNumId="97">
    <w:nsid w:val="5046B5A9"/>
    <w:multiLevelType w:val="hybridMultilevel"/>
    <w:lvl w:ilvl="0">
      <w:lvlJc w:val="left"/>
      <w:lvlText w:val="%1:"/>
      <w:numFmt w:val="upperLetter"/>
      <w:start w:val="1"/>
    </w:lvl>
  </w:abstractNum>
  <w:abstractNum w:abstractNumId="98">
    <w:nsid w:val="5D888A08"/>
    <w:multiLevelType w:val="hybridMultilevel"/>
    <w:lvl w:ilvl="0">
      <w:lvlJc w:val="left"/>
      <w:lvlText w:val="%1:"/>
      <w:numFmt w:val="upperLetter"/>
      <w:start w:val="1"/>
    </w:lvl>
  </w:abstractNum>
  <w:abstractNum w:abstractNumId="99">
    <w:nsid w:val="2A082C70"/>
    <w:multiLevelType w:val="hybridMultilevel"/>
    <w:lvl w:ilvl="0">
      <w:lvlJc w:val="left"/>
      <w:lvlText w:val="%1:"/>
      <w:numFmt w:val="upperLetter"/>
      <w:start w:val="1"/>
    </w:lvl>
  </w:abstractNum>
  <w:abstractNum w:abstractNumId="100">
    <w:nsid w:val="5EC6AFD4"/>
    <w:multiLevelType w:val="hybridMultilevel"/>
    <w:lvl w:ilvl="0">
      <w:lvlJc w:val="left"/>
      <w:lvlText w:val="%1:"/>
      <w:numFmt w:val="upperLetter"/>
      <w:start w:val="17"/>
    </w:lvl>
  </w:abstractNum>
  <w:abstractNum w:abstractNumId="101">
    <w:nsid w:val="19E21BB2"/>
    <w:multiLevelType w:val="hybridMultilevel"/>
    <w:lvl w:ilvl="0">
      <w:lvlJc w:val="left"/>
      <w:lvlText w:val="%1:"/>
      <w:numFmt w:val="upperLetter"/>
      <w:start w:val="1"/>
    </w:lvl>
  </w:abstractNum>
  <w:abstractNum w:abstractNumId="102">
    <w:nsid w:val="75E0858A"/>
    <w:multiLevelType w:val="hybridMultilevel"/>
    <w:lvl w:ilvl="0">
      <w:lvlJc w:val="left"/>
      <w:lvlText w:val="%1:"/>
      <w:numFmt w:val="upperLetter"/>
      <w:start w:val="17"/>
    </w:lvl>
  </w:abstractNum>
  <w:abstractNum w:abstractNumId="103">
    <w:nsid w:val="57A61A29"/>
    <w:multiLevelType w:val="hybridMultilevel"/>
    <w:lvl w:ilvl="0">
      <w:lvlJc w:val="left"/>
      <w:lvlText w:val="%1:"/>
      <w:numFmt w:val="upperLetter"/>
      <w:start w:val="1"/>
    </w:lvl>
  </w:abstractNum>
  <w:abstractNum w:abstractNumId="104">
    <w:nsid w:val="5399C654"/>
    <w:multiLevelType w:val="hybridMultilevel"/>
    <w:lvl w:ilvl="0">
      <w:lvlJc w:val="left"/>
      <w:lvlText w:val="•"/>
      <w:numFmt w:val="bullet"/>
      <w:start w:val="1"/>
    </w:lvl>
    <w:lvl w:ilvl="1">
      <w:lvlJc w:val="left"/>
      <w:lvlText w:val="○"/>
      <w:numFmt w:val="bullet"/>
      <w:start w:val="1"/>
    </w:lvl>
  </w:abstractNum>
  <w:abstractNum w:abstractNumId="105">
    <w:nsid w:val="20EE1348"/>
    <w:multiLevelType w:val="hybridMultilevel"/>
    <w:lvl w:ilvl="0">
      <w:lvlJc w:val="left"/>
      <w:lvlText w:val="•"/>
      <w:numFmt w:val="bullet"/>
      <w:start w:val="1"/>
    </w:lvl>
    <w:lvl w:ilvl="1">
      <w:lvlJc w:val="left"/>
      <w:lvlText w:val="○"/>
      <w:numFmt w:val="bullet"/>
      <w:start w:val="1"/>
    </w:lvl>
  </w:abstractNum>
  <w:abstractNum w:abstractNumId="106">
    <w:nsid w:val="4427069A"/>
    <w:multiLevelType w:val="hybridMultilevel"/>
    <w:lvl w:ilvl="0">
      <w:lvlJc w:val="left"/>
      <w:lvlText w:val="•"/>
      <w:numFmt w:val="bullet"/>
      <w:start w:val="1"/>
    </w:lvl>
    <w:lvl w:ilvl="1">
      <w:lvlJc w:val="left"/>
      <w:lvlText w:val="○"/>
      <w:numFmt w:val="bullet"/>
      <w:start w:val="1"/>
    </w:lvl>
  </w:abstractNum>
  <w:abstractNum w:abstractNumId="107">
    <w:nsid w:val="B37E80A"/>
    <w:multiLevelType w:val="hybridMultilevel"/>
    <w:lvl w:ilvl="0">
      <w:lvlJc w:val="left"/>
      <w:lvlText w:val="(%1)"/>
      <w:numFmt w:val="lowerRoman"/>
      <w:start w:val="3"/>
    </w:lvl>
  </w:abstractNum>
  <w:abstractNum w:abstractNumId="108">
    <w:nsid w:val="2157F6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9">
    <w:nsid w:val="704E1DD5"/>
    <w:multiLevelType w:val="hybridMultilevel"/>
    <w:lvl w:ilvl="0">
      <w:lvlJc w:val="left"/>
      <w:lvlText w:val="(%1)"/>
      <w:numFmt w:val="decimal"/>
      <w:start w:val="3"/>
    </w:lvl>
    <w:lvl w:ilvl="1">
      <w:lvlJc w:val="left"/>
      <w:lvlText w:val="%2."/>
      <w:numFmt w:val="lowerLetter"/>
      <w:start w:val="1"/>
    </w:lvl>
  </w:abstractNum>
  <w:abstractNum w:abstractNumId="110">
    <w:nsid w:val="57D2F10E"/>
    <w:multiLevelType w:val="hybridMultilevel"/>
    <w:lvl w:ilvl="0">
      <w:lvlJc w:val="left"/>
      <w:lvlText w:val="(%1)"/>
      <w:numFmt w:val="decimal"/>
      <w:start w:val="1"/>
    </w:lvl>
  </w:abstractNum>
  <w:abstractNum w:abstractNumId="111">
    <w:nsid w:val="BFFAE18"/>
    <w:multiLevelType w:val="hybridMultilevel"/>
    <w:lvl w:ilvl="0">
      <w:lvlJc w:val="left"/>
      <w:lvlText w:val="•"/>
      <w:numFmt w:val="bullet"/>
      <w:start w:val="1"/>
    </w:lvl>
  </w:abstractNum>
  <w:abstractNum w:abstractNumId="112">
    <w:nsid w:val="E3E47A8"/>
    <w:multiLevelType w:val="hybridMultilevel"/>
    <w:lvl w:ilvl="0">
      <w:lvlJc w:val="left"/>
      <w:lvlText w:val="•"/>
      <w:numFmt w:val="bullet"/>
      <w:start w:val="1"/>
    </w:lvl>
  </w:abstractNum>
  <w:abstractNum w:abstractNumId="113">
    <w:nsid w:val="2E48F044"/>
    <w:multiLevelType w:val="hybridMultilevel"/>
    <w:lvl w:ilvl="0">
      <w:lvlJc w:val="left"/>
      <w:lvlText w:val="•"/>
      <w:numFmt w:val="bullet"/>
      <w:start w:val="1"/>
    </w:lvl>
  </w:abstractNum>
  <w:abstractNum w:abstractNumId="114">
    <w:nsid w:val="49D0FEAC"/>
    <w:multiLevelType w:val="hybridMultilevel"/>
    <w:lvl w:ilvl="0">
      <w:lvlJc w:val="left"/>
      <w:lvlText w:val="•"/>
      <w:numFmt w:val="bullet"/>
      <w:start w:val="1"/>
    </w:lvl>
  </w:abstractNum>
  <w:abstractNum w:abstractNumId="115">
    <w:nsid w:val="4BEE5A5B"/>
    <w:multiLevelType w:val="hybridMultilevel"/>
    <w:lvl w:ilvl="0">
      <w:lvlJc w:val="left"/>
      <w:lvlText w:val="•"/>
      <w:numFmt w:val="bullet"/>
      <w:start w:val="1"/>
    </w:lvl>
  </w:abstractNum>
  <w:abstractNum w:abstractNumId="116">
    <w:nsid w:val="5551B9F3"/>
    <w:multiLevelType w:val="hybridMultilevel"/>
    <w:lvl w:ilvl="0">
      <w:lvlJc w:val="left"/>
      <w:lvlText w:val="•"/>
      <w:numFmt w:val="bullet"/>
      <w:start w:val="1"/>
    </w:lvl>
  </w:abstractNum>
  <w:abstractNum w:abstractNumId="117">
    <w:nsid w:val="24F6AB8E"/>
    <w:multiLevelType w:val="hybridMultilevel"/>
    <w:lvl w:ilvl="0">
      <w:lvlJc w:val="left"/>
      <w:lvlText w:val="%1."/>
      <w:numFmt w:val="decimal"/>
      <w:start w:val="1"/>
    </w:lvl>
  </w:abstractNum>
  <w:abstractNum w:abstractNumId="118">
    <w:nsid w:val="634C574C"/>
    <w:multiLevelType w:val="hybridMultilevel"/>
    <w:lvl w:ilvl="0">
      <w:lvlJc w:val="left"/>
      <w:lvlText w:val="%1."/>
      <w:numFmt w:val="decimal"/>
      <w:start w:val="2"/>
    </w:lvl>
  </w:abstractNum>
  <w:abstractNum w:abstractNumId="119">
    <w:nsid w:val="24E99DD7"/>
    <w:multiLevelType w:val="hybridMultilevel"/>
    <w:lvl w:ilvl="0">
      <w:lvlJc w:val="left"/>
      <w:lvlText w:val="%1."/>
      <w:numFmt w:val="decimal"/>
      <w:start w:val="3"/>
    </w:lvl>
  </w:abstractNum>
  <w:abstractNum w:abstractNumId="120">
    <w:nsid w:val="2A31B62D"/>
    <w:multiLevelType w:val="hybridMultilevel"/>
    <w:lvl w:ilvl="0">
      <w:lvlJc w:val="left"/>
      <w:lvlText w:val="%1."/>
      <w:numFmt w:val="decimal"/>
      <w:start w:val="1"/>
    </w:lvl>
  </w:abstractNum>
  <w:abstractNum w:abstractNumId="121">
    <w:nsid w:val="1849C29B"/>
    <w:multiLevelType w:val="hybridMultilevel"/>
    <w:lvl w:ilvl="0">
      <w:lvlJc w:val="left"/>
      <w:lvlText w:val="%1."/>
      <w:numFmt w:val="decimal"/>
      <w:start w:val="2"/>
    </w:lvl>
  </w:abstractNum>
  <w:abstractNum w:abstractNumId="122">
    <w:nsid w:val="7DFF9D09"/>
    <w:multiLevelType w:val="hybridMultilevel"/>
    <w:lvl w:ilvl="0">
      <w:lvlJc w:val="left"/>
      <w:lvlText w:val="%1."/>
      <w:numFmt w:val="decimal"/>
      <w:start w:val="3"/>
    </w:lvl>
  </w:abstractNum>
  <w:abstractNum w:abstractNumId="123">
    <w:nsid w:val="754342"/>
    <w:multiLevelType w:val="hybridMultilevel"/>
    <w:lvl w:ilvl="0">
      <w:lvlJc w:val="left"/>
      <w:lvlText w:val="%1."/>
      <w:numFmt w:val="decimal"/>
      <w:start w:val="4"/>
    </w:lvl>
  </w:abstractNum>
  <w:abstractNum w:abstractNumId="124">
    <w:nsid w:val="69E7F3E5"/>
    <w:multiLevelType w:val="hybridMultilevel"/>
    <w:lvl w:ilvl="0">
      <w:lvlJc w:val="left"/>
      <w:lvlText w:val="%1."/>
      <w:numFmt w:val="decimal"/>
      <w:start w:val="5"/>
    </w:lvl>
    <w:lvl w:ilvl="1">
      <w:lvlJc w:val="left"/>
      <w:lvlText w:val="(%2)"/>
      <w:numFmt w:val="lowerLetter"/>
      <w:start w:val="1"/>
    </w:lvl>
  </w:abstractNum>
  <w:abstractNum w:abstractNumId="125">
    <w:nsid w:val="2A6DE806"/>
    <w:multiLevelType w:val="hybridMultilevel"/>
    <w:lvl w:ilvl="0">
      <w:lvlJc w:val="left"/>
      <w:lvlText w:val="%1."/>
      <w:numFmt w:val="decimal"/>
      <w:start w:val="7"/>
    </w:lvl>
  </w:abstractNum>
  <w:abstractNum w:abstractNumId="126">
    <w:nsid w:val="1816F8C4"/>
    <w:multiLevelType w:val="hybridMultilevel"/>
    <w:lvl w:ilvl="0">
      <w:lvlJc w:val="left"/>
      <w:lvlText w:val="(%1)"/>
      <w:numFmt w:val="decimal"/>
      <w:start w:val="1"/>
    </w:lvl>
  </w:abstractNum>
  <w:abstractNum w:abstractNumId="127">
    <w:nsid w:val="37DF2233"/>
    <w:multiLevelType w:val="hybridMultilevel"/>
    <w:lvl w:ilvl="0">
      <w:lvlJc w:val="left"/>
      <w:lvlText w:val="%1"/>
      <w:numFmt w:val="lowerRoman"/>
      <w:start w:val="1"/>
    </w:lvl>
    <w:lvl w:ilvl="1">
      <w:lvlJc w:val="left"/>
      <w:lvlText w:val="(%2)"/>
      <w:numFmt w:val="decimal"/>
      <w:start w:val="3"/>
    </w:lvl>
  </w:abstractNum>
  <w:abstractNum w:abstractNumId="128">
    <w:nsid w:val="7AB49DAF"/>
    <w:multiLevelType w:val="hybridMultilevel"/>
    <w:lvl w:ilvl="0">
      <w:lvlJc w:val="left"/>
      <w:lvlText w:val="(%1)"/>
      <w:numFmt w:val="lowerRoman"/>
      <w:start w:val="3"/>
    </w:lvl>
    <w:lvl w:ilvl="1">
      <w:lvlJc w:val="left"/>
      <w:lvlText w:val="%2"/>
      <w:numFmt w:val="decimal"/>
      <w:start w:val="1"/>
    </w:lvl>
  </w:abstractNum>
  <w:abstractNum w:abstractNumId="129">
    <w:nsid w:val="759F82CD"/>
    <w:multiLevelType w:val="hybridMultilevel"/>
    <w:lvl w:ilvl="0">
      <w:lvlJc w:val="left"/>
      <w:lvlText w:val="%1"/>
      <w:numFmt w:val="decimal"/>
      <w:start w:val="1"/>
    </w:lvl>
    <w:lvl w:ilvl="1">
      <w:lvlJc w:val="left"/>
      <w:lvlText w:val="(%2)"/>
      <w:numFmt w:val="upperLetter"/>
      <w:start w:val="1"/>
    </w:lvl>
  </w:abstractNum>
  <w:abstractNum w:abstractNumId="130">
    <w:nsid w:val="61E74EA3"/>
    <w:multiLevelType w:val="hybridMultilevel"/>
    <w:lvl w:ilvl="0">
      <w:lvlJc w:val="left"/>
      <w:lvlText w:val="(%1)"/>
      <w:numFmt w:val="decimal"/>
      <w:start w:val="4"/>
    </w:lvl>
    <w:lvl w:ilvl="1">
      <w:lvlJc w:val="left"/>
      <w:lvlText w:val="%2"/>
      <w:numFmt w:val="upperLetter"/>
      <w:start w:val="1"/>
    </w:lvl>
  </w:abstractNum>
  <w:abstractNum w:abstractNumId="131">
    <w:nsid w:val="597B4D84"/>
    <w:multiLevelType w:val="hybridMultilevel"/>
    <w:lvl w:ilvl="0">
      <w:lvlJc w:val="left"/>
      <w:lvlText w:val="%1"/>
      <w:numFmt w:val="lowerRoman"/>
      <w:start w:val="1"/>
    </w:lvl>
    <w:lvl w:ilvl="1">
      <w:lvlJc w:val="left"/>
      <w:lvlText w:val="(%2)"/>
      <w:numFmt w:val="decimal"/>
      <w:start w:val="5"/>
    </w:lvl>
  </w:abstractNum>
  <w:abstractNum w:abstractNumId="132">
    <w:nsid w:val="F819E7F"/>
    <w:multiLevelType w:val="hybridMultilevel"/>
    <w:lvl w:ilvl="0">
      <w:lvlJc w:val="left"/>
      <w:lvlText w:val="(%1)"/>
      <w:numFmt w:val="lowerRoman"/>
      <w:start w:val="1"/>
    </w:lvl>
    <w:lvl w:ilvl="1">
      <w:lvlJc w:val="left"/>
      <w:lvlText w:val="%2"/>
      <w:numFmt w:val="decimal"/>
      <w:start w:val="1"/>
    </w:lvl>
  </w:abstractNum>
  <w:abstractNum w:abstractNumId="133">
    <w:nsid w:val="57C7D42D"/>
    <w:multiLevelType w:val="hybridMultilevel"/>
    <w:lvl w:ilvl="0">
      <w:lvlJc w:val="left"/>
      <w:lvlText w:val="(%1)"/>
      <w:numFmt w:val="decimal"/>
      <w:start w:val="6"/>
    </w:lvl>
  </w:abstractNum>
  <w:abstractNum w:abstractNumId="134">
    <w:nsid w:val="312167AD"/>
    <w:multiLevelType w:val="hybridMultilevel"/>
    <w:lvl w:ilvl="0">
      <w:lvlJc w:val="left"/>
      <w:lvlText w:val="(%1)"/>
      <w:numFmt w:val="decimal"/>
      <w:start w:val="7"/>
    </w:lvl>
  </w:abstractNum>
  <w:abstractNum w:abstractNumId="135">
    <w:nsid w:val="631B64D4"/>
    <w:multiLevelType w:val="hybridMultilevel"/>
    <w:lvl w:ilvl="0">
      <w:lvlJc w:val="left"/>
      <w:lvlText w:val="(%1)"/>
      <w:numFmt w:val="decimal"/>
      <w:start w:val="1"/>
    </w:lvl>
  </w:abstractNum>
  <w:abstractNum w:abstractNumId="136">
    <w:nsid w:val="78B5E776"/>
    <w:multiLevelType w:val="hybridMultilevel"/>
    <w:lvl w:ilvl="0">
      <w:lvlJc w:val="left"/>
      <w:lvlText w:val="%1."/>
      <w:numFmt w:val="decimal"/>
      <w:start w:val="8"/>
    </w:lvl>
  </w:abstractNum>
  <w:abstractNum w:abstractNumId="137">
    <w:nsid w:val="75486E47"/>
    <w:multiLevelType w:val="hybridMultilevel"/>
    <w:lvl w:ilvl="0">
      <w:lvlJc w:val="left"/>
      <w:lvlText w:val="(%1)"/>
      <w:numFmt w:val="decimal"/>
      <w:start w:val="1"/>
    </w:lvl>
  </w:abstractNum>
  <w:abstractNum w:abstractNumId="138">
    <w:nsid w:val="6E534CDE"/>
    <w:multiLevelType w:val="hybridMultilevel"/>
    <w:lvl w:ilvl="0">
      <w:lvlJc w:val="left"/>
      <w:lvlText w:val="(%1)"/>
      <w:numFmt w:val="decimal"/>
      <w:start w:val="1"/>
    </w:lvl>
  </w:abstractNum>
  <w:abstractNum w:abstractNumId="139">
    <w:nsid w:val="1A0DDE32"/>
    <w:multiLevelType w:val="hybridMultilevel"/>
    <w:lvl w:ilvl="0">
      <w:lvlJc w:val="left"/>
      <w:lvlText w:val="(%1)"/>
      <w:numFmt w:val="decimal"/>
      <w:start w:val="1"/>
    </w:lvl>
    <w:lvl w:ilvl="1">
      <w:lvlJc w:val="left"/>
      <w:lvlText w:val="(%2)"/>
      <w:numFmt w:val="upperLetter"/>
      <w:start w:val="1"/>
    </w:lvl>
  </w:abstractNum>
  <w:abstractNum w:abstractNumId="140">
    <w:nsid w:val="65968C1C"/>
    <w:multiLevelType w:val="hybridMultilevel"/>
    <w:lvl w:ilvl="0">
      <w:lvlJc w:val="left"/>
      <w:lvlText w:val="%1"/>
      <w:numFmt w:val="decimal"/>
      <w:start w:val="1"/>
    </w:lvl>
    <w:lvl w:ilvl="1">
      <w:lvlJc w:val="left"/>
      <w:lvlText w:val="%2"/>
      <w:numFmt w:val="decimal"/>
      <w:start w:val="1"/>
    </w:lvl>
    <w:lvl w:ilvl="2">
      <w:lvlJc w:val="left"/>
      <w:lvlText w:val="(%3)"/>
      <w:numFmt w:val="upperLetter"/>
      <w:start w:val="2"/>
    </w:lvl>
  </w:abstractNum>
  <w:abstractNum w:abstractNumId="141">
    <w:nsid w:val="46263DEC"/>
    <w:multiLevelType w:val="hybridMultilevel"/>
    <w:lvl w:ilvl="0">
      <w:lvlJc w:val="left"/>
      <w:lvlText w:val="%1"/>
      <w:numFmt w:val="decimal"/>
      <w:start w:val="1"/>
    </w:lvl>
    <w:lvl w:ilvl="1">
      <w:lvlJc w:val="left"/>
      <w:lvlText w:val="(%2)"/>
      <w:numFmt w:val="decimal"/>
      <w:start w:val="3"/>
    </w:lvl>
    <w:lvl w:ilvl="2">
      <w:lvlJc w:val="left"/>
      <w:lvlText w:val="%3"/>
      <w:numFmt w:val="upperLetter"/>
      <w:start w:val="1"/>
    </w:lvl>
  </w:abstractNum>
  <w:abstractNum w:abstractNumId="142">
    <w:nsid w:val="260D8C4A"/>
    <w:multiLevelType w:val="hybridMultilevel"/>
    <w:lvl w:ilvl="0">
      <w:lvlJc w:val="left"/>
      <w:lvlText w:val="%1."/>
      <w:numFmt w:val="decimal"/>
      <w:start w:val="9"/>
    </w:lvl>
    <w:lvl w:ilvl="1">
      <w:lvlJc w:val="left"/>
      <w:lvlText w:val="%2"/>
      <w:numFmt w:val="decimal"/>
      <w:start w:val="1"/>
    </w:lvl>
    <w:lvl w:ilvl="2">
      <w:lvlJc w:val="left"/>
      <w:lvlText w:val="%3"/>
      <w:numFmt w:val="upperLetter"/>
      <w:start w:val="1"/>
    </w:lvl>
  </w:abstractNum>
  <w:abstractNum w:abstractNumId="143">
    <w:nsid w:val="73D4D3C4"/>
    <w:multiLevelType w:val="hybridMultilevel"/>
    <w:lvl w:ilvl="0">
      <w:lvlJc w:val="left"/>
      <w:lvlText w:val="%1."/>
      <w:numFmt w:val="decimal"/>
      <w:start w:val="10"/>
    </w:lvl>
  </w:abstractNum>
  <w:abstractNum w:abstractNumId="144">
    <w:nsid w:val="746F2E30"/>
    <w:multiLevelType w:val="hybridMultilevel"/>
    <w:lvl w:ilvl="0">
      <w:lvlJc w:val="left"/>
      <w:lvlText w:val="%1."/>
      <w:numFmt w:val="decimal"/>
      <w:start w:val="11"/>
    </w:lvl>
  </w:abstractNum>
  <w:abstractNum w:abstractNumId="145">
    <w:nsid w:val="6FDE8AF6"/>
    <w:multiLevelType w:val="hybridMultilevel"/>
    <w:lvl w:ilvl="0">
      <w:lvlJc w:val="left"/>
      <w:lvlText w:val="%1."/>
      <w:numFmt w:val="decimal"/>
      <w:start w:val="12"/>
    </w:lvl>
  </w:abstractNum>
  <w:abstractNum w:abstractNumId="146">
    <w:nsid w:val="3FC32E20"/>
    <w:multiLevelType w:val="hybridMultilevel"/>
    <w:lvl w:ilvl="0">
      <w:lvlJc w:val="left"/>
      <w:lvlText w:val="%1."/>
      <w:numFmt w:val="decimal"/>
      <w:start w:val="13"/>
    </w:lvl>
    <w:lvl w:ilvl="1">
      <w:lvlJc w:val="left"/>
      <w:lvlText w:val="(%2)"/>
      <w:numFmt w:val="lowerLetter"/>
      <w:start w:val="1"/>
    </w:lvl>
  </w:abstractNum>
  <w:abstractNum w:abstractNumId="147">
    <w:nsid w:val="49C0E823"/>
    <w:multiLevelType w:val="hybridMultilevel"/>
    <w:lvl w:ilvl="0">
      <w:lvlJc w:val="left"/>
      <w:lvlText w:val="(%1)"/>
      <w:numFmt w:val="lowerLetter"/>
      <w:start w:val="2"/>
    </w:lvl>
  </w:abstractNum>
  <w:abstractNum w:abstractNumId="148">
    <w:nsid w:val="14D53685"/>
    <w:multiLevelType w:val="hybridMultilevel"/>
    <w:lvl w:ilvl="0">
      <w:lvlJc w:val="left"/>
      <w:lvlText w:val="(%1)"/>
      <w:numFmt w:val="lowerRoman"/>
      <w:start w:val="1"/>
    </w:lvl>
  </w:abstractNum>
  <w:abstractNum w:abstractNumId="149">
    <w:nsid w:val="230F856C"/>
    <w:multiLevelType w:val="hybridMultilevel"/>
    <w:lvl w:ilvl="0">
      <w:lvlJc w:val="left"/>
      <w:lvlText w:val="(%1)"/>
      <w:numFmt w:val="lowerRoman"/>
      <w:start w:val="1"/>
    </w:lvl>
  </w:abstractNum>
  <w:abstractNum w:abstractNumId="150">
    <w:nsid w:val="6EAA85FB"/>
    <w:multiLevelType w:val="hybridMultilevel"/>
    <w:lvl w:ilvl="0">
      <w:lvlJc w:val="left"/>
      <w:lvlText w:val="(%1)"/>
      <w:numFmt w:val="lowerRoman"/>
      <w:start w:val="1"/>
    </w:lvl>
  </w:abstractNum>
  <w:abstractNum w:abstractNumId="151">
    <w:nsid w:val="3F06ECB2"/>
    <w:multiLevelType w:val="hybridMultilevel"/>
    <w:lvl w:ilvl="0">
      <w:lvlJc w:val="left"/>
      <w:lvlText w:val="(%1)"/>
      <w:numFmt w:val="decimal"/>
      <w:start w:val="24"/>
    </w:lvl>
    <w:lvl w:ilvl="1">
      <w:lvlJc w:val="left"/>
      <w:lvlText w:val="(%2)"/>
      <w:numFmt w:val="lowerRoman"/>
      <w:start w:val="1"/>
    </w:lvl>
  </w:abstractNum>
  <w:abstractNum w:abstractNumId="152">
    <w:nsid w:val="3B594807"/>
    <w:multiLevelType w:val="hybridMultilevel"/>
    <w:lvl w:ilvl="0">
      <w:lvlJc w:val="left"/>
      <w:lvlText w:val="(%1)"/>
      <w:numFmt w:val="decimal"/>
      <w:start w:val="1"/>
    </w:lvl>
    <w:lvl w:ilvl="1">
      <w:lvlJc w:val="left"/>
      <w:lvlText w:val="%2."/>
      <w:numFmt w:val="decimal"/>
      <w:start w:val="5"/>
    </w:lvl>
  </w:abstractNum>
  <w:abstractNum w:abstractNumId="153">
    <w:nsid w:val="6CAA2304"/>
    <w:multiLevelType w:val="hybridMultilevel"/>
    <w:lvl w:ilvl="0">
      <w:lvlJc w:val="left"/>
      <w:lvlText w:val="%1."/>
      <w:numFmt w:val="decimal"/>
      <w:start w:val="1"/>
    </w:lvl>
  </w:abstractNum>
  <w:abstractNum w:abstractNumId="154">
    <w:nsid w:val="3F7C2FF4"/>
    <w:multiLevelType w:val="hybridMultilevel"/>
    <w:lvl w:ilvl="0">
      <w:lvlJc w:val="left"/>
      <w:lvlText w:val="%1."/>
      <w:numFmt w:val="decimal"/>
      <w:start w:val="2"/>
    </w:lvl>
  </w:abstractNum>
  <w:abstractNum w:abstractNumId="155">
    <w:nsid w:val="25413BEC"/>
    <w:multiLevelType w:val="hybridMultilevel"/>
    <w:lvl w:ilvl="0">
      <w:lvlJc w:val="left"/>
      <w:lvlText w:val="%1."/>
      <w:numFmt w:val="decimal"/>
      <w:start w:val="3"/>
    </w:lvl>
  </w:abstractNum>
  <w:abstractNum w:abstractNumId="156">
    <w:nsid w:val="17180B0B"/>
    <w:multiLevelType w:val="hybridMultilevel"/>
    <w:lvl w:ilvl="0">
      <w:lvlJc w:val="left"/>
      <w:lvlText w:val="A"/>
      <w:numFmt w:val="bullet"/>
      <w:start w:val="1"/>
    </w:lvl>
  </w:abstractNum>
  <w:abstractNum w:abstractNumId="157">
    <w:nsid w:val="579328B9"/>
    <w:multiLevelType w:val="hybridMultilevel"/>
    <w:lvl w:ilvl="0">
      <w:lvlJc w:val="left"/>
      <w:lvlText w:val="B"/>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jpe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jpe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jpe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jpe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jpe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jpe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jpe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jpe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jpe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jpe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jpe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jpe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jpe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jpe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jpe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jpe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jpe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jpeg"/><Relationship Id="rId1660" Type="http://schemas.openxmlformats.org/officeDocument/2006/relationships/image" Target="media/image1653.png"/><Relationship Id="rId1661" Type="http://schemas.openxmlformats.org/officeDocument/2006/relationships/image" Target="media/image1654.jpeg"/><Relationship Id="rId1662" Type="http://schemas.openxmlformats.org/officeDocument/2006/relationships/image" Target="media/image1655.png"/><Relationship Id="rId1663" Type="http://schemas.openxmlformats.org/officeDocument/2006/relationships/image" Target="media/image1656.jpe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jpe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jpe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jpeg"/><Relationship Id="rId1673" Type="http://schemas.openxmlformats.org/officeDocument/2006/relationships/image" Target="media/image1666.png"/><Relationship Id="rId1674" Type="http://schemas.openxmlformats.org/officeDocument/2006/relationships/image" Target="media/image1667.jpeg"/><Relationship Id="rId1675" Type="http://schemas.openxmlformats.org/officeDocument/2006/relationships/image" Target="media/image1668.png"/><Relationship Id="rId1676" Type="http://schemas.openxmlformats.org/officeDocument/2006/relationships/image" Target="media/image1669.jpe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jpe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jpe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jpe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jpe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jpe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jpe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jpeg"/><Relationship Id="rId1712" Type="http://schemas.openxmlformats.org/officeDocument/2006/relationships/image" Target="media/image1705.png"/><Relationship Id="rId1713" Type="http://schemas.openxmlformats.org/officeDocument/2006/relationships/image" Target="media/image1706.jpe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jpeg"/><Relationship Id="rId1717" Type="http://schemas.openxmlformats.org/officeDocument/2006/relationships/image" Target="media/image1710.png"/><Relationship Id="rId1718" Type="http://schemas.openxmlformats.org/officeDocument/2006/relationships/image" Target="media/image1711.jpeg"/><Relationship Id="rId1719" Type="http://schemas.openxmlformats.org/officeDocument/2006/relationships/image" Target="media/image1712.jpeg"/><Relationship Id="rId1720" Type="http://schemas.openxmlformats.org/officeDocument/2006/relationships/image" Target="media/image1713.png"/><Relationship Id="rId1721" Type="http://schemas.openxmlformats.org/officeDocument/2006/relationships/image" Target="media/image1714.jpeg"/><Relationship Id="rId1722" Type="http://schemas.openxmlformats.org/officeDocument/2006/relationships/image" Target="media/image1715.jpeg"/><Relationship Id="rId1723" Type="http://schemas.openxmlformats.org/officeDocument/2006/relationships/image" Target="media/image1716.png"/><Relationship Id="rId1724" Type="http://schemas.openxmlformats.org/officeDocument/2006/relationships/image" Target="media/image1717.jpeg"/><Relationship Id="rId1725" Type="http://schemas.openxmlformats.org/officeDocument/2006/relationships/image" Target="media/image1718.png"/><Relationship Id="rId1726" Type="http://schemas.openxmlformats.org/officeDocument/2006/relationships/image" Target="media/image1719.jpeg"/><Relationship Id="rId1727" Type="http://schemas.openxmlformats.org/officeDocument/2006/relationships/image" Target="media/image1720.jpeg"/><Relationship Id="rId1728" Type="http://schemas.openxmlformats.org/officeDocument/2006/relationships/image" Target="media/image1721.png"/><Relationship Id="rId1729" Type="http://schemas.openxmlformats.org/officeDocument/2006/relationships/image" Target="media/image1722.jpe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jpeg"/><Relationship Id="rId1735" Type="http://schemas.openxmlformats.org/officeDocument/2006/relationships/image" Target="media/image1728.png"/><Relationship Id="rId1736" Type="http://schemas.openxmlformats.org/officeDocument/2006/relationships/image" Target="media/image1729.jpe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jpeg"/><Relationship Id="rId1744" Type="http://schemas.openxmlformats.org/officeDocument/2006/relationships/image" Target="media/image1737.png"/><Relationship Id="rId1745" Type="http://schemas.openxmlformats.org/officeDocument/2006/relationships/image" Target="media/image1738.jpe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jpeg"/><Relationship Id="rId1749" Type="http://schemas.openxmlformats.org/officeDocument/2006/relationships/image" Target="media/image1742.jpeg"/><Relationship Id="rId1750" Type="http://schemas.openxmlformats.org/officeDocument/2006/relationships/image" Target="media/image1743.jpeg"/><Relationship Id="rId1751" Type="http://schemas.openxmlformats.org/officeDocument/2006/relationships/image" Target="media/image1744.jpeg"/><Relationship Id="rId1752" Type="http://schemas.openxmlformats.org/officeDocument/2006/relationships/image" Target="media/image1745.jpeg"/><Relationship Id="rId1753" Type="http://schemas.openxmlformats.org/officeDocument/2006/relationships/image" Target="media/image1746.jpeg"/><Relationship Id="rId1754" Type="http://schemas.openxmlformats.org/officeDocument/2006/relationships/image" Target="media/image1747.jpeg"/><Relationship Id="rId1755" Type="http://schemas.openxmlformats.org/officeDocument/2006/relationships/image" Target="media/image1748.jpeg"/><Relationship Id="rId1756" Type="http://schemas.openxmlformats.org/officeDocument/2006/relationships/image" Target="media/image1749.jpeg"/><Relationship Id="rId1757" Type="http://schemas.openxmlformats.org/officeDocument/2006/relationships/image" Target="media/image1750.jpeg"/><Relationship Id="rId1758" Type="http://schemas.openxmlformats.org/officeDocument/2006/relationships/image" Target="media/image1751.jpeg"/><Relationship Id="rId1759" Type="http://schemas.openxmlformats.org/officeDocument/2006/relationships/image" Target="media/image1752.jpeg"/><Relationship Id="rId1760" Type="http://schemas.openxmlformats.org/officeDocument/2006/relationships/image" Target="media/image1753.jpeg"/><Relationship Id="rId1761" Type="http://schemas.openxmlformats.org/officeDocument/2006/relationships/image" Target="media/image1754.jpeg"/><Relationship Id="rId1762" Type="http://schemas.openxmlformats.org/officeDocument/2006/relationships/image" Target="media/image1755.jpeg"/><Relationship Id="rId1763" Type="http://schemas.openxmlformats.org/officeDocument/2006/relationships/image" Target="media/image1756.jpeg"/><Relationship Id="rId1764" Type="http://schemas.openxmlformats.org/officeDocument/2006/relationships/image" Target="media/image1757.jpeg"/><Relationship Id="rId1765" Type="http://schemas.openxmlformats.org/officeDocument/2006/relationships/image" Target="media/image1758.jpeg"/><Relationship Id="rId1766" Type="http://schemas.openxmlformats.org/officeDocument/2006/relationships/image" Target="media/image1759.jpeg"/><Relationship Id="rId1767" Type="http://schemas.openxmlformats.org/officeDocument/2006/relationships/image" Target="media/image1760.png"/><Relationship Id="rId1768" Type="http://schemas.openxmlformats.org/officeDocument/2006/relationships/image" Target="media/image1761.jpe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jpeg"/><Relationship Id="rId1773" Type="http://schemas.openxmlformats.org/officeDocument/2006/relationships/image" Target="media/image1766.png"/><Relationship Id="rId1774" Type="http://schemas.openxmlformats.org/officeDocument/2006/relationships/image" Target="media/image1767.jpeg"/><Relationship Id="rId1775" Type="http://schemas.openxmlformats.org/officeDocument/2006/relationships/image" Target="media/image1768.png"/><Relationship Id="rId1776" Type="http://schemas.openxmlformats.org/officeDocument/2006/relationships/image" Target="media/image1769.jpe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jpe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jpe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jpe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jpe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jpe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jpe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jpeg"/><Relationship Id="rId1799" Type="http://schemas.openxmlformats.org/officeDocument/2006/relationships/image" Target="media/image1792.png"/><Relationship Id="rId1800" Type="http://schemas.openxmlformats.org/officeDocument/2006/relationships/image" Target="media/image1793.jpeg"/><Relationship Id="rId1801" Type="http://schemas.openxmlformats.org/officeDocument/2006/relationships/image" Target="media/image1794.png"/><Relationship Id="rId1802" Type="http://schemas.openxmlformats.org/officeDocument/2006/relationships/image" Target="media/image1795.jpe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jpeg"/><Relationship Id="rId1806" Type="http://schemas.openxmlformats.org/officeDocument/2006/relationships/image" Target="media/image1799.png"/><Relationship Id="rId1807" Type="http://schemas.openxmlformats.org/officeDocument/2006/relationships/image" Target="media/image1800.jpe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jpe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jpeg"/><Relationship Id="rId1815" Type="http://schemas.openxmlformats.org/officeDocument/2006/relationships/image" Target="media/image1808.png"/><Relationship Id="rId1816" Type="http://schemas.openxmlformats.org/officeDocument/2006/relationships/image" Target="media/image1809.jpe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jpe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jpe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jpe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jpe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jpe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jpe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jpeg"/><Relationship Id="rId1841" Type="http://schemas.openxmlformats.org/officeDocument/2006/relationships/image" Target="media/image1834.png"/><Relationship Id="rId1842" Type="http://schemas.openxmlformats.org/officeDocument/2006/relationships/image" Target="media/image1835.jpe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jpeg"/><Relationship Id="rId1848" Type="http://schemas.openxmlformats.org/officeDocument/2006/relationships/image" Target="media/image1841.png"/><Relationship Id="rId1849" Type="http://schemas.openxmlformats.org/officeDocument/2006/relationships/image" Target="media/image1842.jpe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jpe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jpe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jpe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jpe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jpe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jpe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jpe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jpe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jpe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jpeg"/><Relationship Id="rId1886" Type="http://schemas.openxmlformats.org/officeDocument/2006/relationships/image" Target="media/image1879.png"/><Relationship Id="rId1887" Type="http://schemas.openxmlformats.org/officeDocument/2006/relationships/image" Target="media/image1880.jpe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jpeg"/><Relationship Id="rId1891" Type="http://schemas.openxmlformats.org/officeDocument/2006/relationships/image" Target="media/image1884.png"/><Relationship Id="rId1892" Type="http://schemas.openxmlformats.org/officeDocument/2006/relationships/image" Target="media/image1885.jpe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jpeg"/><Relationship Id="rId1896" Type="http://schemas.openxmlformats.org/officeDocument/2006/relationships/image" Target="media/image1889.png"/><Relationship Id="rId1897" Type="http://schemas.openxmlformats.org/officeDocument/2006/relationships/image" Target="media/image1890.jpeg"/><Relationship Id="rId1898" Type="http://schemas.openxmlformats.org/officeDocument/2006/relationships/image" Target="media/image1891.png"/><Relationship Id="rId1899" Type="http://schemas.openxmlformats.org/officeDocument/2006/relationships/image" Target="media/image1892.jpeg"/><Relationship Id="rId1900" Type="http://schemas.openxmlformats.org/officeDocument/2006/relationships/image" Target="media/image1893.png"/><Relationship Id="rId1901" Type="http://schemas.openxmlformats.org/officeDocument/2006/relationships/image" Target="media/image1894.jpeg"/><Relationship Id="rId1902" Type="http://schemas.openxmlformats.org/officeDocument/2006/relationships/image" Target="media/image1895.png"/><Relationship Id="rId1903" Type="http://schemas.openxmlformats.org/officeDocument/2006/relationships/image" Target="media/image1896.jpeg"/><Relationship Id="rId1904" Type="http://schemas.openxmlformats.org/officeDocument/2006/relationships/image" Target="media/image1897.png"/><Relationship Id="rId1905" Type="http://schemas.openxmlformats.org/officeDocument/2006/relationships/image" Target="media/image1898.jpe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jpeg"/><Relationship Id="rId1909" Type="http://schemas.openxmlformats.org/officeDocument/2006/relationships/image" Target="media/image1902.png"/><Relationship Id="rId1910" Type="http://schemas.openxmlformats.org/officeDocument/2006/relationships/image" Target="media/image1903.jpeg"/><Relationship Id="rId1911" Type="http://schemas.openxmlformats.org/officeDocument/2006/relationships/image" Target="media/image1904.png"/><Relationship Id="rId1912" Type="http://schemas.openxmlformats.org/officeDocument/2006/relationships/image" Target="media/image1905.jpeg"/><Relationship Id="rId1913" Type="http://schemas.openxmlformats.org/officeDocument/2006/relationships/image" Target="media/image1906.png"/><Relationship Id="rId1914" Type="http://schemas.openxmlformats.org/officeDocument/2006/relationships/image" Target="media/image1907.jpe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jpeg"/><Relationship Id="rId1919" Type="http://schemas.openxmlformats.org/officeDocument/2006/relationships/image" Target="media/image1912.png"/><Relationship Id="rId1920" Type="http://schemas.openxmlformats.org/officeDocument/2006/relationships/image" Target="media/image1913.jpe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jpe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jpeg"/><Relationship Id="rId1927" Type="http://schemas.openxmlformats.org/officeDocument/2006/relationships/image" Target="media/image1920.png"/><Relationship Id="rId1928" Type="http://schemas.openxmlformats.org/officeDocument/2006/relationships/image" Target="media/image1921.jpe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jpeg"/><Relationship Id="rId1933" Type="http://schemas.openxmlformats.org/officeDocument/2006/relationships/image" Target="media/image1926.png"/><Relationship Id="rId1934" Type="http://schemas.openxmlformats.org/officeDocument/2006/relationships/image" Target="media/image1927.jpe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jpe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jpe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jpe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jpe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jpeg"/><Relationship Id="rId1966" Type="http://schemas.openxmlformats.org/officeDocument/2006/relationships/image" Target="media/image1959.png"/><Relationship Id="rId1967" Type="http://schemas.openxmlformats.org/officeDocument/2006/relationships/image" Target="media/image1960.jpeg"/><Relationship Id="rId1968" Type="http://schemas.openxmlformats.org/officeDocument/2006/relationships/image" Target="media/image1961.png"/><Relationship Id="rId1969" Type="http://schemas.openxmlformats.org/officeDocument/2006/relationships/image" Target="media/image1962.jpe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jpeg"/><Relationship Id="rId1976" Type="http://schemas.openxmlformats.org/officeDocument/2006/relationships/image" Target="media/image1969.jpe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jpe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jpe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jpeg"/><Relationship Id="rId1987" Type="http://schemas.openxmlformats.org/officeDocument/2006/relationships/image" Target="media/image1980.png"/><Relationship Id="rId1988" Type="http://schemas.openxmlformats.org/officeDocument/2006/relationships/image" Target="media/image1981.jpeg"/><Relationship Id="rId1989" Type="http://schemas.openxmlformats.org/officeDocument/2006/relationships/image" Target="media/image1982.png"/><Relationship Id="rId1990" Type="http://schemas.openxmlformats.org/officeDocument/2006/relationships/image" Target="media/image1983.jpeg"/><Relationship Id="rId1991" Type="http://schemas.openxmlformats.org/officeDocument/2006/relationships/image" Target="media/image1984.png"/><Relationship Id="rId1992" Type="http://schemas.openxmlformats.org/officeDocument/2006/relationships/image" Target="media/image1985.jpeg"/><Relationship Id="rId1993" Type="http://schemas.openxmlformats.org/officeDocument/2006/relationships/image" Target="media/image1986.png"/><Relationship Id="rId1994" Type="http://schemas.openxmlformats.org/officeDocument/2006/relationships/image" Target="media/image1987.jpeg"/><Relationship Id="rId1995" Type="http://schemas.openxmlformats.org/officeDocument/2006/relationships/image" Target="media/image1988.png"/><Relationship Id="rId1996" Type="http://schemas.openxmlformats.org/officeDocument/2006/relationships/image" Target="media/image1989.jpeg"/><Relationship Id="rId1997" Type="http://schemas.openxmlformats.org/officeDocument/2006/relationships/image" Target="media/image1990.png"/><Relationship Id="rId1998" Type="http://schemas.openxmlformats.org/officeDocument/2006/relationships/image" Target="media/image1991.jpeg"/><Relationship Id="rId1999" Type="http://schemas.openxmlformats.org/officeDocument/2006/relationships/image" Target="media/image1992.png"/><Relationship Id="rId2000" Type="http://schemas.openxmlformats.org/officeDocument/2006/relationships/image" Target="media/image1993.jpeg"/><Relationship Id="rId2001" Type="http://schemas.openxmlformats.org/officeDocument/2006/relationships/image" Target="media/image1994.png"/><Relationship Id="rId2002" Type="http://schemas.openxmlformats.org/officeDocument/2006/relationships/image" Target="media/image1995.jpeg"/><Relationship Id="rId2003" Type="http://schemas.openxmlformats.org/officeDocument/2006/relationships/image" Target="media/image1996.png"/><Relationship Id="rId2004" Type="http://schemas.openxmlformats.org/officeDocument/2006/relationships/image" Target="media/image1997.jpeg"/><Relationship Id="rId2005" Type="http://schemas.openxmlformats.org/officeDocument/2006/relationships/image" Target="media/image1998.png"/><Relationship Id="rId2006" Type="http://schemas.openxmlformats.org/officeDocument/2006/relationships/image" Target="media/image1999.jpeg"/><Relationship Id="rId2007" Type="http://schemas.openxmlformats.org/officeDocument/2006/relationships/image" Target="media/image2000.png"/><Relationship Id="rId2008" Type="http://schemas.openxmlformats.org/officeDocument/2006/relationships/image" Target="media/image2001.jpeg"/><Relationship Id="rId2009" Type="http://schemas.openxmlformats.org/officeDocument/2006/relationships/image" Target="media/image2002.png"/><Relationship Id="rId2010" Type="http://schemas.openxmlformats.org/officeDocument/2006/relationships/image" Target="media/image2003.jpeg"/><Relationship Id="rId2011" Type="http://schemas.openxmlformats.org/officeDocument/2006/relationships/image" Target="media/image2004.png"/><Relationship Id="rId2012" Type="http://schemas.openxmlformats.org/officeDocument/2006/relationships/image" Target="media/image2005.jpeg"/><Relationship Id="rId2013" Type="http://schemas.openxmlformats.org/officeDocument/2006/relationships/image" Target="media/image2006.png"/><Relationship Id="rId2014" Type="http://schemas.openxmlformats.org/officeDocument/2006/relationships/image" Target="media/image2007.jpeg"/><Relationship Id="rId2015" Type="http://schemas.openxmlformats.org/officeDocument/2006/relationships/image" Target="media/image2008.png"/><Relationship Id="rId2016" Type="http://schemas.openxmlformats.org/officeDocument/2006/relationships/image" Target="media/image2009.jpeg"/><Relationship Id="rId2017" Type="http://schemas.openxmlformats.org/officeDocument/2006/relationships/image" Target="media/image2010.png"/><Relationship Id="rId2018" Type="http://schemas.openxmlformats.org/officeDocument/2006/relationships/image" Target="media/image2011.jpeg"/><Relationship Id="rId2019" Type="http://schemas.openxmlformats.org/officeDocument/2006/relationships/image" Target="media/image2012.png"/><Relationship Id="rId2020" Type="http://schemas.openxmlformats.org/officeDocument/2006/relationships/image" Target="media/image2013.jpeg"/><Relationship Id="rId2021" Type="http://schemas.openxmlformats.org/officeDocument/2006/relationships/image" Target="media/image2014.png"/><Relationship Id="rId2022" Type="http://schemas.openxmlformats.org/officeDocument/2006/relationships/image" Target="media/image2015.jpeg"/><Relationship Id="rId2023" Type="http://schemas.openxmlformats.org/officeDocument/2006/relationships/image" Target="media/image2016.png"/><Relationship Id="rId2024" Type="http://schemas.openxmlformats.org/officeDocument/2006/relationships/image" Target="media/image2017.jpeg"/><Relationship Id="rId2025" Type="http://schemas.openxmlformats.org/officeDocument/2006/relationships/image" Target="media/image2018.png"/><Relationship Id="rId2026" Type="http://schemas.openxmlformats.org/officeDocument/2006/relationships/image" Target="media/image2019.jpeg"/><Relationship Id="rId2027" Type="http://schemas.openxmlformats.org/officeDocument/2006/relationships/image" Target="media/image2020.jpeg"/><Relationship Id="rId2028" Type="http://schemas.openxmlformats.org/officeDocument/2006/relationships/image" Target="media/image2021.jpe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jpeg"/><Relationship Id="rId2033" Type="http://schemas.openxmlformats.org/officeDocument/2006/relationships/image" Target="media/image20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2023-04-03T06:03:31Z</dcterms:created>
  <dcterms:modified xsi:type="dcterms:W3CDTF">2023-04-03T06:03:31Z</dcterms:modified>
</cp:coreProperties>
</file>